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696" w:rsidRPr="00B10210" w:rsidRDefault="001B1696" w:rsidP="001B1696">
      <w:pPr>
        <w:jc w:val="center"/>
        <w:rPr>
          <w:b/>
          <w:caps/>
          <w:color w:val="000000"/>
          <w:spacing w:val="30"/>
        </w:rPr>
      </w:pPr>
      <w:r w:rsidRPr="00B10210">
        <w:rPr>
          <w:b/>
          <w:caps/>
          <w:color w:val="000000"/>
          <w:spacing w:val="30"/>
        </w:rPr>
        <w:t>Dôvodová správa</w:t>
      </w:r>
    </w:p>
    <w:p w:rsidR="001B1696" w:rsidRPr="00B10210" w:rsidRDefault="001B1696" w:rsidP="001B1696">
      <w:pPr>
        <w:jc w:val="both"/>
        <w:rPr>
          <w:color w:val="000000"/>
        </w:rPr>
      </w:pPr>
    </w:p>
    <w:p w:rsidR="001B1696" w:rsidRPr="00B10210" w:rsidRDefault="001B1696" w:rsidP="001B1696">
      <w:pPr>
        <w:jc w:val="both"/>
        <w:rPr>
          <w:color w:val="000000"/>
        </w:rPr>
      </w:pPr>
    </w:p>
    <w:p w:rsidR="001B1696" w:rsidRPr="00B10210" w:rsidRDefault="001B1696" w:rsidP="001B1696">
      <w:pPr>
        <w:jc w:val="both"/>
        <w:rPr>
          <w:b/>
          <w:color w:val="000000"/>
        </w:rPr>
      </w:pPr>
      <w:r w:rsidRPr="00B10210">
        <w:rPr>
          <w:b/>
          <w:color w:val="000000"/>
        </w:rPr>
        <w:t>A. Všeobecná časť</w:t>
      </w:r>
    </w:p>
    <w:p w:rsidR="001B1696" w:rsidRPr="00B10210" w:rsidRDefault="001B1696" w:rsidP="001B1696">
      <w:pPr>
        <w:rPr>
          <w:bCs/>
        </w:rPr>
      </w:pPr>
    </w:p>
    <w:p w:rsidR="001B1696" w:rsidRPr="00B10210" w:rsidRDefault="001B1696" w:rsidP="001B1696">
      <w:pPr>
        <w:rPr>
          <w:bCs/>
        </w:rPr>
      </w:pPr>
    </w:p>
    <w:p w:rsidR="00353710" w:rsidRPr="00B10210" w:rsidRDefault="00353710" w:rsidP="00353710">
      <w:pPr>
        <w:ind w:firstLine="567"/>
        <w:jc w:val="both"/>
      </w:pPr>
      <w:r w:rsidRPr="00B10210">
        <w:t xml:space="preserve">Ministerstvo financií Slovenskej republiky </w:t>
      </w:r>
      <w:r w:rsidR="009636F8" w:rsidRPr="00B10210">
        <w:t xml:space="preserve">predkladá </w:t>
      </w:r>
      <w:r w:rsidR="00650E7D" w:rsidRPr="00B10210">
        <w:t>podľa plánu legislatívnych úloh vlády Slovenskej republiky na rok 2020.</w:t>
      </w:r>
      <w:r w:rsidR="009636F8" w:rsidRPr="00B10210">
        <w:t xml:space="preserve"> </w:t>
      </w:r>
      <w:r w:rsidRPr="00B10210">
        <w:t>návrh zákona, ktorým sa</w:t>
      </w:r>
      <w:r w:rsidR="009636F8" w:rsidRPr="00B10210">
        <w:t xml:space="preserve"> mení a dopĺňa zákon</w:t>
      </w:r>
      <w:r w:rsidRPr="00B10210">
        <w:t xml:space="preserve"> </w:t>
      </w:r>
      <w:r w:rsidR="00650E7D" w:rsidRPr="00B10210">
        <w:br/>
      </w:r>
      <w:r w:rsidRPr="00B10210">
        <w:t>č.</w:t>
      </w:r>
      <w:r w:rsidR="00A6533A" w:rsidRPr="00B10210">
        <w:t xml:space="preserve"> 106/2004 Z. z. o spotrebnej dani z tabakových výrobkov v znení neskorších predpisov</w:t>
      </w:r>
      <w:r w:rsidRPr="00B10210">
        <w:t xml:space="preserve"> (ďalej len „návrh zákona“).</w:t>
      </w:r>
    </w:p>
    <w:p w:rsidR="00353710" w:rsidRPr="00B10210" w:rsidRDefault="00353710" w:rsidP="00353710">
      <w:pPr>
        <w:jc w:val="both"/>
      </w:pPr>
    </w:p>
    <w:p w:rsidR="009636F8" w:rsidRPr="00B10210" w:rsidRDefault="00A25584" w:rsidP="00A25584">
      <w:pPr>
        <w:pStyle w:val="Zkladntext0"/>
        <w:tabs>
          <w:tab w:val="left" w:pos="567"/>
        </w:tabs>
        <w:ind w:firstLine="426"/>
        <w:jc w:val="both"/>
        <w:rPr>
          <w:rFonts w:ascii="Times New Roman" w:hAnsi="Times New Roman" w:cs="Times New Roman"/>
          <w:color w:val="auto"/>
        </w:rPr>
      </w:pPr>
      <w:r w:rsidRPr="00B10210">
        <w:rPr>
          <w:rFonts w:ascii="Times New Roman" w:hAnsi="Times New Roman" w:cs="Times New Roman"/>
          <w:color w:val="auto"/>
        </w:rPr>
        <w:tab/>
      </w:r>
      <w:r w:rsidR="00F06104" w:rsidRPr="00B10210">
        <w:rPr>
          <w:rFonts w:ascii="Times New Roman" w:hAnsi="Times New Roman" w:cs="Times New Roman"/>
          <w:color w:val="auto"/>
        </w:rPr>
        <w:t>Zámer</w:t>
      </w:r>
      <w:r w:rsidR="009636F8" w:rsidRPr="00B10210">
        <w:rPr>
          <w:rFonts w:ascii="Times New Roman" w:hAnsi="Times New Roman" w:cs="Times New Roman"/>
          <w:color w:val="auto"/>
        </w:rPr>
        <w:t>om návrhu zákona je</w:t>
      </w:r>
      <w:r w:rsidR="00F36AB8" w:rsidRPr="00B10210">
        <w:rPr>
          <w:rFonts w:ascii="Times New Roman" w:hAnsi="Times New Roman" w:cs="Times New Roman"/>
          <w:color w:val="auto"/>
        </w:rPr>
        <w:t xml:space="preserve"> transponovať do zákona o spotrebnej dani z tabakových </w:t>
      </w:r>
      <w:r w:rsidRPr="00B10210">
        <w:rPr>
          <w:rFonts w:ascii="Times New Roman" w:hAnsi="Times New Roman" w:cs="Times New Roman"/>
          <w:color w:val="auto"/>
        </w:rPr>
        <w:tab/>
      </w:r>
      <w:r w:rsidR="00F36AB8" w:rsidRPr="00B10210">
        <w:rPr>
          <w:rFonts w:ascii="Times New Roman" w:hAnsi="Times New Roman" w:cs="Times New Roman"/>
          <w:color w:val="auto"/>
        </w:rPr>
        <w:t>výrobkov</w:t>
      </w:r>
      <w:r w:rsidR="009636F8" w:rsidRPr="00B10210">
        <w:rPr>
          <w:rFonts w:ascii="Times New Roman" w:hAnsi="Times New Roman" w:cs="Times New Roman"/>
          <w:color w:val="auto"/>
        </w:rPr>
        <w:t>:</w:t>
      </w:r>
    </w:p>
    <w:p w:rsidR="00EE13B4" w:rsidRPr="00B10210" w:rsidRDefault="00CC3E2F" w:rsidP="00EE13B4">
      <w:pPr>
        <w:pStyle w:val="Zkladntext0"/>
        <w:tabs>
          <w:tab w:val="left" w:pos="567"/>
        </w:tabs>
        <w:ind w:left="567" w:hanging="567"/>
        <w:jc w:val="both"/>
        <w:rPr>
          <w:rFonts w:ascii="Times New Roman" w:hAnsi="Times New Roman"/>
        </w:rPr>
      </w:pPr>
      <w:r w:rsidRPr="00B10210">
        <w:rPr>
          <w:rFonts w:ascii="Times New Roman" w:hAnsi="Times New Roman" w:cs="Times New Roman"/>
          <w:color w:val="auto"/>
        </w:rPr>
        <w:t>–</w:t>
      </w:r>
      <w:r w:rsidRPr="00B10210">
        <w:rPr>
          <w:rFonts w:ascii="Times New Roman" w:hAnsi="Times New Roman" w:cs="Times New Roman"/>
          <w:color w:val="auto"/>
        </w:rPr>
        <w:tab/>
        <w:t xml:space="preserve">smernicu Rady (EÚ) 2019/475 z 18. februára 2019, </w:t>
      </w:r>
      <w:r w:rsidR="00EE13B4" w:rsidRPr="00B10210">
        <w:rPr>
          <w:rFonts w:ascii="Times New Roman" w:hAnsi="Times New Roman" w:cs="Times New Roman"/>
        </w:rPr>
        <w:t xml:space="preserve">ktorou sa menia smernice 2006/112/ES a 2008/118/ES, </w:t>
      </w:r>
      <w:r w:rsidR="00EE13B4" w:rsidRPr="00B10210">
        <w:rPr>
          <w:rFonts w:ascii="Times New Roman" w:hAnsi="Times New Roman"/>
        </w:rPr>
        <w:t xml:space="preserve">pokiaľ ide o začlenenie talianskej obce </w:t>
      </w:r>
      <w:proofErr w:type="spellStart"/>
      <w:r w:rsidR="00EE13B4" w:rsidRPr="00B10210">
        <w:rPr>
          <w:rFonts w:ascii="Times New Roman" w:hAnsi="Times New Roman"/>
        </w:rPr>
        <w:t>Campione</w:t>
      </w:r>
      <w:proofErr w:type="spellEnd"/>
      <w:r w:rsidR="00EE13B4" w:rsidRPr="00B10210">
        <w:rPr>
          <w:rFonts w:ascii="Times New Roman" w:hAnsi="Times New Roman"/>
        </w:rPr>
        <w:t xml:space="preserve"> </w:t>
      </w:r>
      <w:proofErr w:type="spellStart"/>
      <w:r w:rsidR="00EE13B4" w:rsidRPr="00B10210">
        <w:rPr>
          <w:rFonts w:ascii="Times New Roman" w:hAnsi="Times New Roman"/>
        </w:rPr>
        <w:t>d´Italia</w:t>
      </w:r>
      <w:proofErr w:type="spellEnd"/>
      <w:r w:rsidR="00EE13B4" w:rsidRPr="00B10210">
        <w:rPr>
          <w:rFonts w:ascii="Times New Roman" w:hAnsi="Times New Roman"/>
        </w:rPr>
        <w:t xml:space="preserve"> a talianskych vôd jazera </w:t>
      </w:r>
      <w:proofErr w:type="spellStart"/>
      <w:r w:rsidR="00EE13B4" w:rsidRPr="00B10210">
        <w:rPr>
          <w:rFonts w:ascii="Times New Roman" w:hAnsi="Times New Roman"/>
        </w:rPr>
        <w:t>Lugano</w:t>
      </w:r>
      <w:proofErr w:type="spellEnd"/>
      <w:r w:rsidR="00EE13B4" w:rsidRPr="00B10210">
        <w:rPr>
          <w:rFonts w:ascii="Times New Roman" w:hAnsi="Times New Roman"/>
        </w:rPr>
        <w:t xml:space="preserve"> do colného územia Únie a do územnej pôsobnosti smernice 2008/118/ES</w:t>
      </w:r>
      <w:r w:rsidR="00965952" w:rsidRPr="00B10210">
        <w:rPr>
          <w:rFonts w:ascii="Times New Roman" w:hAnsi="Times New Roman"/>
        </w:rPr>
        <w:t>,</w:t>
      </w:r>
    </w:p>
    <w:p w:rsidR="00F36AB8" w:rsidRPr="00B10210" w:rsidRDefault="009636F8" w:rsidP="00EE13B4">
      <w:pPr>
        <w:pStyle w:val="Zkladntext0"/>
        <w:tabs>
          <w:tab w:val="left" w:pos="567"/>
        </w:tabs>
        <w:ind w:left="567" w:hanging="567"/>
        <w:jc w:val="both"/>
        <w:rPr>
          <w:rFonts w:ascii="Times New Roman" w:hAnsi="Times New Roman" w:cs="Times New Roman"/>
          <w:color w:val="auto"/>
        </w:rPr>
      </w:pPr>
      <w:r w:rsidRPr="00B10210">
        <w:rPr>
          <w:rFonts w:ascii="Times New Roman" w:hAnsi="Times New Roman" w:cs="Times New Roman"/>
          <w:color w:val="auto"/>
        </w:rPr>
        <w:t>–</w:t>
      </w:r>
      <w:r w:rsidRPr="00B10210">
        <w:rPr>
          <w:rFonts w:ascii="Times New Roman" w:hAnsi="Times New Roman" w:cs="Times New Roman"/>
          <w:color w:val="auto"/>
        </w:rPr>
        <w:tab/>
      </w:r>
      <w:r w:rsidR="00F36AB8" w:rsidRPr="00B10210">
        <w:rPr>
          <w:rFonts w:ascii="Times New Roman" w:hAnsi="Times New Roman" w:cs="Times New Roman"/>
          <w:color w:val="auto"/>
        </w:rPr>
        <w:t>smernicu</w:t>
      </w:r>
      <w:r w:rsidR="00CC3E2F" w:rsidRPr="00B10210">
        <w:rPr>
          <w:rFonts w:ascii="Times New Roman" w:hAnsi="Times New Roman" w:cs="Times New Roman"/>
          <w:color w:val="auto"/>
        </w:rPr>
        <w:t xml:space="preserve"> Rady (EÚ) 2019/2235 zo 16. decembra 2019, ktorou </w:t>
      </w:r>
      <w:r w:rsidR="00EE13B4" w:rsidRPr="00B10210">
        <w:rPr>
          <w:rFonts w:ascii="Times New Roman" w:hAnsi="Times New Roman"/>
        </w:rPr>
        <w:t>sa mení smernica 2006/112/ES o spoločnom systéme dane z pridanej hodnoty a smernica 2008/118/ES o všeobecnom systéme spotrebných daní, pokiaľ ide o obranné úsilie v rámci Únie</w:t>
      </w:r>
      <w:r w:rsidR="00F36AB8" w:rsidRPr="00B10210">
        <w:rPr>
          <w:rFonts w:ascii="Times New Roman" w:hAnsi="Times New Roman" w:cs="Times New Roman"/>
          <w:color w:val="auto"/>
        </w:rPr>
        <w:t>,</w:t>
      </w:r>
    </w:p>
    <w:p w:rsidR="00CC3E2F" w:rsidRPr="00B10210" w:rsidRDefault="00CC3E2F" w:rsidP="00A25584">
      <w:pPr>
        <w:pStyle w:val="Zkladntext0"/>
        <w:tabs>
          <w:tab w:val="left" w:pos="567"/>
        </w:tabs>
        <w:jc w:val="both"/>
        <w:rPr>
          <w:rFonts w:ascii="Times New Roman" w:hAnsi="Times New Roman" w:cs="Times New Roman"/>
          <w:color w:val="auto"/>
        </w:rPr>
      </w:pPr>
      <w:r w:rsidRPr="00B10210">
        <w:rPr>
          <w:rFonts w:ascii="Times New Roman" w:hAnsi="Times New Roman" w:cs="Times New Roman"/>
          <w:color w:val="auto"/>
        </w:rPr>
        <w:t>–</w:t>
      </w:r>
      <w:r w:rsidRPr="00B10210">
        <w:rPr>
          <w:rFonts w:ascii="Times New Roman" w:hAnsi="Times New Roman" w:cs="Times New Roman"/>
          <w:color w:val="auto"/>
        </w:rPr>
        <w:tab/>
        <w:t xml:space="preserve">smernicu Rady (EÚ) 2020/262 z 19. decembra 2019, ktorou sa </w:t>
      </w:r>
      <w:r w:rsidR="00A8373D" w:rsidRPr="00B10210">
        <w:rPr>
          <w:rFonts w:ascii="Times New Roman" w:hAnsi="Times New Roman" w:cs="Times New Roman"/>
          <w:color w:val="auto"/>
        </w:rPr>
        <w:t>u</w:t>
      </w:r>
      <w:r w:rsidRPr="00B10210">
        <w:rPr>
          <w:rFonts w:ascii="Times New Roman" w:hAnsi="Times New Roman" w:cs="Times New Roman"/>
          <w:color w:val="auto"/>
        </w:rPr>
        <w:t xml:space="preserve">stanovuje všeobecný </w:t>
      </w:r>
      <w:r w:rsidR="00A25584" w:rsidRPr="00B10210">
        <w:rPr>
          <w:rFonts w:ascii="Times New Roman" w:hAnsi="Times New Roman" w:cs="Times New Roman"/>
          <w:color w:val="auto"/>
        </w:rPr>
        <w:tab/>
      </w:r>
      <w:r w:rsidRPr="00B10210">
        <w:rPr>
          <w:rFonts w:ascii="Times New Roman" w:hAnsi="Times New Roman" w:cs="Times New Roman"/>
          <w:color w:val="auto"/>
        </w:rPr>
        <w:t>systém spotrebných daní.</w:t>
      </w:r>
    </w:p>
    <w:p w:rsidR="00CC3E2F" w:rsidRPr="00B10210" w:rsidRDefault="00CC3E2F" w:rsidP="009636F8">
      <w:pPr>
        <w:pStyle w:val="Zkladntext0"/>
        <w:jc w:val="both"/>
        <w:rPr>
          <w:rFonts w:ascii="Times New Roman" w:hAnsi="Times New Roman" w:cs="Times New Roman"/>
          <w:color w:val="auto"/>
        </w:rPr>
      </w:pPr>
    </w:p>
    <w:p w:rsidR="00CC3E2F" w:rsidRPr="00B10210" w:rsidRDefault="00A25584" w:rsidP="00A25584">
      <w:pPr>
        <w:pStyle w:val="Zkladntext0"/>
        <w:tabs>
          <w:tab w:val="left" w:pos="567"/>
        </w:tabs>
        <w:jc w:val="both"/>
        <w:rPr>
          <w:rFonts w:ascii="Times New Roman" w:hAnsi="Times New Roman" w:cs="Times New Roman"/>
          <w:color w:val="auto"/>
        </w:rPr>
      </w:pPr>
      <w:r w:rsidRPr="00B10210">
        <w:rPr>
          <w:rFonts w:ascii="Times New Roman" w:hAnsi="Times New Roman" w:cs="Times New Roman"/>
          <w:color w:val="auto"/>
        </w:rPr>
        <w:tab/>
      </w:r>
      <w:r w:rsidR="00CC3E2F" w:rsidRPr="00B10210">
        <w:rPr>
          <w:rFonts w:ascii="Times New Roman" w:hAnsi="Times New Roman" w:cs="Times New Roman"/>
          <w:color w:val="auto"/>
        </w:rPr>
        <w:t>Ďalej sa v návrhu zákona navrhuje:</w:t>
      </w:r>
    </w:p>
    <w:p w:rsidR="00650E7D" w:rsidRPr="00B10210" w:rsidRDefault="009636F8" w:rsidP="00D3331E">
      <w:pPr>
        <w:pStyle w:val="Zkladntext0"/>
        <w:tabs>
          <w:tab w:val="left" w:pos="567"/>
        </w:tabs>
        <w:ind w:left="567" w:hanging="567"/>
        <w:jc w:val="both"/>
        <w:rPr>
          <w:rFonts w:ascii="Times New Roman" w:hAnsi="Times New Roman" w:cs="Times New Roman"/>
        </w:rPr>
      </w:pPr>
      <w:r w:rsidRPr="00B10210">
        <w:rPr>
          <w:rFonts w:ascii="Times New Roman" w:hAnsi="Times New Roman" w:cs="Times New Roman"/>
          <w:color w:val="auto"/>
        </w:rPr>
        <w:t>–</w:t>
      </w:r>
      <w:r w:rsidRPr="00B10210">
        <w:rPr>
          <w:rFonts w:ascii="Times New Roman" w:hAnsi="Times New Roman" w:cs="Times New Roman"/>
          <w:color w:val="auto"/>
        </w:rPr>
        <w:tab/>
      </w:r>
      <w:r w:rsidR="00650E7D" w:rsidRPr="00B10210">
        <w:rPr>
          <w:rFonts w:ascii="Times New Roman" w:hAnsi="Times New Roman" w:cs="Times New Roman"/>
        </w:rPr>
        <w:t>úprava sadzieb spotrebnej dane pri cigaretách</w:t>
      </w:r>
      <w:r w:rsidR="00DD3E46" w:rsidRPr="00B10210">
        <w:rPr>
          <w:rFonts w:ascii="Times New Roman" w:hAnsi="Times New Roman" w:cs="Times New Roman"/>
        </w:rPr>
        <w:t>,</w:t>
      </w:r>
      <w:r w:rsidR="00650E7D" w:rsidRPr="00B10210">
        <w:rPr>
          <w:rFonts w:ascii="Times New Roman" w:hAnsi="Times New Roman" w:cs="Times New Roman"/>
        </w:rPr>
        <w:t xml:space="preserve"> bezdymovom tabakovom výrobku </w:t>
      </w:r>
      <w:r w:rsidR="00DD3E46" w:rsidRPr="00B10210">
        <w:rPr>
          <w:rFonts w:ascii="Times New Roman" w:hAnsi="Times New Roman" w:cs="Times New Roman"/>
        </w:rPr>
        <w:t xml:space="preserve">a tabaku </w:t>
      </w:r>
      <w:r w:rsidR="00650E7D" w:rsidRPr="00B10210">
        <w:rPr>
          <w:rFonts w:ascii="Times New Roman" w:hAnsi="Times New Roman" w:cs="Times New Roman"/>
        </w:rPr>
        <w:t>v troch krokoch</w:t>
      </w:r>
      <w:r w:rsidR="00DD3E46" w:rsidRPr="00B10210">
        <w:rPr>
          <w:rFonts w:ascii="Times New Roman" w:hAnsi="Times New Roman" w:cs="Times New Roman"/>
        </w:rPr>
        <w:t xml:space="preserve"> (v rámci pokračovania daňového kalendára)</w:t>
      </w:r>
      <w:r w:rsidR="00650E7D" w:rsidRPr="00B10210">
        <w:rPr>
          <w:rFonts w:ascii="Times New Roman" w:hAnsi="Times New Roman" w:cs="Times New Roman"/>
        </w:rPr>
        <w:t xml:space="preserve">, v prípade </w:t>
      </w:r>
      <w:r w:rsidR="00DD3E46" w:rsidRPr="00B10210">
        <w:rPr>
          <w:rFonts w:ascii="Times New Roman" w:hAnsi="Times New Roman" w:cs="Times New Roman"/>
          <w:bCs/>
        </w:rPr>
        <w:t>cigár a </w:t>
      </w:r>
      <w:proofErr w:type="spellStart"/>
      <w:r w:rsidR="00DD3E46" w:rsidRPr="00B10210">
        <w:rPr>
          <w:rFonts w:ascii="Times New Roman" w:hAnsi="Times New Roman" w:cs="Times New Roman"/>
          <w:bCs/>
        </w:rPr>
        <w:t>cigariek</w:t>
      </w:r>
      <w:proofErr w:type="spellEnd"/>
      <w:r w:rsidR="00DD3E46" w:rsidRPr="00B10210">
        <w:rPr>
          <w:rFonts w:ascii="Times New Roman" w:hAnsi="Times New Roman" w:cs="Times New Roman"/>
        </w:rPr>
        <w:t xml:space="preserve"> </w:t>
      </w:r>
      <w:r w:rsidR="00650E7D" w:rsidRPr="00B10210">
        <w:rPr>
          <w:rFonts w:ascii="Times New Roman" w:hAnsi="Times New Roman" w:cs="Times New Roman"/>
        </w:rPr>
        <w:t>sa navrhuje </w:t>
      </w:r>
      <w:r w:rsidR="00DD3E46" w:rsidRPr="00B10210">
        <w:rPr>
          <w:rFonts w:ascii="Times New Roman" w:hAnsi="Times New Roman" w:cs="Times New Roman"/>
        </w:rPr>
        <w:t xml:space="preserve">jednorazová úprava sadzby </w:t>
      </w:r>
      <w:r w:rsidR="00650E7D" w:rsidRPr="00B10210">
        <w:rPr>
          <w:rFonts w:ascii="Times New Roman" w:hAnsi="Times New Roman" w:cs="Times New Roman"/>
        </w:rPr>
        <w:t>spotrebnej dane,</w:t>
      </w:r>
    </w:p>
    <w:p w:rsidR="00CC3E2F" w:rsidRPr="00B10210" w:rsidRDefault="009636F8" w:rsidP="00D3331E">
      <w:pPr>
        <w:pStyle w:val="Zkladntext0"/>
        <w:tabs>
          <w:tab w:val="left" w:pos="567"/>
        </w:tabs>
        <w:ind w:left="567" w:hanging="567"/>
        <w:jc w:val="both"/>
        <w:rPr>
          <w:rFonts w:ascii="Times New Roman" w:hAnsi="Times New Roman" w:cs="Times New Roman"/>
          <w:color w:val="auto"/>
        </w:rPr>
      </w:pPr>
      <w:r w:rsidRPr="00B10210">
        <w:rPr>
          <w:rFonts w:ascii="Times New Roman" w:hAnsi="Times New Roman" w:cs="Times New Roman"/>
          <w:color w:val="auto"/>
        </w:rPr>
        <w:t>–</w:t>
      </w:r>
      <w:r w:rsidRPr="00B10210">
        <w:rPr>
          <w:rFonts w:ascii="Times New Roman" w:hAnsi="Times New Roman" w:cs="Times New Roman"/>
          <w:color w:val="auto"/>
        </w:rPr>
        <w:tab/>
      </w:r>
      <w:r w:rsidR="00D3331E" w:rsidRPr="00B10210">
        <w:rPr>
          <w:rFonts w:ascii="Times New Roman" w:hAnsi="Times New Roman" w:cs="Times New Roman"/>
          <w:color w:val="auto"/>
        </w:rPr>
        <w:t>úprava ustanovení týkajúcich sa označovania cigár a nastavenie prechodného obdobia pre cigary do vypredania zásob,</w:t>
      </w:r>
    </w:p>
    <w:p w:rsidR="00CC3E2F" w:rsidRPr="00B10210" w:rsidRDefault="009636F8" w:rsidP="00A25584">
      <w:pPr>
        <w:pStyle w:val="Zkladntext0"/>
        <w:tabs>
          <w:tab w:val="left" w:pos="567"/>
        </w:tabs>
        <w:jc w:val="both"/>
        <w:rPr>
          <w:rFonts w:ascii="Times New Roman" w:hAnsi="Times New Roman" w:cs="Times New Roman"/>
          <w:color w:val="auto"/>
        </w:rPr>
      </w:pPr>
      <w:r w:rsidRPr="00B10210">
        <w:rPr>
          <w:rFonts w:ascii="Times New Roman" w:hAnsi="Times New Roman" w:cs="Times New Roman"/>
          <w:color w:val="auto"/>
        </w:rPr>
        <w:t>–</w:t>
      </w:r>
      <w:r w:rsidRPr="00B10210">
        <w:rPr>
          <w:rFonts w:ascii="Times New Roman" w:hAnsi="Times New Roman" w:cs="Times New Roman"/>
          <w:color w:val="auto"/>
        </w:rPr>
        <w:tab/>
        <w:t>legislatívno-technické úpravy vyplývajú</w:t>
      </w:r>
      <w:r w:rsidR="00CC3E2F" w:rsidRPr="00B10210">
        <w:rPr>
          <w:rFonts w:ascii="Times New Roman" w:hAnsi="Times New Roman" w:cs="Times New Roman"/>
          <w:color w:val="auto"/>
        </w:rPr>
        <w:t>ce z poznatkov aplikačnej praxe.</w:t>
      </w:r>
    </w:p>
    <w:p w:rsidR="009636F8" w:rsidRPr="00B10210" w:rsidRDefault="009636F8" w:rsidP="009636F8">
      <w:pPr>
        <w:pStyle w:val="Zkladntext0"/>
        <w:jc w:val="both"/>
        <w:rPr>
          <w:rFonts w:ascii="Times New Roman" w:hAnsi="Times New Roman" w:cs="Times New Roman"/>
          <w:color w:val="1F497D"/>
        </w:rPr>
      </w:pPr>
    </w:p>
    <w:p w:rsidR="007F5E78" w:rsidRPr="00B10210" w:rsidRDefault="00A374C8" w:rsidP="00650E7D">
      <w:pPr>
        <w:ind w:firstLine="567"/>
        <w:jc w:val="both"/>
        <w:rPr>
          <w:rStyle w:val="Zstupntext"/>
          <w:color w:val="000000"/>
        </w:rPr>
      </w:pPr>
      <w:r w:rsidRPr="00B10210">
        <w:rPr>
          <w:color w:val="000000"/>
        </w:rPr>
        <w:t>Tento zákon nadobúda účinnosť 1. januára 2021 okrem čl. I bodov 7, 17, 28, 30, 61 až 63 a § 44ac v bode 101, ktoré nadobúdajú účinnosť 1. júla 2022, čl. I bodov 5 a 51, ktoré nadobúdajú účinnosť 1. februára 2023 a čl. I bodov 29, 31, 33, 34, 71 až 76, 80, 81, 87, 88, 90, §</w:t>
      </w:r>
      <w:r w:rsidRPr="00B10210">
        <w:t xml:space="preserve"> 41 ods. 1 písm. z) v bode 92, bodov 94 a 99 </w:t>
      </w:r>
      <w:r w:rsidRPr="00B10210">
        <w:rPr>
          <w:color w:val="000000"/>
        </w:rPr>
        <w:t>a § 44ae v bode 101, ktoré nadobúdajú účinnosť 13. februára 2023.</w:t>
      </w:r>
    </w:p>
    <w:p w:rsidR="00403848" w:rsidRPr="00B10210" w:rsidRDefault="00403848" w:rsidP="00B16C86">
      <w:pPr>
        <w:jc w:val="both"/>
      </w:pPr>
    </w:p>
    <w:p w:rsidR="009636F8" w:rsidRPr="00B10210" w:rsidRDefault="00F04101" w:rsidP="00B16C86">
      <w:pPr>
        <w:ind w:firstLine="567"/>
        <w:jc w:val="both"/>
        <w:rPr>
          <w:rStyle w:val="Nadpis1Char"/>
          <w:color w:val="000000"/>
          <w:lang w:eastAsia="sk-SK"/>
        </w:rPr>
      </w:pPr>
      <w:r w:rsidRPr="00B10210">
        <w:rPr>
          <w:rStyle w:val="Nadpis1Char"/>
          <w:color w:val="000000"/>
          <w:lang w:eastAsia="sk-SK"/>
        </w:rPr>
        <w:t>Vplyv návrhu zákona na rozpočet verejnej správy, na podnikateľské prostredie</w:t>
      </w:r>
      <w:r w:rsidR="00650E7D" w:rsidRPr="00B10210">
        <w:rPr>
          <w:rStyle w:val="Nadpis1Char"/>
          <w:color w:val="000000"/>
          <w:lang w:eastAsia="sk-SK"/>
        </w:rPr>
        <w:t xml:space="preserve"> </w:t>
      </w:r>
      <w:r w:rsidR="00650E7D" w:rsidRPr="00B10210">
        <w:rPr>
          <w:rStyle w:val="Nadpis1Char"/>
          <w:color w:val="000000"/>
          <w:lang w:eastAsia="sk-SK"/>
        </w:rPr>
        <w:br/>
      </w:r>
      <w:r w:rsidRPr="00B10210">
        <w:rPr>
          <w:rStyle w:val="Nadpis1Char"/>
          <w:color w:val="000000"/>
          <w:lang w:eastAsia="sk-SK"/>
        </w:rPr>
        <w:t>a informatizáciu spoločnosti je podrobne uvedený v doložke vybraných vplyvov. Návrh zákona nepredpokladá žiadne vplyvy na sociálne prostredie, na životné prostredie, na služby verejnej správy pre občana a na manželstvo, rodičovstvo a rodinu. Predkladaný návrh zákona nebude mať vplyv na rozpočty obcí a rozpočty vyšších územných celkov.</w:t>
      </w:r>
    </w:p>
    <w:p w:rsidR="00D3331E" w:rsidRPr="00B10210" w:rsidRDefault="00D3331E" w:rsidP="00B16C86">
      <w:pPr>
        <w:ind w:firstLine="567"/>
        <w:jc w:val="both"/>
        <w:rPr>
          <w:rStyle w:val="Zstupntext"/>
          <w:color w:val="000000"/>
        </w:rPr>
      </w:pPr>
    </w:p>
    <w:p w:rsidR="009636F8" w:rsidRPr="00B10210" w:rsidRDefault="009636F8" w:rsidP="00B16C86">
      <w:pPr>
        <w:ind w:firstLine="567"/>
        <w:jc w:val="both"/>
        <w:rPr>
          <w:rStyle w:val="Zstupntext"/>
          <w:color w:val="000000"/>
        </w:rPr>
      </w:pPr>
      <w:r w:rsidRPr="00B10210">
        <w:rPr>
          <w:rStyle w:val="Zstupntext"/>
          <w:color w:val="000000"/>
        </w:rPr>
        <w:t xml:space="preserve">Návrh zákona nie je predmetom </w:t>
      </w:r>
      <w:proofErr w:type="spellStart"/>
      <w:r w:rsidRPr="00B10210">
        <w:rPr>
          <w:rStyle w:val="Zstupntext"/>
          <w:color w:val="000000"/>
        </w:rPr>
        <w:t>vnútrokomunitárneho</w:t>
      </w:r>
      <w:proofErr w:type="spellEnd"/>
      <w:r w:rsidRPr="00B10210">
        <w:rPr>
          <w:rStyle w:val="Zstupntext"/>
          <w:color w:val="000000"/>
        </w:rPr>
        <w:t xml:space="preserve"> pripomienkového konania.</w:t>
      </w:r>
    </w:p>
    <w:p w:rsidR="001B1696" w:rsidRPr="00B10210" w:rsidRDefault="001B1696" w:rsidP="00B16C86">
      <w:pPr>
        <w:jc w:val="both"/>
        <w:rPr>
          <w:strike/>
        </w:rPr>
      </w:pPr>
    </w:p>
    <w:p w:rsidR="001B1696" w:rsidRPr="00B10210" w:rsidRDefault="009636F8" w:rsidP="00B16C86">
      <w:pPr>
        <w:ind w:firstLine="567"/>
        <w:jc w:val="both"/>
      </w:pPr>
      <w:r w:rsidRPr="00B10210">
        <w:t xml:space="preserve">Predkladaný návrh zákona je v súlade s Ústavou Slovenskej republiky, ústavnými zákonmi, nálezmi Ústavného súdu Slovenskej republiky </w:t>
      </w:r>
      <w:r w:rsidR="00AA1D95" w:rsidRPr="00B10210">
        <w:t>a inými právnymi predpismi, medzinárodnými zmluvami a dokumentmi, ktorými je Slovenská republika via</w:t>
      </w:r>
      <w:r w:rsidR="00650E7D" w:rsidRPr="00B10210">
        <w:t xml:space="preserve">zaná, ako aj </w:t>
      </w:r>
      <w:r w:rsidR="00650E7D" w:rsidRPr="00B10210">
        <w:br/>
      </w:r>
      <w:r w:rsidR="00AA1D95" w:rsidRPr="00B10210">
        <w:t>v súlade s právom Európskej únie</w:t>
      </w:r>
      <w:r w:rsidRPr="00B10210">
        <w:t>.</w:t>
      </w:r>
    </w:p>
    <w:p w:rsidR="00EE13B4" w:rsidRPr="00B10210" w:rsidRDefault="00EE13B4" w:rsidP="009636F8">
      <w:pPr>
        <w:jc w:val="both"/>
      </w:pPr>
    </w:p>
    <w:p w:rsidR="00534FA2" w:rsidRPr="00B10210" w:rsidRDefault="00534FA2" w:rsidP="009636F8">
      <w:pPr>
        <w:jc w:val="both"/>
      </w:pPr>
    </w:p>
    <w:p w:rsidR="00534FA2" w:rsidRPr="00B10210" w:rsidRDefault="00534FA2" w:rsidP="009636F8">
      <w:pPr>
        <w:jc w:val="both"/>
      </w:pPr>
    </w:p>
    <w:p w:rsidR="00534FA2" w:rsidRPr="00B10210" w:rsidRDefault="00534FA2" w:rsidP="00534FA2">
      <w:pPr>
        <w:spacing w:after="120"/>
        <w:jc w:val="center"/>
        <w:rPr>
          <w:b/>
        </w:rPr>
      </w:pPr>
      <w:r w:rsidRPr="00B10210">
        <w:rPr>
          <w:b/>
          <w:bCs/>
          <w:sz w:val="28"/>
          <w:szCs w:val="28"/>
        </w:rPr>
        <w:lastRenderedPageBreak/>
        <w:t>Doložka vybraných vplyvov</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534FA2" w:rsidRPr="00B10210" w:rsidTr="00FC66D4">
        <w:tc>
          <w:tcPr>
            <w:tcW w:w="9180" w:type="dxa"/>
            <w:gridSpan w:val="10"/>
            <w:tcBorders>
              <w:bottom w:val="single" w:sz="4" w:space="0" w:color="FFFFFF"/>
            </w:tcBorders>
            <w:shd w:val="clear" w:color="auto" w:fill="E2E2E2"/>
          </w:tcPr>
          <w:p w:rsidR="00534FA2" w:rsidRPr="00B10210" w:rsidRDefault="00534FA2" w:rsidP="00534FA2">
            <w:pPr>
              <w:pStyle w:val="Odsekzoznamu"/>
              <w:numPr>
                <w:ilvl w:val="0"/>
                <w:numId w:val="16"/>
              </w:numPr>
              <w:spacing w:after="0" w:line="240" w:lineRule="auto"/>
              <w:ind w:left="426"/>
              <w:rPr>
                <w:rFonts w:ascii="Times New Roman" w:hAnsi="Times New Roman"/>
                <w:b/>
              </w:rPr>
            </w:pPr>
            <w:r w:rsidRPr="00B10210">
              <w:rPr>
                <w:rFonts w:ascii="Times New Roman" w:hAnsi="Times New Roman"/>
                <w:b/>
              </w:rPr>
              <w:t>Základné údaje</w:t>
            </w:r>
          </w:p>
        </w:tc>
      </w:tr>
      <w:tr w:rsidR="00534FA2" w:rsidRPr="00B10210" w:rsidTr="00FC66D4">
        <w:tc>
          <w:tcPr>
            <w:tcW w:w="9180" w:type="dxa"/>
            <w:gridSpan w:val="10"/>
            <w:tcBorders>
              <w:bottom w:val="single" w:sz="4" w:space="0" w:color="FFFFFF"/>
            </w:tcBorders>
            <w:shd w:val="clear" w:color="auto" w:fill="E2E2E2"/>
          </w:tcPr>
          <w:p w:rsidR="00534FA2" w:rsidRPr="00B10210" w:rsidRDefault="00534FA2" w:rsidP="00FC66D4">
            <w:pPr>
              <w:pStyle w:val="Odsekzoznamu"/>
              <w:spacing w:after="0" w:line="240" w:lineRule="auto"/>
              <w:ind w:left="142"/>
              <w:rPr>
                <w:rFonts w:ascii="Times New Roman" w:hAnsi="Times New Roman"/>
                <w:b/>
              </w:rPr>
            </w:pPr>
            <w:r w:rsidRPr="00B10210">
              <w:rPr>
                <w:rFonts w:ascii="Times New Roman" w:hAnsi="Times New Roman"/>
                <w:b/>
              </w:rPr>
              <w:t>Názov materiálu</w:t>
            </w:r>
          </w:p>
        </w:tc>
      </w:tr>
      <w:tr w:rsidR="00534FA2" w:rsidRPr="00B10210" w:rsidTr="00FC66D4">
        <w:tc>
          <w:tcPr>
            <w:tcW w:w="9180" w:type="dxa"/>
            <w:gridSpan w:val="10"/>
            <w:tcBorders>
              <w:top w:val="single" w:sz="4" w:space="0" w:color="FFFFFF"/>
            </w:tcBorders>
            <w:shd w:val="clear" w:color="auto" w:fill="auto"/>
          </w:tcPr>
          <w:p w:rsidR="00534FA2" w:rsidRPr="00B10210" w:rsidRDefault="00534FA2" w:rsidP="00FC66D4">
            <w:pPr>
              <w:jc w:val="both"/>
            </w:pPr>
            <w:r w:rsidRPr="00B10210">
              <w:rPr>
                <w:bCs/>
              </w:rPr>
              <w:t xml:space="preserve">Návrh </w:t>
            </w:r>
            <w:r w:rsidRPr="00B10210">
              <w:t>zákona, ktorým sa mení a dopĺňa zákon č. 106/2004 Z. z. o spotrebnej dani z tabakových výrobkov v znení neskorších predpisov</w:t>
            </w:r>
          </w:p>
          <w:p w:rsidR="00534FA2" w:rsidRPr="00B10210" w:rsidRDefault="00534FA2" w:rsidP="00FC66D4">
            <w:pPr>
              <w:jc w:val="both"/>
              <w:rPr>
                <w:sz w:val="8"/>
                <w:szCs w:val="8"/>
              </w:rPr>
            </w:pPr>
          </w:p>
        </w:tc>
      </w:tr>
      <w:tr w:rsidR="00534FA2" w:rsidRPr="00B10210" w:rsidTr="00FC66D4">
        <w:tc>
          <w:tcPr>
            <w:tcW w:w="9180" w:type="dxa"/>
            <w:gridSpan w:val="10"/>
            <w:tcBorders>
              <w:bottom w:val="single" w:sz="4" w:space="0" w:color="FFFFFF"/>
            </w:tcBorders>
            <w:shd w:val="clear" w:color="auto" w:fill="E2E2E2"/>
          </w:tcPr>
          <w:p w:rsidR="00534FA2" w:rsidRPr="00B10210" w:rsidRDefault="00534FA2" w:rsidP="00FC66D4">
            <w:pPr>
              <w:pStyle w:val="Odsekzoznamu"/>
              <w:spacing w:after="0" w:line="240" w:lineRule="auto"/>
              <w:ind w:left="142"/>
              <w:rPr>
                <w:rFonts w:ascii="Times New Roman" w:hAnsi="Times New Roman"/>
                <w:b/>
              </w:rPr>
            </w:pPr>
            <w:r w:rsidRPr="00B10210">
              <w:rPr>
                <w:rFonts w:ascii="Times New Roman" w:hAnsi="Times New Roman"/>
                <w:b/>
              </w:rPr>
              <w:t>Predkladateľ (a spolupredkladateľ)</w:t>
            </w:r>
          </w:p>
        </w:tc>
      </w:tr>
      <w:tr w:rsidR="00534FA2" w:rsidRPr="00B10210" w:rsidTr="00FC66D4">
        <w:tc>
          <w:tcPr>
            <w:tcW w:w="9180" w:type="dxa"/>
            <w:gridSpan w:val="10"/>
            <w:tcBorders>
              <w:top w:val="single" w:sz="4" w:space="0" w:color="FFFFFF"/>
            </w:tcBorders>
            <w:shd w:val="clear" w:color="auto" w:fill="FFFFFF"/>
          </w:tcPr>
          <w:p w:rsidR="00534FA2" w:rsidRPr="00B10210" w:rsidRDefault="00534FA2" w:rsidP="00FC66D4">
            <w:r w:rsidRPr="00B10210">
              <w:t>Ministerstvo financií Slovenskej republiky</w:t>
            </w:r>
          </w:p>
          <w:p w:rsidR="00534FA2" w:rsidRPr="00B10210" w:rsidRDefault="00534FA2" w:rsidP="00FC66D4">
            <w:pPr>
              <w:rPr>
                <w:sz w:val="8"/>
                <w:szCs w:val="8"/>
              </w:rPr>
            </w:pPr>
          </w:p>
        </w:tc>
      </w:tr>
      <w:tr w:rsidR="00534FA2" w:rsidRPr="00B10210" w:rsidTr="00FC66D4">
        <w:tc>
          <w:tcPr>
            <w:tcW w:w="4212" w:type="dxa"/>
            <w:gridSpan w:val="2"/>
            <w:vMerge w:val="restart"/>
            <w:tcBorders>
              <w:bottom w:val="single" w:sz="4" w:space="0" w:color="FFFFFF"/>
            </w:tcBorders>
            <w:shd w:val="clear" w:color="auto" w:fill="E2E2E2"/>
            <w:vAlign w:val="center"/>
          </w:tcPr>
          <w:p w:rsidR="00534FA2" w:rsidRPr="00B10210" w:rsidRDefault="00534FA2" w:rsidP="00FC66D4">
            <w:pPr>
              <w:pStyle w:val="Odsekzoznamu"/>
              <w:spacing w:after="0" w:line="240" w:lineRule="auto"/>
              <w:ind w:left="142"/>
              <w:rPr>
                <w:rFonts w:ascii="Times New Roman" w:hAnsi="Times New Roman"/>
                <w:b/>
              </w:rPr>
            </w:pPr>
            <w:r w:rsidRPr="00B10210">
              <w:rPr>
                <w:rFonts w:ascii="Times New Roman" w:hAnsi="Times New Roman"/>
                <w:b/>
              </w:rPr>
              <w:t>Charakter predkladaného materiálu</w:t>
            </w:r>
          </w:p>
        </w:tc>
        <w:tc>
          <w:tcPr>
            <w:tcW w:w="705" w:type="dxa"/>
            <w:gridSpan w:val="2"/>
            <w:tcBorders>
              <w:right w:val="nil"/>
            </w:tcBorders>
            <w:shd w:val="clear" w:color="auto" w:fill="FFFFFF"/>
          </w:tcPr>
          <w:p w:rsidR="00534FA2" w:rsidRPr="00B10210" w:rsidRDefault="00534FA2" w:rsidP="00FC66D4">
            <w:pPr>
              <w:jc w:val="center"/>
            </w:pPr>
            <w:r w:rsidRPr="00B10210">
              <w:rPr>
                <w:rFonts w:ascii="Segoe UI Symbol" w:eastAsia="MS Mincho" w:hAnsi="Segoe UI Symbol" w:cs="Segoe UI Symbol"/>
              </w:rPr>
              <w:t>☐</w:t>
            </w:r>
          </w:p>
        </w:tc>
        <w:tc>
          <w:tcPr>
            <w:tcW w:w="4263" w:type="dxa"/>
            <w:gridSpan w:val="6"/>
            <w:tcBorders>
              <w:left w:val="nil"/>
            </w:tcBorders>
            <w:shd w:val="clear" w:color="auto" w:fill="FFFFFF"/>
          </w:tcPr>
          <w:p w:rsidR="00534FA2" w:rsidRPr="00B10210" w:rsidRDefault="00534FA2" w:rsidP="00FC66D4">
            <w:r w:rsidRPr="00B10210">
              <w:t>Materiál nelegislatívnej povahy</w:t>
            </w:r>
          </w:p>
        </w:tc>
      </w:tr>
      <w:tr w:rsidR="00534FA2" w:rsidRPr="00B10210" w:rsidTr="00FC66D4">
        <w:tc>
          <w:tcPr>
            <w:tcW w:w="4212" w:type="dxa"/>
            <w:gridSpan w:val="2"/>
            <w:vMerge/>
            <w:tcBorders>
              <w:top w:val="nil"/>
              <w:bottom w:val="single" w:sz="4" w:space="0" w:color="FFFFFF"/>
            </w:tcBorders>
            <w:shd w:val="clear" w:color="auto" w:fill="E2E2E2"/>
          </w:tcPr>
          <w:p w:rsidR="00534FA2" w:rsidRPr="00B10210" w:rsidRDefault="00534FA2" w:rsidP="00FC66D4"/>
        </w:tc>
        <w:tc>
          <w:tcPr>
            <w:tcW w:w="705" w:type="dxa"/>
            <w:gridSpan w:val="2"/>
            <w:tcBorders>
              <w:right w:val="nil"/>
            </w:tcBorders>
            <w:shd w:val="clear" w:color="auto" w:fill="FFFFFF"/>
          </w:tcPr>
          <w:p w:rsidR="00534FA2" w:rsidRPr="00B10210" w:rsidRDefault="00534FA2" w:rsidP="00FC66D4">
            <w:pPr>
              <w:jc w:val="center"/>
            </w:pPr>
            <w:r w:rsidRPr="00B10210">
              <w:rPr>
                <w:rFonts w:ascii="Segoe UI Symbol" w:eastAsia="MS Mincho" w:hAnsi="Segoe UI Symbol" w:cs="Segoe UI Symbol"/>
              </w:rPr>
              <w:t>☒</w:t>
            </w:r>
          </w:p>
        </w:tc>
        <w:tc>
          <w:tcPr>
            <w:tcW w:w="4263" w:type="dxa"/>
            <w:gridSpan w:val="6"/>
            <w:tcBorders>
              <w:left w:val="nil"/>
            </w:tcBorders>
            <w:shd w:val="clear" w:color="auto" w:fill="FFFFFF"/>
          </w:tcPr>
          <w:p w:rsidR="00534FA2" w:rsidRPr="00B10210" w:rsidRDefault="00534FA2" w:rsidP="00FC66D4">
            <w:pPr>
              <w:ind w:left="175" w:hanging="175"/>
            </w:pPr>
            <w:r w:rsidRPr="00B10210">
              <w:t>Materiál legislatívnej povahy</w:t>
            </w:r>
          </w:p>
        </w:tc>
      </w:tr>
      <w:tr w:rsidR="00534FA2" w:rsidRPr="00B10210" w:rsidTr="00FC66D4">
        <w:tc>
          <w:tcPr>
            <w:tcW w:w="4212" w:type="dxa"/>
            <w:gridSpan w:val="2"/>
            <w:vMerge/>
            <w:tcBorders>
              <w:top w:val="nil"/>
            </w:tcBorders>
            <w:shd w:val="clear" w:color="auto" w:fill="E2E2E2"/>
          </w:tcPr>
          <w:p w:rsidR="00534FA2" w:rsidRPr="00B10210" w:rsidRDefault="00534FA2" w:rsidP="00FC66D4"/>
        </w:tc>
        <w:tc>
          <w:tcPr>
            <w:tcW w:w="705" w:type="dxa"/>
            <w:gridSpan w:val="2"/>
            <w:tcBorders>
              <w:right w:val="nil"/>
            </w:tcBorders>
            <w:shd w:val="clear" w:color="auto" w:fill="FFFFFF"/>
          </w:tcPr>
          <w:p w:rsidR="00534FA2" w:rsidRPr="00B10210" w:rsidRDefault="00534FA2" w:rsidP="00FC66D4">
            <w:pPr>
              <w:jc w:val="center"/>
            </w:pPr>
            <w:r w:rsidRPr="00B10210">
              <w:rPr>
                <w:rFonts w:ascii="Segoe UI Symbol" w:eastAsia="MS Mincho" w:hAnsi="Segoe UI Symbol" w:cs="Segoe UI Symbol"/>
              </w:rPr>
              <w:t>☒</w:t>
            </w:r>
          </w:p>
        </w:tc>
        <w:tc>
          <w:tcPr>
            <w:tcW w:w="4263" w:type="dxa"/>
            <w:gridSpan w:val="6"/>
            <w:tcBorders>
              <w:left w:val="nil"/>
            </w:tcBorders>
            <w:shd w:val="clear" w:color="auto" w:fill="FFFFFF"/>
          </w:tcPr>
          <w:p w:rsidR="00534FA2" w:rsidRPr="00B10210" w:rsidRDefault="00534FA2" w:rsidP="00FC66D4">
            <w:r w:rsidRPr="00B10210">
              <w:t>Transpozícia práva EÚ</w:t>
            </w:r>
          </w:p>
        </w:tc>
      </w:tr>
      <w:tr w:rsidR="00534FA2" w:rsidRPr="00B10210" w:rsidTr="00FC66D4">
        <w:tc>
          <w:tcPr>
            <w:tcW w:w="9180" w:type="dxa"/>
            <w:gridSpan w:val="10"/>
            <w:tcBorders>
              <w:bottom w:val="single" w:sz="4" w:space="0" w:color="FFFFFF"/>
            </w:tcBorders>
            <w:shd w:val="clear" w:color="auto" w:fill="FFFFFF"/>
          </w:tcPr>
          <w:p w:rsidR="00534FA2" w:rsidRPr="00B10210" w:rsidRDefault="00534FA2" w:rsidP="00FC66D4">
            <w:pPr>
              <w:rPr>
                <w:i/>
              </w:rPr>
            </w:pPr>
            <w:r w:rsidRPr="00B10210">
              <w:rPr>
                <w:i/>
              </w:rPr>
              <w:t>V prípade transpozície uveďte zoznam transponovaných predpisov:</w:t>
            </w:r>
          </w:p>
          <w:p w:rsidR="00534FA2" w:rsidRPr="00B10210" w:rsidRDefault="00534FA2" w:rsidP="00534FA2">
            <w:pPr>
              <w:pStyle w:val="Odsekzoznamu"/>
              <w:numPr>
                <w:ilvl w:val="0"/>
                <w:numId w:val="29"/>
              </w:numPr>
              <w:spacing w:after="0" w:line="240" w:lineRule="auto"/>
              <w:ind w:left="426" w:hanging="284"/>
              <w:jc w:val="both"/>
              <w:rPr>
                <w:rFonts w:ascii="Times New Roman" w:hAnsi="Times New Roman"/>
                <w:sz w:val="24"/>
                <w:szCs w:val="24"/>
              </w:rPr>
            </w:pPr>
            <w:r w:rsidRPr="00B10210">
              <w:rPr>
                <w:rFonts w:ascii="Times New Roman" w:hAnsi="Times New Roman"/>
                <w:sz w:val="24"/>
                <w:szCs w:val="24"/>
              </w:rPr>
              <w:t xml:space="preserve">smernica Rady (EÚ) 2019/475 z 18. februára 2019, ktorou sa menia smernice 2006/112/ES a 2008/118/ES, pokiaľ ide o začlenenie talianskej obce </w:t>
            </w:r>
            <w:proofErr w:type="spellStart"/>
            <w:r w:rsidRPr="00B10210">
              <w:rPr>
                <w:rFonts w:ascii="Times New Roman" w:hAnsi="Times New Roman"/>
                <w:sz w:val="24"/>
                <w:szCs w:val="24"/>
              </w:rPr>
              <w:t>Campione</w:t>
            </w:r>
            <w:proofErr w:type="spellEnd"/>
            <w:r w:rsidRPr="00B10210">
              <w:rPr>
                <w:rFonts w:ascii="Times New Roman" w:hAnsi="Times New Roman"/>
                <w:sz w:val="24"/>
                <w:szCs w:val="24"/>
              </w:rPr>
              <w:t xml:space="preserve"> </w:t>
            </w:r>
            <w:proofErr w:type="spellStart"/>
            <w:r w:rsidRPr="00B10210">
              <w:rPr>
                <w:rFonts w:ascii="Times New Roman" w:hAnsi="Times New Roman"/>
                <w:sz w:val="24"/>
                <w:szCs w:val="24"/>
              </w:rPr>
              <w:t>d´Italia</w:t>
            </w:r>
            <w:proofErr w:type="spellEnd"/>
            <w:r w:rsidRPr="00B10210">
              <w:rPr>
                <w:rFonts w:ascii="Times New Roman" w:hAnsi="Times New Roman"/>
                <w:sz w:val="24"/>
                <w:szCs w:val="24"/>
              </w:rPr>
              <w:t xml:space="preserve"> a talianskych vôd jazera </w:t>
            </w:r>
            <w:proofErr w:type="spellStart"/>
            <w:r w:rsidRPr="00B10210">
              <w:rPr>
                <w:rFonts w:ascii="Times New Roman" w:hAnsi="Times New Roman"/>
                <w:sz w:val="24"/>
                <w:szCs w:val="24"/>
              </w:rPr>
              <w:t>Lugano</w:t>
            </w:r>
            <w:proofErr w:type="spellEnd"/>
            <w:r w:rsidRPr="00B10210">
              <w:rPr>
                <w:rFonts w:ascii="Times New Roman" w:hAnsi="Times New Roman"/>
                <w:sz w:val="24"/>
                <w:szCs w:val="24"/>
              </w:rPr>
              <w:t xml:space="preserve"> do colného územia Únie a do územnej pôsobnosti smernice 2008/118/ES (ďalej len „smernica Rady (EÚ) 2019/475“), </w:t>
            </w:r>
          </w:p>
          <w:p w:rsidR="00534FA2" w:rsidRPr="00B10210" w:rsidRDefault="00534FA2" w:rsidP="00534FA2">
            <w:pPr>
              <w:pStyle w:val="Odsekzoznamu"/>
              <w:numPr>
                <w:ilvl w:val="0"/>
                <w:numId w:val="29"/>
              </w:numPr>
              <w:spacing w:after="0" w:line="240" w:lineRule="auto"/>
              <w:ind w:left="426" w:hanging="284"/>
              <w:jc w:val="both"/>
              <w:rPr>
                <w:rFonts w:ascii="Times New Roman" w:hAnsi="Times New Roman"/>
                <w:sz w:val="24"/>
                <w:szCs w:val="24"/>
              </w:rPr>
            </w:pPr>
            <w:r w:rsidRPr="00B10210">
              <w:rPr>
                <w:rFonts w:ascii="Times New Roman" w:hAnsi="Times New Roman"/>
                <w:sz w:val="24"/>
                <w:szCs w:val="24"/>
              </w:rPr>
              <w:t>smernica Rady (EÚ) 2019/2235 zo 16. decembra 2019, ktorou sa mení smernica 2006/112/ES o spoločnom systéme dane z pridanej hodnoty a smernica 2008/118/ES o všeobecnom systéme spotrebných daní, pokiaľ ide o obranné úsilie v rámci Únie (ďalej len „smernica Rady (EÚ) 2019/2235“),</w:t>
            </w:r>
          </w:p>
          <w:p w:rsidR="00534FA2" w:rsidRPr="00B10210" w:rsidRDefault="00534FA2" w:rsidP="00534FA2">
            <w:pPr>
              <w:pStyle w:val="Odsekzoznamu"/>
              <w:numPr>
                <w:ilvl w:val="0"/>
                <w:numId w:val="29"/>
              </w:numPr>
              <w:spacing w:after="0" w:line="240" w:lineRule="auto"/>
              <w:ind w:left="426" w:hanging="284"/>
              <w:jc w:val="both"/>
              <w:rPr>
                <w:rFonts w:ascii="Times New Roman" w:hAnsi="Times New Roman"/>
                <w:sz w:val="24"/>
                <w:szCs w:val="24"/>
              </w:rPr>
            </w:pPr>
            <w:r w:rsidRPr="00B10210">
              <w:rPr>
                <w:rFonts w:ascii="Times New Roman" w:hAnsi="Times New Roman"/>
                <w:sz w:val="24"/>
                <w:szCs w:val="24"/>
              </w:rPr>
              <w:t>smernica Rady (EÚ) 2020/262 z 19. decembra 2019, ktorou sa ustanovuje všeobecný systém spotrebných daní (ďalej len „smernica Rady (EÚ) 2020/262“).</w:t>
            </w:r>
          </w:p>
          <w:p w:rsidR="00534FA2" w:rsidRPr="00B10210" w:rsidRDefault="00534FA2" w:rsidP="00FC66D4">
            <w:pPr>
              <w:ind w:left="720"/>
            </w:pPr>
          </w:p>
        </w:tc>
      </w:tr>
      <w:tr w:rsidR="00534FA2" w:rsidRPr="00B10210" w:rsidTr="00FC66D4">
        <w:tc>
          <w:tcPr>
            <w:tcW w:w="5634" w:type="dxa"/>
            <w:gridSpan w:val="5"/>
            <w:tcBorders>
              <w:top w:val="single" w:sz="4" w:space="0" w:color="000000"/>
              <w:bottom w:val="single" w:sz="4" w:space="0" w:color="FFFFFF"/>
            </w:tcBorders>
            <w:shd w:val="clear" w:color="auto" w:fill="E2E2E2"/>
          </w:tcPr>
          <w:p w:rsidR="00534FA2" w:rsidRPr="00B10210" w:rsidRDefault="00534FA2" w:rsidP="00FC66D4">
            <w:pPr>
              <w:pStyle w:val="Odsekzoznamu"/>
              <w:spacing w:after="0" w:line="240" w:lineRule="auto"/>
              <w:ind w:left="142"/>
              <w:rPr>
                <w:rFonts w:ascii="Times New Roman" w:hAnsi="Times New Roman"/>
                <w:b/>
              </w:rPr>
            </w:pPr>
            <w:r w:rsidRPr="00B10210">
              <w:rPr>
                <w:rFonts w:ascii="Times New Roman" w:hAnsi="Times New Roman"/>
                <w:b/>
              </w:rPr>
              <w:t>Termín začiatku a ukončenia PPK</w:t>
            </w:r>
          </w:p>
        </w:tc>
        <w:tc>
          <w:tcPr>
            <w:tcW w:w="3546" w:type="dxa"/>
            <w:gridSpan w:val="5"/>
            <w:tcBorders>
              <w:top w:val="single" w:sz="4" w:space="0" w:color="000000"/>
            </w:tcBorders>
            <w:shd w:val="clear" w:color="auto" w:fill="auto"/>
            <w:vAlign w:val="center"/>
          </w:tcPr>
          <w:p w:rsidR="00534FA2" w:rsidRPr="00B10210" w:rsidRDefault="00534FA2" w:rsidP="00FC66D4">
            <w:r w:rsidRPr="00B10210">
              <w:t>júl 2020</w:t>
            </w:r>
          </w:p>
        </w:tc>
      </w:tr>
      <w:tr w:rsidR="00534FA2" w:rsidRPr="00B10210" w:rsidTr="00FC66D4">
        <w:tc>
          <w:tcPr>
            <w:tcW w:w="5634" w:type="dxa"/>
            <w:gridSpan w:val="5"/>
            <w:tcBorders>
              <w:bottom w:val="single" w:sz="4" w:space="0" w:color="FFFFFF"/>
            </w:tcBorders>
            <w:shd w:val="clear" w:color="auto" w:fill="E2E2E2"/>
          </w:tcPr>
          <w:p w:rsidR="00534FA2" w:rsidRPr="00B10210" w:rsidRDefault="00534FA2" w:rsidP="00FC66D4">
            <w:pPr>
              <w:pStyle w:val="Odsekzoznamu"/>
              <w:spacing w:after="0" w:line="240" w:lineRule="auto"/>
              <w:ind w:left="142"/>
              <w:rPr>
                <w:rFonts w:ascii="Times New Roman" w:hAnsi="Times New Roman"/>
                <w:b/>
              </w:rPr>
            </w:pPr>
            <w:r w:rsidRPr="00B10210">
              <w:rPr>
                <w:rFonts w:ascii="Times New Roman" w:hAnsi="Times New Roman"/>
                <w:b/>
              </w:rPr>
              <w:t>Predpokladaný termín predloženia na MPK*</w:t>
            </w:r>
          </w:p>
        </w:tc>
        <w:tc>
          <w:tcPr>
            <w:tcW w:w="3546" w:type="dxa"/>
            <w:gridSpan w:val="5"/>
            <w:shd w:val="clear" w:color="auto" w:fill="auto"/>
            <w:vAlign w:val="center"/>
          </w:tcPr>
          <w:p w:rsidR="00534FA2" w:rsidRPr="00B10210" w:rsidRDefault="00534FA2" w:rsidP="00FC66D4">
            <w:r w:rsidRPr="00B10210">
              <w:t>august 2020</w:t>
            </w:r>
          </w:p>
        </w:tc>
      </w:tr>
      <w:tr w:rsidR="00534FA2" w:rsidRPr="00B10210" w:rsidTr="00FC66D4">
        <w:tc>
          <w:tcPr>
            <w:tcW w:w="5634" w:type="dxa"/>
            <w:gridSpan w:val="5"/>
            <w:tcBorders>
              <w:bottom w:val="single" w:sz="4" w:space="0" w:color="FFFFFF"/>
            </w:tcBorders>
            <w:shd w:val="clear" w:color="auto" w:fill="E2E2E2"/>
          </w:tcPr>
          <w:p w:rsidR="00534FA2" w:rsidRPr="00B10210" w:rsidRDefault="00534FA2" w:rsidP="00FC66D4">
            <w:pPr>
              <w:pStyle w:val="Odsekzoznamu"/>
              <w:spacing w:after="0" w:line="240" w:lineRule="auto"/>
              <w:ind w:left="142"/>
              <w:rPr>
                <w:rFonts w:ascii="Times New Roman" w:hAnsi="Times New Roman"/>
                <w:b/>
              </w:rPr>
            </w:pPr>
            <w:r w:rsidRPr="00B10210">
              <w:rPr>
                <w:rFonts w:ascii="Times New Roman" w:hAnsi="Times New Roman"/>
                <w:b/>
              </w:rPr>
              <w:t>Predpokladaný termín predloženia na Rokovanie vlády SR*</w:t>
            </w:r>
          </w:p>
        </w:tc>
        <w:tc>
          <w:tcPr>
            <w:tcW w:w="3546" w:type="dxa"/>
            <w:gridSpan w:val="5"/>
            <w:shd w:val="clear" w:color="auto" w:fill="auto"/>
            <w:vAlign w:val="center"/>
          </w:tcPr>
          <w:p w:rsidR="00534FA2" w:rsidRPr="00B10210" w:rsidRDefault="00534FA2" w:rsidP="00FC66D4">
            <w:r w:rsidRPr="00B10210">
              <w:t>september 2020</w:t>
            </w:r>
          </w:p>
        </w:tc>
      </w:tr>
      <w:tr w:rsidR="00534FA2" w:rsidRPr="00B10210" w:rsidTr="00FC66D4">
        <w:tc>
          <w:tcPr>
            <w:tcW w:w="9180" w:type="dxa"/>
            <w:gridSpan w:val="10"/>
            <w:tcBorders>
              <w:left w:val="nil"/>
              <w:right w:val="nil"/>
            </w:tcBorders>
            <w:shd w:val="clear" w:color="auto" w:fill="FFFFFF"/>
          </w:tcPr>
          <w:p w:rsidR="00534FA2" w:rsidRPr="00B10210" w:rsidRDefault="00534FA2" w:rsidP="00FC66D4"/>
        </w:tc>
      </w:tr>
      <w:tr w:rsidR="00534FA2" w:rsidRPr="00B10210" w:rsidTr="00FC66D4">
        <w:trPr>
          <w:trHeight w:val="286"/>
        </w:trPr>
        <w:tc>
          <w:tcPr>
            <w:tcW w:w="9180" w:type="dxa"/>
            <w:gridSpan w:val="10"/>
            <w:tcBorders>
              <w:bottom w:val="single" w:sz="4" w:space="0" w:color="FFFFFF"/>
            </w:tcBorders>
            <w:shd w:val="clear" w:color="auto" w:fill="E2E2E2"/>
          </w:tcPr>
          <w:p w:rsidR="00534FA2" w:rsidRPr="00B10210" w:rsidRDefault="00534FA2" w:rsidP="00534FA2">
            <w:pPr>
              <w:pStyle w:val="Odsekzoznamu"/>
              <w:numPr>
                <w:ilvl w:val="0"/>
                <w:numId w:val="16"/>
              </w:numPr>
              <w:spacing w:after="0" w:line="240" w:lineRule="auto"/>
              <w:ind w:left="426"/>
              <w:rPr>
                <w:rFonts w:ascii="Times New Roman" w:hAnsi="Times New Roman"/>
                <w:b/>
              </w:rPr>
            </w:pPr>
            <w:r w:rsidRPr="00B10210">
              <w:rPr>
                <w:rFonts w:ascii="Times New Roman" w:hAnsi="Times New Roman"/>
                <w:b/>
              </w:rPr>
              <w:t>Definovanie problému</w:t>
            </w:r>
          </w:p>
        </w:tc>
      </w:tr>
      <w:tr w:rsidR="00534FA2" w:rsidRPr="00B10210" w:rsidTr="00FC66D4">
        <w:trPr>
          <w:trHeight w:val="850"/>
        </w:trPr>
        <w:tc>
          <w:tcPr>
            <w:tcW w:w="9180" w:type="dxa"/>
            <w:gridSpan w:val="10"/>
            <w:tcBorders>
              <w:top w:val="single" w:sz="4" w:space="0" w:color="FFFFFF"/>
            </w:tcBorders>
            <w:shd w:val="clear" w:color="auto" w:fill="FFFFFF"/>
            <w:vAlign w:val="center"/>
          </w:tcPr>
          <w:p w:rsidR="00534FA2" w:rsidRPr="00B10210" w:rsidRDefault="00534FA2" w:rsidP="00534FA2">
            <w:pPr>
              <w:pStyle w:val="Odsekzoznamu"/>
              <w:numPr>
                <w:ilvl w:val="0"/>
                <w:numId w:val="17"/>
              </w:numPr>
              <w:spacing w:after="0" w:line="240" w:lineRule="auto"/>
              <w:jc w:val="both"/>
              <w:rPr>
                <w:rFonts w:ascii="Times New Roman" w:hAnsi="Times New Roman"/>
                <w:sz w:val="24"/>
                <w:szCs w:val="24"/>
              </w:rPr>
            </w:pPr>
            <w:r w:rsidRPr="00B10210">
              <w:rPr>
                <w:rFonts w:ascii="Times New Roman" w:hAnsi="Times New Roman"/>
                <w:sz w:val="24"/>
                <w:szCs w:val="24"/>
              </w:rPr>
              <w:t xml:space="preserve">úprava sadzieb spotrebnej dane pri cigaretách, bezdymovom tabakovom výrobku </w:t>
            </w:r>
            <w:r w:rsidR="00057ADF" w:rsidRPr="00B10210">
              <w:rPr>
                <w:rFonts w:ascii="Times New Roman" w:hAnsi="Times New Roman"/>
                <w:sz w:val="24"/>
                <w:szCs w:val="24"/>
              </w:rPr>
              <w:t xml:space="preserve">  </w:t>
            </w:r>
            <w:r w:rsidR="00011D6C">
              <w:rPr>
                <w:rFonts w:ascii="Times New Roman" w:hAnsi="Times New Roman"/>
                <w:sz w:val="24"/>
                <w:szCs w:val="24"/>
              </w:rPr>
              <w:t xml:space="preserve">    </w:t>
            </w:r>
            <w:r w:rsidR="00057ADF" w:rsidRPr="00B10210">
              <w:rPr>
                <w:rFonts w:ascii="Times New Roman" w:hAnsi="Times New Roman"/>
                <w:sz w:val="24"/>
                <w:szCs w:val="24"/>
              </w:rPr>
              <w:t xml:space="preserve">    </w:t>
            </w:r>
            <w:r w:rsidRPr="00B10210">
              <w:rPr>
                <w:rFonts w:ascii="Times New Roman" w:hAnsi="Times New Roman"/>
                <w:sz w:val="24"/>
                <w:szCs w:val="24"/>
              </w:rPr>
              <w:t xml:space="preserve">a tabaku v troch krokoch (v rámci pokračovania daňového kalendára), v prípade cigár a </w:t>
            </w:r>
            <w:proofErr w:type="spellStart"/>
            <w:r w:rsidRPr="00B10210">
              <w:rPr>
                <w:rFonts w:ascii="Times New Roman" w:hAnsi="Times New Roman"/>
                <w:sz w:val="24"/>
                <w:szCs w:val="24"/>
              </w:rPr>
              <w:t>cigariek</w:t>
            </w:r>
            <w:proofErr w:type="spellEnd"/>
            <w:r w:rsidRPr="00B10210">
              <w:rPr>
                <w:rFonts w:ascii="Times New Roman" w:hAnsi="Times New Roman"/>
                <w:sz w:val="24"/>
                <w:szCs w:val="24"/>
              </w:rPr>
              <w:t xml:space="preserve"> sa navrhuje jednorazová úprava sadzby spotrebnej dane,</w:t>
            </w:r>
          </w:p>
          <w:p w:rsidR="00534FA2" w:rsidRPr="00B10210" w:rsidRDefault="00534FA2" w:rsidP="00534FA2">
            <w:pPr>
              <w:pStyle w:val="Odsekzoznamu"/>
              <w:numPr>
                <w:ilvl w:val="0"/>
                <w:numId w:val="17"/>
              </w:numPr>
              <w:spacing w:after="0" w:line="240" w:lineRule="auto"/>
              <w:jc w:val="both"/>
              <w:rPr>
                <w:rFonts w:ascii="Times New Roman" w:hAnsi="Times New Roman"/>
                <w:sz w:val="24"/>
                <w:szCs w:val="24"/>
              </w:rPr>
            </w:pPr>
            <w:r w:rsidRPr="00B10210">
              <w:rPr>
                <w:rFonts w:ascii="Times New Roman" w:hAnsi="Times New Roman"/>
                <w:sz w:val="24"/>
                <w:szCs w:val="24"/>
                <w:lang w:eastAsia="sk-SK"/>
              </w:rPr>
              <w:t>zosúladenie definície územia Európskej únie so smernicou Rady (EÚ) 2019/475,</w:t>
            </w:r>
          </w:p>
          <w:p w:rsidR="00534FA2" w:rsidRPr="00B10210" w:rsidRDefault="00534FA2" w:rsidP="00534FA2">
            <w:pPr>
              <w:pStyle w:val="Odsekzoznamu"/>
              <w:numPr>
                <w:ilvl w:val="0"/>
                <w:numId w:val="17"/>
              </w:numPr>
              <w:spacing w:after="0" w:line="240" w:lineRule="auto"/>
              <w:jc w:val="both"/>
              <w:rPr>
                <w:rFonts w:ascii="Times New Roman" w:hAnsi="Times New Roman"/>
                <w:sz w:val="24"/>
                <w:szCs w:val="24"/>
              </w:rPr>
            </w:pPr>
            <w:r w:rsidRPr="00B10210">
              <w:rPr>
                <w:rFonts w:ascii="Times New Roman" w:hAnsi="Times New Roman"/>
                <w:sz w:val="24"/>
                <w:szCs w:val="24"/>
              </w:rPr>
              <w:t>zosúladenie rozsahu oslobodenia od spotrebnej dane pre tabakové výrobky dodávané na použitie ozbrojenými silami akéhokoľvek iného členského štátu, než je členský štát, v ktorom vznikla daňová povinnosť, pokiaľ sa tieto ozbrojené sily podieľajú na obrannom úsilí vynakladanom na účely vykonávania činnosti Únie v rámci spoločnej bezpečnostnej a obrannej politiky mimo územia svojho členského štátu v súlade so smernicou Rady (EÚ) 2019/2235,</w:t>
            </w:r>
          </w:p>
          <w:p w:rsidR="00534FA2" w:rsidRPr="00B10210" w:rsidRDefault="00534FA2" w:rsidP="00534FA2">
            <w:pPr>
              <w:pStyle w:val="Odsekzoznamu"/>
              <w:numPr>
                <w:ilvl w:val="0"/>
                <w:numId w:val="17"/>
              </w:numPr>
              <w:spacing w:after="0" w:line="240" w:lineRule="auto"/>
              <w:jc w:val="both"/>
              <w:rPr>
                <w:rFonts w:ascii="Times New Roman" w:hAnsi="Times New Roman"/>
                <w:sz w:val="24"/>
                <w:szCs w:val="24"/>
              </w:rPr>
            </w:pPr>
            <w:r w:rsidRPr="00B10210">
              <w:rPr>
                <w:rFonts w:ascii="Times New Roman" w:hAnsi="Times New Roman"/>
                <w:sz w:val="24"/>
                <w:szCs w:val="24"/>
              </w:rPr>
              <w:t>transpozícia smernice Rady (EÚ) 2020/262, ktorou sa ustanovuje všeobecný systém spotrebných daní do legislatívy Slovenskej republiky,</w:t>
            </w:r>
          </w:p>
          <w:p w:rsidR="00534FA2" w:rsidRPr="00B10210" w:rsidRDefault="00534FA2" w:rsidP="00534FA2">
            <w:pPr>
              <w:pStyle w:val="Odsekzoznamu"/>
              <w:numPr>
                <w:ilvl w:val="0"/>
                <w:numId w:val="17"/>
              </w:numPr>
              <w:spacing w:after="0" w:line="240" w:lineRule="auto"/>
              <w:jc w:val="both"/>
              <w:rPr>
                <w:rFonts w:ascii="Times New Roman" w:hAnsi="Times New Roman"/>
                <w:sz w:val="24"/>
                <w:szCs w:val="24"/>
              </w:rPr>
            </w:pPr>
            <w:r w:rsidRPr="00B10210">
              <w:rPr>
                <w:rFonts w:ascii="Times New Roman" w:hAnsi="Times New Roman"/>
                <w:sz w:val="24"/>
                <w:szCs w:val="24"/>
              </w:rPr>
              <w:t>úprava ustanovení týkajúcich sa označovania cigár a nastavenie prechodného obdobia pre cigary do vypredania zásob,</w:t>
            </w:r>
          </w:p>
          <w:p w:rsidR="00534FA2" w:rsidRPr="00B10210" w:rsidRDefault="00534FA2" w:rsidP="00534FA2">
            <w:pPr>
              <w:pStyle w:val="Odsekzoznamu"/>
              <w:numPr>
                <w:ilvl w:val="0"/>
                <w:numId w:val="17"/>
              </w:numPr>
              <w:spacing w:after="0" w:line="240" w:lineRule="auto"/>
              <w:jc w:val="both"/>
              <w:rPr>
                <w:rFonts w:ascii="Times New Roman" w:hAnsi="Times New Roman"/>
                <w:sz w:val="24"/>
                <w:szCs w:val="24"/>
              </w:rPr>
            </w:pPr>
            <w:r w:rsidRPr="00B10210">
              <w:rPr>
                <w:rFonts w:ascii="Times New Roman" w:hAnsi="Times New Roman"/>
                <w:sz w:val="24"/>
                <w:szCs w:val="24"/>
              </w:rPr>
              <w:t>legislatívno-technické úpravy vyplývajúce z poznatkov aplikačnej praxe.</w:t>
            </w:r>
          </w:p>
          <w:p w:rsidR="00534FA2" w:rsidRPr="00B10210" w:rsidRDefault="00534FA2" w:rsidP="00FC66D4">
            <w:pPr>
              <w:jc w:val="both"/>
              <w:rPr>
                <w:sz w:val="8"/>
                <w:szCs w:val="8"/>
              </w:rPr>
            </w:pPr>
          </w:p>
        </w:tc>
      </w:tr>
      <w:tr w:rsidR="00534FA2" w:rsidRPr="00B10210" w:rsidTr="00FC66D4">
        <w:tc>
          <w:tcPr>
            <w:tcW w:w="9180" w:type="dxa"/>
            <w:gridSpan w:val="10"/>
            <w:tcBorders>
              <w:bottom w:val="nil"/>
            </w:tcBorders>
            <w:shd w:val="clear" w:color="auto" w:fill="E2E2E2"/>
          </w:tcPr>
          <w:p w:rsidR="00534FA2" w:rsidRPr="00B10210" w:rsidRDefault="00534FA2" w:rsidP="00534FA2">
            <w:pPr>
              <w:pStyle w:val="Odsekzoznamu"/>
              <w:numPr>
                <w:ilvl w:val="0"/>
                <w:numId w:val="16"/>
              </w:numPr>
              <w:spacing w:after="0" w:line="240" w:lineRule="auto"/>
              <w:ind w:left="426"/>
              <w:rPr>
                <w:rFonts w:ascii="Times New Roman" w:hAnsi="Times New Roman"/>
                <w:b/>
              </w:rPr>
            </w:pPr>
            <w:r w:rsidRPr="00B10210">
              <w:rPr>
                <w:rFonts w:ascii="Times New Roman" w:hAnsi="Times New Roman"/>
                <w:b/>
              </w:rPr>
              <w:t>Ciele a výsledný stav</w:t>
            </w:r>
          </w:p>
        </w:tc>
      </w:tr>
      <w:tr w:rsidR="00534FA2" w:rsidRPr="00B10210" w:rsidTr="00FC66D4">
        <w:trPr>
          <w:trHeight w:val="680"/>
        </w:trPr>
        <w:tc>
          <w:tcPr>
            <w:tcW w:w="9180" w:type="dxa"/>
            <w:gridSpan w:val="10"/>
            <w:tcBorders>
              <w:top w:val="nil"/>
            </w:tcBorders>
            <w:shd w:val="clear" w:color="auto" w:fill="FFFFFF"/>
            <w:vAlign w:val="center"/>
          </w:tcPr>
          <w:p w:rsidR="00534FA2" w:rsidRPr="00B10210" w:rsidRDefault="00534FA2" w:rsidP="00FC66D4">
            <w:pPr>
              <w:jc w:val="both"/>
            </w:pPr>
            <w:r w:rsidRPr="00B10210">
              <w:t xml:space="preserve">Nastavenie sadzieb spotrebnej dane z tabakových výrobkov k 1. februáru 2021, </w:t>
            </w:r>
            <w:r w:rsidR="00ED2684">
              <w:t xml:space="preserve">                        </w:t>
            </w:r>
            <w:r w:rsidRPr="00B10210">
              <w:t xml:space="preserve">k 1. februáru 2022 a k 1. februáru 2023. </w:t>
            </w:r>
          </w:p>
          <w:p w:rsidR="00534FA2" w:rsidRPr="00B10210" w:rsidRDefault="00534FA2" w:rsidP="00FC66D4">
            <w:pPr>
              <w:jc w:val="both"/>
            </w:pPr>
            <w:r w:rsidRPr="00B10210">
              <w:t xml:space="preserve">Transpozícia smernice Rady (EÚ) 2020/262, ktorou sa ustanovuje všeobecný systém spotrebných daní do legislatívy Slovenskej republiky.  </w:t>
            </w:r>
          </w:p>
          <w:p w:rsidR="00534FA2" w:rsidRPr="00B10210" w:rsidRDefault="00534FA2" w:rsidP="00FC66D4">
            <w:pPr>
              <w:jc w:val="both"/>
              <w:rPr>
                <w:bCs/>
                <w:color w:val="000000"/>
              </w:rPr>
            </w:pPr>
            <w:r w:rsidRPr="00B10210">
              <w:rPr>
                <w:bCs/>
                <w:color w:val="000000"/>
              </w:rPr>
              <w:t>Úprava definície územia Európskej únie v súlade so smernicou Rady (EÚ) 2019/475.</w:t>
            </w:r>
          </w:p>
          <w:p w:rsidR="00534FA2" w:rsidRPr="00B10210" w:rsidRDefault="00534FA2" w:rsidP="00FC66D4">
            <w:pPr>
              <w:jc w:val="both"/>
              <w:rPr>
                <w:bCs/>
                <w:color w:val="000000"/>
              </w:rPr>
            </w:pPr>
            <w:r w:rsidRPr="00B10210">
              <w:rPr>
                <w:bCs/>
                <w:color w:val="000000"/>
              </w:rPr>
              <w:t xml:space="preserve">Transpozícia </w:t>
            </w:r>
            <w:r w:rsidRPr="00B10210">
              <w:rPr>
                <w:bCs/>
              </w:rPr>
              <w:t>smernica Rady (EÚ) 2019/2235.</w:t>
            </w:r>
          </w:p>
          <w:p w:rsidR="00534FA2" w:rsidRPr="00B10210" w:rsidRDefault="00534FA2" w:rsidP="00011D6C">
            <w:pPr>
              <w:jc w:val="both"/>
              <w:rPr>
                <w:rStyle w:val="Zstupntext"/>
                <w:color w:val="000000"/>
              </w:rPr>
            </w:pPr>
            <w:r w:rsidRPr="00B10210">
              <w:rPr>
                <w:rStyle w:val="Zstupntext"/>
                <w:color w:val="000000"/>
              </w:rPr>
              <w:lastRenderedPageBreak/>
              <w:t>Legislatívno-technické úpravy zákona č. 106/2004 Z. z. o spotrebnej dani z tabakových výrobkov v znení neskorších predpisov (ďalej len „zákon č. 106/2004 Z. z.“) vyplývajúce     z</w:t>
            </w:r>
            <w:r w:rsidR="00011D6C">
              <w:rPr>
                <w:rStyle w:val="Zstupntext"/>
                <w:color w:val="000000"/>
              </w:rPr>
              <w:t> </w:t>
            </w:r>
            <w:r w:rsidRPr="00B10210">
              <w:rPr>
                <w:rStyle w:val="Zstupntext"/>
                <w:color w:val="000000"/>
              </w:rPr>
              <w:t>poznatkov</w:t>
            </w:r>
            <w:r w:rsidR="00011D6C">
              <w:rPr>
                <w:rStyle w:val="Zstupntext"/>
                <w:color w:val="000000"/>
              </w:rPr>
              <w:t xml:space="preserve"> </w:t>
            </w:r>
            <w:r w:rsidRPr="00B10210">
              <w:rPr>
                <w:rStyle w:val="Zstupntext"/>
                <w:color w:val="000000"/>
              </w:rPr>
              <w:t>aplikačnej praxe.</w:t>
            </w:r>
          </w:p>
        </w:tc>
      </w:tr>
      <w:tr w:rsidR="00534FA2" w:rsidRPr="00B10210" w:rsidTr="00FC66D4">
        <w:tc>
          <w:tcPr>
            <w:tcW w:w="9180" w:type="dxa"/>
            <w:gridSpan w:val="10"/>
            <w:tcBorders>
              <w:bottom w:val="nil"/>
            </w:tcBorders>
            <w:shd w:val="clear" w:color="auto" w:fill="E2E2E2"/>
          </w:tcPr>
          <w:p w:rsidR="00534FA2" w:rsidRPr="00B10210" w:rsidRDefault="00534FA2" w:rsidP="00534FA2">
            <w:pPr>
              <w:pStyle w:val="Odsekzoznamu"/>
              <w:numPr>
                <w:ilvl w:val="0"/>
                <w:numId w:val="16"/>
              </w:numPr>
              <w:spacing w:after="0" w:line="240" w:lineRule="auto"/>
              <w:ind w:left="426"/>
              <w:rPr>
                <w:rStyle w:val="Zstupntext"/>
                <w:color w:val="000000"/>
              </w:rPr>
            </w:pPr>
            <w:r w:rsidRPr="00B10210">
              <w:rPr>
                <w:rFonts w:ascii="Times New Roman" w:hAnsi="Times New Roman"/>
                <w:b/>
              </w:rPr>
              <w:lastRenderedPageBreak/>
              <w:t>Dotknuté subjekty</w:t>
            </w:r>
          </w:p>
        </w:tc>
      </w:tr>
      <w:tr w:rsidR="00534FA2" w:rsidRPr="00B10210" w:rsidTr="00FC66D4">
        <w:tc>
          <w:tcPr>
            <w:tcW w:w="9180" w:type="dxa"/>
            <w:gridSpan w:val="10"/>
            <w:tcBorders>
              <w:top w:val="nil"/>
            </w:tcBorders>
            <w:shd w:val="clear" w:color="auto" w:fill="FFFFFF"/>
          </w:tcPr>
          <w:p w:rsidR="00534FA2" w:rsidRPr="00B10210" w:rsidRDefault="00534FA2" w:rsidP="00FC66D4">
            <w:pPr>
              <w:jc w:val="both"/>
              <w:rPr>
                <w:i/>
              </w:rPr>
            </w:pPr>
            <w:r w:rsidRPr="00B10210">
              <w:t>Podnikateľské subjekty, ktoré obchodujú s tabakovými výrobkami podľa zákona č. 106/2004 Z. z. o spotrebnej dani z tabakových výrobkov v znení neskorších predpisov a koneční spotrebitelia tabakových výrobkov.</w:t>
            </w:r>
          </w:p>
          <w:p w:rsidR="00534FA2" w:rsidRPr="00B10210" w:rsidRDefault="00534FA2" w:rsidP="00FC66D4">
            <w:pPr>
              <w:rPr>
                <w:sz w:val="8"/>
                <w:szCs w:val="8"/>
              </w:rPr>
            </w:pPr>
          </w:p>
        </w:tc>
      </w:tr>
      <w:tr w:rsidR="00534FA2" w:rsidRPr="00B10210" w:rsidTr="00FC66D4">
        <w:tc>
          <w:tcPr>
            <w:tcW w:w="9180" w:type="dxa"/>
            <w:gridSpan w:val="10"/>
            <w:tcBorders>
              <w:bottom w:val="nil"/>
            </w:tcBorders>
            <w:shd w:val="clear" w:color="auto" w:fill="E2E2E2"/>
          </w:tcPr>
          <w:p w:rsidR="00534FA2" w:rsidRPr="00B10210" w:rsidRDefault="00534FA2" w:rsidP="00534FA2">
            <w:pPr>
              <w:pStyle w:val="Odsekzoznamu"/>
              <w:numPr>
                <w:ilvl w:val="0"/>
                <w:numId w:val="16"/>
              </w:numPr>
              <w:spacing w:after="0" w:line="240" w:lineRule="auto"/>
              <w:ind w:left="426"/>
              <w:rPr>
                <w:rFonts w:ascii="Times New Roman" w:hAnsi="Times New Roman"/>
                <w:b/>
              </w:rPr>
            </w:pPr>
            <w:r w:rsidRPr="00B10210">
              <w:rPr>
                <w:rFonts w:ascii="Times New Roman" w:hAnsi="Times New Roman"/>
                <w:b/>
              </w:rPr>
              <w:t>Alternatívne riešenia</w:t>
            </w:r>
          </w:p>
        </w:tc>
      </w:tr>
      <w:tr w:rsidR="00534FA2" w:rsidRPr="00B10210" w:rsidTr="00FC66D4">
        <w:trPr>
          <w:trHeight w:val="454"/>
        </w:trPr>
        <w:tc>
          <w:tcPr>
            <w:tcW w:w="9180" w:type="dxa"/>
            <w:gridSpan w:val="10"/>
            <w:tcBorders>
              <w:top w:val="nil"/>
            </w:tcBorders>
            <w:shd w:val="clear" w:color="auto" w:fill="FFFFFF"/>
            <w:vAlign w:val="center"/>
          </w:tcPr>
          <w:p w:rsidR="00534FA2" w:rsidRPr="00B10210" w:rsidRDefault="00534FA2" w:rsidP="00FC66D4">
            <w:pPr>
              <w:jc w:val="both"/>
            </w:pPr>
            <w:r w:rsidRPr="00B10210">
              <w:t>Nie je alternatívne riešenie. Slovenská republika je povinná transponovať smernicu Rady (EÚ) 2020/262, ktorou sa ustanovuje všeobecný systém spotrebných daní do legislatívy Slovenskej republiky najneskôr do 13. februára 2023.</w:t>
            </w:r>
          </w:p>
        </w:tc>
      </w:tr>
      <w:tr w:rsidR="00534FA2" w:rsidRPr="00B10210" w:rsidTr="00FC66D4">
        <w:tc>
          <w:tcPr>
            <w:tcW w:w="9180" w:type="dxa"/>
            <w:gridSpan w:val="10"/>
            <w:tcBorders>
              <w:bottom w:val="single" w:sz="4" w:space="0" w:color="FFFFFF"/>
            </w:tcBorders>
            <w:shd w:val="clear" w:color="auto" w:fill="E2E2E2"/>
          </w:tcPr>
          <w:p w:rsidR="00534FA2" w:rsidRPr="00B10210" w:rsidRDefault="00534FA2" w:rsidP="00534FA2">
            <w:pPr>
              <w:pStyle w:val="Odsekzoznamu"/>
              <w:numPr>
                <w:ilvl w:val="0"/>
                <w:numId w:val="16"/>
              </w:numPr>
              <w:spacing w:after="0" w:line="240" w:lineRule="auto"/>
              <w:ind w:left="426"/>
              <w:rPr>
                <w:rFonts w:ascii="Times New Roman" w:hAnsi="Times New Roman"/>
                <w:b/>
              </w:rPr>
            </w:pPr>
            <w:r w:rsidRPr="00B10210">
              <w:rPr>
                <w:rFonts w:ascii="Times New Roman" w:hAnsi="Times New Roman"/>
                <w:b/>
              </w:rPr>
              <w:t>Vykonávacie predpisy</w:t>
            </w:r>
          </w:p>
        </w:tc>
      </w:tr>
      <w:tr w:rsidR="00534FA2" w:rsidRPr="00B10210" w:rsidTr="00FC66D4">
        <w:trPr>
          <w:trHeight w:val="340"/>
        </w:trPr>
        <w:tc>
          <w:tcPr>
            <w:tcW w:w="6203" w:type="dxa"/>
            <w:gridSpan w:val="6"/>
            <w:tcBorders>
              <w:top w:val="single" w:sz="4" w:space="0" w:color="FFFFFF"/>
              <w:bottom w:val="nil"/>
              <w:right w:val="nil"/>
            </w:tcBorders>
            <w:shd w:val="clear" w:color="auto" w:fill="FFFFFF"/>
          </w:tcPr>
          <w:p w:rsidR="00534FA2" w:rsidRPr="00B10210" w:rsidRDefault="00534FA2" w:rsidP="00FC66D4">
            <w:pPr>
              <w:rPr>
                <w:i/>
              </w:rPr>
            </w:pPr>
            <w:r w:rsidRPr="00B10210">
              <w:rPr>
                <w:i/>
              </w:rPr>
              <w:t>Predpokladá sa prijatie/zmena vykonávacích predpisov?</w:t>
            </w:r>
          </w:p>
          <w:p w:rsidR="00534FA2" w:rsidRPr="00B10210" w:rsidRDefault="00534FA2" w:rsidP="00FC66D4">
            <w:pPr>
              <w:jc w:val="both"/>
            </w:pPr>
            <w:r w:rsidRPr="00B10210">
              <w:t xml:space="preserve">Vyhláška Ministerstva financií Slovenskej republiky      </w:t>
            </w:r>
            <w:r w:rsidR="00701656">
              <w:t xml:space="preserve">     </w:t>
            </w:r>
            <w:r w:rsidRPr="00B10210">
              <w:t xml:space="preserve">        č. 275/2015  Z. z., ktorou sa ustanovuje vzor daňového priznania a dodatočného daňového priznania k spotrebnej dani z tabakových výrobkov.</w:t>
            </w:r>
          </w:p>
          <w:p w:rsidR="00534FA2" w:rsidRPr="00B10210" w:rsidRDefault="00534FA2" w:rsidP="00FC66D4">
            <w:pPr>
              <w:jc w:val="both"/>
            </w:pPr>
            <w:r w:rsidRPr="00B10210">
              <w:t xml:space="preserve">Vyhláška Ministerstva financií Slovenskej republiky    </w:t>
            </w:r>
            <w:r w:rsidR="00701656">
              <w:t xml:space="preserve">     </w:t>
            </w:r>
            <w:r w:rsidRPr="00B10210">
              <w:t xml:space="preserve">          č. 254/2014  Z. z., ktorou sa ustanovujú náležitosti, vyhotovenie a cena kontrolnej známky určenej na označovanie spotrebiteľského balenia tabakových výrobkov.</w:t>
            </w:r>
          </w:p>
          <w:p w:rsidR="00534FA2" w:rsidRPr="00B10210" w:rsidRDefault="00534FA2" w:rsidP="00FC66D4">
            <w:pPr>
              <w:jc w:val="both"/>
            </w:pPr>
            <w:r w:rsidRPr="00B10210">
              <w:t xml:space="preserve">Vyhláška Ministerstva financií Slovenskej republiky  </w:t>
            </w:r>
            <w:r w:rsidR="00701656">
              <w:t xml:space="preserve">      </w:t>
            </w:r>
            <w:r w:rsidRPr="00B10210">
              <w:t xml:space="preserve">           č. 255/2014  Z. z. o označovaní balení kontrolných známok určených na označovanie spotrebiteľského balenia tabakových výrobkov a o oznamovaní a zverejňovaní údajov o týchto kontrolných známkach.</w:t>
            </w:r>
          </w:p>
          <w:p w:rsidR="00534FA2" w:rsidRPr="00B10210" w:rsidRDefault="00534FA2" w:rsidP="00FC66D4">
            <w:pPr>
              <w:jc w:val="both"/>
              <w:rPr>
                <w:sz w:val="8"/>
                <w:szCs w:val="8"/>
              </w:rPr>
            </w:pPr>
          </w:p>
        </w:tc>
        <w:tc>
          <w:tcPr>
            <w:tcW w:w="1417" w:type="dxa"/>
            <w:gridSpan w:val="2"/>
            <w:tcBorders>
              <w:top w:val="single" w:sz="4" w:space="0" w:color="FFFFFF"/>
              <w:left w:val="nil"/>
              <w:bottom w:val="nil"/>
              <w:right w:val="nil"/>
            </w:tcBorders>
            <w:shd w:val="clear" w:color="auto" w:fill="FFFFFF"/>
          </w:tcPr>
          <w:p w:rsidR="00534FA2" w:rsidRPr="00B10210" w:rsidRDefault="00534FA2" w:rsidP="00FC66D4">
            <w:pPr>
              <w:jc w:val="center"/>
            </w:pPr>
            <w:r w:rsidRPr="00B10210">
              <w:rPr>
                <w:rFonts w:ascii="Segoe UI Symbol" w:eastAsia="MS Gothic" w:hAnsi="Segoe UI Symbol" w:cs="Segoe UI Symbol"/>
              </w:rPr>
              <w:t>☒</w:t>
            </w:r>
            <w:r w:rsidRPr="00B10210">
              <w:t xml:space="preserve"> Áno</w:t>
            </w:r>
          </w:p>
        </w:tc>
        <w:tc>
          <w:tcPr>
            <w:tcW w:w="1560" w:type="dxa"/>
            <w:gridSpan w:val="2"/>
            <w:tcBorders>
              <w:top w:val="single" w:sz="4" w:space="0" w:color="FFFFFF"/>
              <w:left w:val="nil"/>
              <w:bottom w:val="nil"/>
            </w:tcBorders>
            <w:shd w:val="clear" w:color="auto" w:fill="FFFFFF"/>
          </w:tcPr>
          <w:p w:rsidR="00534FA2" w:rsidRPr="00B10210" w:rsidRDefault="00534FA2" w:rsidP="00FC66D4">
            <w:pPr>
              <w:jc w:val="center"/>
            </w:pPr>
            <w:r w:rsidRPr="00B10210">
              <w:rPr>
                <w:rFonts w:ascii="Segoe UI Symbol" w:eastAsia="MS Gothic" w:hAnsi="Segoe UI Symbol" w:cs="Segoe UI Symbol"/>
              </w:rPr>
              <w:t>☐</w:t>
            </w:r>
            <w:r w:rsidRPr="00B10210">
              <w:t xml:space="preserve">  Nie</w:t>
            </w:r>
          </w:p>
          <w:p w:rsidR="00534FA2" w:rsidRPr="00B10210" w:rsidRDefault="00534FA2" w:rsidP="00FC66D4">
            <w:pPr>
              <w:ind w:left="-7620"/>
              <w:jc w:val="center"/>
            </w:pPr>
          </w:p>
        </w:tc>
      </w:tr>
      <w:tr w:rsidR="00534FA2" w:rsidRPr="00B10210" w:rsidTr="00FC66D4">
        <w:tc>
          <w:tcPr>
            <w:tcW w:w="9180" w:type="dxa"/>
            <w:gridSpan w:val="10"/>
            <w:tcBorders>
              <w:bottom w:val="single" w:sz="4" w:space="0" w:color="FFFFFF"/>
            </w:tcBorders>
            <w:shd w:val="clear" w:color="auto" w:fill="E2E2E2"/>
          </w:tcPr>
          <w:p w:rsidR="00534FA2" w:rsidRPr="00B10210" w:rsidRDefault="00534FA2" w:rsidP="00534FA2">
            <w:pPr>
              <w:pStyle w:val="Odsekzoznamu"/>
              <w:numPr>
                <w:ilvl w:val="0"/>
                <w:numId w:val="16"/>
              </w:numPr>
              <w:spacing w:after="0" w:line="240" w:lineRule="auto"/>
              <w:ind w:left="426"/>
              <w:rPr>
                <w:rFonts w:ascii="Times New Roman" w:hAnsi="Times New Roman"/>
                <w:b/>
              </w:rPr>
            </w:pPr>
            <w:r w:rsidRPr="00B10210">
              <w:rPr>
                <w:rFonts w:ascii="Times New Roman" w:hAnsi="Times New Roman"/>
                <w:b/>
              </w:rPr>
              <w:t xml:space="preserve">Transpozícia práva EÚ </w:t>
            </w:r>
          </w:p>
        </w:tc>
      </w:tr>
      <w:tr w:rsidR="00534FA2" w:rsidRPr="00B10210" w:rsidTr="00FC66D4">
        <w:trPr>
          <w:trHeight w:val="340"/>
        </w:trPr>
        <w:tc>
          <w:tcPr>
            <w:tcW w:w="9180" w:type="dxa"/>
            <w:gridSpan w:val="10"/>
            <w:tcBorders>
              <w:top w:val="nil"/>
              <w:left w:val="single" w:sz="4" w:space="0" w:color="000000"/>
              <w:bottom w:val="nil"/>
            </w:tcBorders>
            <w:shd w:val="clear" w:color="auto" w:fill="FFFFFF"/>
            <w:vAlign w:val="center"/>
          </w:tcPr>
          <w:p w:rsidR="00534FA2" w:rsidRPr="00B10210" w:rsidRDefault="00534FA2" w:rsidP="00FC66D4">
            <w:pPr>
              <w:jc w:val="both"/>
            </w:pPr>
            <w:r w:rsidRPr="00B10210">
              <w:t>Návrh zákona transponuje niektoré ustanovenia smernice Rady (EÚ) 2019/475.</w:t>
            </w:r>
          </w:p>
          <w:p w:rsidR="00534FA2" w:rsidRPr="00B10210" w:rsidRDefault="00534FA2" w:rsidP="00FC66D4">
            <w:pPr>
              <w:jc w:val="both"/>
            </w:pPr>
            <w:r w:rsidRPr="00B10210">
              <w:t>Transpozícia smernice Rady (EÚ) 2020/262, ktorou sa ustanovuje všeobecný systém spotrebných daní do legislatívy Slovenskej republiky.</w:t>
            </w:r>
          </w:p>
          <w:p w:rsidR="00534FA2" w:rsidRPr="00B10210" w:rsidRDefault="00534FA2" w:rsidP="00FC66D4">
            <w:pPr>
              <w:jc w:val="both"/>
            </w:pPr>
            <w:r w:rsidRPr="00B10210">
              <w:rPr>
                <w:bCs/>
                <w:color w:val="000000"/>
              </w:rPr>
              <w:t xml:space="preserve">Transpozícia </w:t>
            </w:r>
            <w:r w:rsidRPr="00B10210">
              <w:rPr>
                <w:bCs/>
              </w:rPr>
              <w:t>smernica Rady (EÚ) 2019/2235.</w:t>
            </w:r>
          </w:p>
          <w:p w:rsidR="00534FA2" w:rsidRPr="00B10210" w:rsidRDefault="00534FA2" w:rsidP="00FC66D4">
            <w:pPr>
              <w:jc w:val="both"/>
              <w:rPr>
                <w:sz w:val="8"/>
                <w:szCs w:val="8"/>
              </w:rPr>
            </w:pPr>
          </w:p>
        </w:tc>
      </w:tr>
      <w:tr w:rsidR="00534FA2" w:rsidRPr="00B10210" w:rsidTr="00FC66D4">
        <w:tc>
          <w:tcPr>
            <w:tcW w:w="9180" w:type="dxa"/>
            <w:gridSpan w:val="10"/>
            <w:tcBorders>
              <w:bottom w:val="single" w:sz="4" w:space="0" w:color="FFFFFF"/>
            </w:tcBorders>
            <w:shd w:val="clear" w:color="auto" w:fill="E2E2E2"/>
          </w:tcPr>
          <w:p w:rsidR="00534FA2" w:rsidRPr="00B10210" w:rsidRDefault="00534FA2" w:rsidP="00534FA2">
            <w:pPr>
              <w:pStyle w:val="Odsekzoznamu"/>
              <w:numPr>
                <w:ilvl w:val="0"/>
                <w:numId w:val="16"/>
              </w:numPr>
              <w:spacing w:after="0" w:line="240" w:lineRule="auto"/>
              <w:ind w:left="426"/>
              <w:rPr>
                <w:rFonts w:ascii="Times New Roman" w:hAnsi="Times New Roman"/>
                <w:b/>
              </w:rPr>
            </w:pPr>
            <w:r w:rsidRPr="00B10210">
              <w:rPr>
                <w:rFonts w:ascii="Times New Roman" w:hAnsi="Times New Roman"/>
                <w:b/>
              </w:rPr>
              <w:t>Preskúmanie účelnosti**</w:t>
            </w:r>
          </w:p>
        </w:tc>
      </w:tr>
      <w:tr w:rsidR="00534FA2" w:rsidRPr="00B10210" w:rsidTr="00FC66D4">
        <w:tc>
          <w:tcPr>
            <w:tcW w:w="9180" w:type="dxa"/>
            <w:gridSpan w:val="10"/>
            <w:tcBorders>
              <w:top w:val="single" w:sz="4" w:space="0" w:color="FFFFFF"/>
            </w:tcBorders>
            <w:shd w:val="clear" w:color="auto" w:fill="FFFFFF"/>
          </w:tcPr>
          <w:p w:rsidR="00534FA2" w:rsidRPr="00B10210" w:rsidRDefault="00534FA2" w:rsidP="00FC66D4">
            <w:r w:rsidRPr="00B10210">
              <w:t>Bezpredmetné.</w:t>
            </w:r>
          </w:p>
          <w:p w:rsidR="00534FA2" w:rsidRPr="00B10210" w:rsidRDefault="00534FA2" w:rsidP="00FC66D4">
            <w:pPr>
              <w:rPr>
                <w:sz w:val="8"/>
                <w:szCs w:val="8"/>
              </w:rPr>
            </w:pPr>
          </w:p>
        </w:tc>
      </w:tr>
      <w:tr w:rsidR="00534FA2" w:rsidRPr="00B10210" w:rsidTr="00FC66D4">
        <w:trPr>
          <w:trHeight w:val="715"/>
        </w:trPr>
        <w:tc>
          <w:tcPr>
            <w:tcW w:w="9180" w:type="dxa"/>
            <w:gridSpan w:val="10"/>
            <w:tcBorders>
              <w:left w:val="nil"/>
              <w:bottom w:val="nil"/>
              <w:right w:val="nil"/>
            </w:tcBorders>
            <w:shd w:val="clear" w:color="auto" w:fill="FFFFFF"/>
          </w:tcPr>
          <w:p w:rsidR="00534FA2" w:rsidRPr="00B10210" w:rsidRDefault="00534FA2" w:rsidP="00FC66D4">
            <w:pPr>
              <w:ind w:left="142" w:hanging="142"/>
            </w:pPr>
          </w:p>
          <w:p w:rsidR="00534FA2" w:rsidRPr="00B10210" w:rsidRDefault="00534FA2" w:rsidP="00FC66D4">
            <w:pPr>
              <w:ind w:left="142" w:hanging="142"/>
            </w:pPr>
            <w:r w:rsidRPr="00B10210">
              <w:t xml:space="preserve">* vyplniť iba v prípade, ak materiál nie je zahrnutý do Plánu práce vlády Slovenskej republiky alebo Plánu legislatívnych úloh vlády Slovenskej republiky. </w:t>
            </w:r>
          </w:p>
          <w:p w:rsidR="00534FA2" w:rsidRPr="00B10210" w:rsidRDefault="00534FA2" w:rsidP="00FC66D4">
            <w:r w:rsidRPr="00B10210">
              <w:t>** nepovinné</w:t>
            </w:r>
          </w:p>
        </w:tc>
      </w:tr>
      <w:tr w:rsidR="00534FA2" w:rsidRPr="00B10210" w:rsidTr="00FC66D4">
        <w:tc>
          <w:tcPr>
            <w:tcW w:w="9180" w:type="dxa"/>
            <w:gridSpan w:val="10"/>
            <w:tcBorders>
              <w:top w:val="nil"/>
              <w:left w:val="nil"/>
              <w:right w:val="nil"/>
            </w:tcBorders>
            <w:shd w:val="clear" w:color="auto" w:fill="FFFFFF"/>
          </w:tcPr>
          <w:p w:rsidR="00534FA2" w:rsidRPr="00B10210" w:rsidRDefault="00534FA2" w:rsidP="00FC66D4">
            <w:pPr>
              <w:rPr>
                <w:b/>
              </w:rPr>
            </w:pPr>
          </w:p>
        </w:tc>
      </w:tr>
      <w:tr w:rsidR="00534FA2" w:rsidRPr="00B10210" w:rsidTr="00FC66D4">
        <w:trPr>
          <w:trHeight w:val="577"/>
        </w:trPr>
        <w:tc>
          <w:tcPr>
            <w:tcW w:w="9180" w:type="dxa"/>
            <w:gridSpan w:val="10"/>
            <w:tcBorders>
              <w:bottom w:val="single" w:sz="4" w:space="0" w:color="FFFFFF"/>
            </w:tcBorders>
            <w:shd w:val="clear" w:color="auto" w:fill="E2E2E2"/>
            <w:vAlign w:val="center"/>
          </w:tcPr>
          <w:p w:rsidR="00534FA2" w:rsidRPr="00B10210" w:rsidRDefault="00534FA2" w:rsidP="00534FA2">
            <w:pPr>
              <w:pStyle w:val="Odsekzoznamu"/>
              <w:numPr>
                <w:ilvl w:val="0"/>
                <w:numId w:val="16"/>
              </w:numPr>
              <w:spacing w:after="0" w:line="240" w:lineRule="auto"/>
              <w:ind w:left="426"/>
              <w:rPr>
                <w:rFonts w:ascii="Times New Roman" w:hAnsi="Times New Roman"/>
                <w:b/>
              </w:rPr>
            </w:pPr>
            <w:r w:rsidRPr="00B10210">
              <w:rPr>
                <w:rFonts w:ascii="Times New Roman" w:hAnsi="Times New Roman"/>
                <w:b/>
              </w:rPr>
              <w:t>Vplyvy navrhovaného materiálu</w:t>
            </w:r>
          </w:p>
        </w:tc>
      </w:tr>
      <w:tr w:rsidR="00534FA2" w:rsidRPr="00B10210" w:rsidTr="00FC66D4">
        <w:tc>
          <w:tcPr>
            <w:tcW w:w="3812" w:type="dxa"/>
            <w:tcBorders>
              <w:bottom w:val="nil"/>
            </w:tcBorders>
            <w:shd w:val="clear" w:color="auto" w:fill="E2E2E2"/>
          </w:tcPr>
          <w:p w:rsidR="00534FA2" w:rsidRPr="00B10210" w:rsidRDefault="00534FA2" w:rsidP="00FC66D4">
            <w:pPr>
              <w:rPr>
                <w:b/>
              </w:rPr>
            </w:pPr>
            <w:r w:rsidRPr="00B10210">
              <w:rPr>
                <w:b/>
              </w:rPr>
              <w:t>Vplyvy na rozpočet verejnej správy</w:t>
            </w:r>
          </w:p>
        </w:tc>
        <w:tc>
          <w:tcPr>
            <w:tcW w:w="541" w:type="dxa"/>
            <w:gridSpan w:val="2"/>
            <w:tcBorders>
              <w:right w:val="nil"/>
            </w:tcBorders>
            <w:shd w:val="clear" w:color="auto" w:fill="auto"/>
          </w:tcPr>
          <w:p w:rsidR="00534FA2" w:rsidRPr="00B10210" w:rsidRDefault="00534FA2" w:rsidP="00FC66D4">
            <w:pPr>
              <w:jc w:val="center"/>
              <w:rPr>
                <w:b/>
              </w:rPr>
            </w:pPr>
            <w:r w:rsidRPr="00B10210">
              <w:rPr>
                <w:rFonts w:ascii="Segoe UI Symbol" w:hAnsi="Segoe UI Symbol" w:cs="Segoe UI Symbol"/>
                <w:b/>
              </w:rPr>
              <w:t>☒</w:t>
            </w:r>
          </w:p>
        </w:tc>
        <w:tc>
          <w:tcPr>
            <w:tcW w:w="1281" w:type="dxa"/>
            <w:gridSpan w:val="2"/>
            <w:tcBorders>
              <w:left w:val="nil"/>
              <w:right w:val="nil"/>
            </w:tcBorders>
            <w:shd w:val="clear" w:color="auto" w:fill="auto"/>
          </w:tcPr>
          <w:p w:rsidR="00534FA2" w:rsidRPr="00B10210" w:rsidRDefault="00534FA2" w:rsidP="00FC66D4">
            <w:pPr>
              <w:rPr>
                <w:b/>
              </w:rPr>
            </w:pPr>
            <w:r w:rsidRPr="00B10210">
              <w:rPr>
                <w:b/>
              </w:rPr>
              <w:t>Pozitívne</w:t>
            </w:r>
          </w:p>
        </w:tc>
        <w:tc>
          <w:tcPr>
            <w:tcW w:w="569" w:type="dxa"/>
            <w:tcBorders>
              <w:left w:val="nil"/>
              <w:right w:val="nil"/>
            </w:tcBorders>
            <w:shd w:val="clear" w:color="auto" w:fill="auto"/>
          </w:tcPr>
          <w:p w:rsidR="00534FA2" w:rsidRPr="00B10210" w:rsidRDefault="00534FA2" w:rsidP="00FC66D4">
            <w:pPr>
              <w:jc w:val="center"/>
              <w:rPr>
                <w:b/>
              </w:rPr>
            </w:pPr>
            <w:r w:rsidRPr="00B10210">
              <w:rPr>
                <w:rFonts w:ascii="Segoe UI Symbol" w:eastAsia="MS Mincho" w:hAnsi="Segoe UI Symbol" w:cs="Segoe UI Symbol"/>
                <w:b/>
              </w:rPr>
              <w:t>☐</w:t>
            </w:r>
          </w:p>
        </w:tc>
        <w:tc>
          <w:tcPr>
            <w:tcW w:w="1133" w:type="dxa"/>
            <w:tcBorders>
              <w:left w:val="nil"/>
              <w:right w:val="nil"/>
            </w:tcBorders>
            <w:shd w:val="clear" w:color="auto" w:fill="auto"/>
          </w:tcPr>
          <w:p w:rsidR="00534FA2" w:rsidRPr="00B10210" w:rsidRDefault="00534FA2" w:rsidP="00FC66D4">
            <w:pPr>
              <w:rPr>
                <w:b/>
              </w:rPr>
            </w:pPr>
            <w:r w:rsidRPr="00B10210">
              <w:rPr>
                <w:b/>
              </w:rPr>
              <w:t>Žiadne</w:t>
            </w:r>
          </w:p>
        </w:tc>
        <w:tc>
          <w:tcPr>
            <w:tcW w:w="547" w:type="dxa"/>
            <w:gridSpan w:val="2"/>
            <w:tcBorders>
              <w:left w:val="nil"/>
              <w:right w:val="nil"/>
            </w:tcBorders>
            <w:shd w:val="clear" w:color="auto" w:fill="auto"/>
          </w:tcPr>
          <w:p w:rsidR="00534FA2" w:rsidRPr="00B10210" w:rsidRDefault="00534FA2" w:rsidP="00FC66D4">
            <w:pPr>
              <w:ind w:left="-107" w:right="-108"/>
              <w:jc w:val="center"/>
              <w:rPr>
                <w:b/>
              </w:rPr>
            </w:pPr>
            <w:r w:rsidRPr="00B10210">
              <w:rPr>
                <w:rFonts w:ascii="Segoe UI Symbol" w:hAnsi="Segoe UI Symbol" w:cs="Segoe UI Symbol"/>
                <w:b/>
              </w:rPr>
              <w:t>☒</w:t>
            </w:r>
          </w:p>
        </w:tc>
        <w:tc>
          <w:tcPr>
            <w:tcW w:w="1297" w:type="dxa"/>
            <w:tcBorders>
              <w:left w:val="nil"/>
            </w:tcBorders>
            <w:shd w:val="clear" w:color="auto" w:fill="auto"/>
          </w:tcPr>
          <w:p w:rsidR="00534FA2" w:rsidRPr="00B10210" w:rsidRDefault="00534FA2" w:rsidP="00FC66D4">
            <w:pPr>
              <w:ind w:left="34"/>
              <w:rPr>
                <w:b/>
              </w:rPr>
            </w:pPr>
            <w:r w:rsidRPr="00B10210">
              <w:rPr>
                <w:b/>
              </w:rPr>
              <w:t>Negatívne</w:t>
            </w:r>
          </w:p>
        </w:tc>
      </w:tr>
      <w:tr w:rsidR="00534FA2" w:rsidRPr="00B10210" w:rsidTr="00FC66D4">
        <w:tc>
          <w:tcPr>
            <w:tcW w:w="3812" w:type="dxa"/>
            <w:tcBorders>
              <w:top w:val="nil"/>
              <w:bottom w:val="single" w:sz="4" w:space="0" w:color="000000"/>
            </w:tcBorders>
            <w:shd w:val="clear" w:color="auto" w:fill="E2E2E2"/>
          </w:tcPr>
          <w:p w:rsidR="00534FA2" w:rsidRPr="00B10210" w:rsidRDefault="00534FA2" w:rsidP="00FC66D4">
            <w:r w:rsidRPr="00B10210">
              <w:t xml:space="preserve">    z toho rozpočtovo zabezpečené vplyvy</w:t>
            </w:r>
          </w:p>
        </w:tc>
        <w:tc>
          <w:tcPr>
            <w:tcW w:w="541" w:type="dxa"/>
            <w:gridSpan w:val="2"/>
            <w:tcBorders>
              <w:right w:val="nil"/>
            </w:tcBorders>
            <w:shd w:val="clear" w:color="auto" w:fill="auto"/>
          </w:tcPr>
          <w:p w:rsidR="00534FA2" w:rsidRPr="00B10210" w:rsidRDefault="00534FA2" w:rsidP="00FC66D4">
            <w:pPr>
              <w:jc w:val="center"/>
            </w:pPr>
            <w:r w:rsidRPr="00B10210">
              <w:rPr>
                <w:rFonts w:ascii="Segoe UI Symbol" w:eastAsia="MS Gothic" w:hAnsi="Segoe UI Symbol" w:cs="Segoe UI Symbol"/>
              </w:rPr>
              <w:t>☒</w:t>
            </w:r>
          </w:p>
        </w:tc>
        <w:tc>
          <w:tcPr>
            <w:tcW w:w="1281" w:type="dxa"/>
            <w:gridSpan w:val="2"/>
            <w:tcBorders>
              <w:left w:val="nil"/>
              <w:right w:val="nil"/>
            </w:tcBorders>
            <w:shd w:val="clear" w:color="auto" w:fill="auto"/>
          </w:tcPr>
          <w:p w:rsidR="00534FA2" w:rsidRPr="00B10210" w:rsidRDefault="00534FA2" w:rsidP="00FC66D4">
            <w:r w:rsidRPr="00B10210">
              <w:t>Áno</w:t>
            </w:r>
          </w:p>
        </w:tc>
        <w:tc>
          <w:tcPr>
            <w:tcW w:w="569" w:type="dxa"/>
            <w:tcBorders>
              <w:left w:val="nil"/>
              <w:right w:val="nil"/>
            </w:tcBorders>
            <w:shd w:val="clear" w:color="auto" w:fill="auto"/>
          </w:tcPr>
          <w:p w:rsidR="00534FA2" w:rsidRPr="00B10210" w:rsidRDefault="00534FA2" w:rsidP="00FC66D4">
            <w:pPr>
              <w:jc w:val="center"/>
            </w:pPr>
            <w:r w:rsidRPr="00B10210">
              <w:rPr>
                <w:rFonts w:ascii="Segoe UI Symbol" w:eastAsia="MS Mincho" w:hAnsi="Segoe UI Symbol" w:cs="Segoe UI Symbol"/>
              </w:rPr>
              <w:t>☐</w:t>
            </w:r>
          </w:p>
        </w:tc>
        <w:tc>
          <w:tcPr>
            <w:tcW w:w="1133" w:type="dxa"/>
            <w:tcBorders>
              <w:left w:val="nil"/>
              <w:right w:val="nil"/>
            </w:tcBorders>
            <w:shd w:val="clear" w:color="auto" w:fill="auto"/>
          </w:tcPr>
          <w:p w:rsidR="00534FA2" w:rsidRPr="00B10210" w:rsidRDefault="00534FA2" w:rsidP="00FC66D4">
            <w:r w:rsidRPr="00B10210">
              <w:t>Nie</w:t>
            </w:r>
          </w:p>
        </w:tc>
        <w:tc>
          <w:tcPr>
            <w:tcW w:w="547" w:type="dxa"/>
            <w:gridSpan w:val="2"/>
            <w:tcBorders>
              <w:left w:val="nil"/>
              <w:right w:val="nil"/>
            </w:tcBorders>
            <w:shd w:val="clear" w:color="auto" w:fill="auto"/>
          </w:tcPr>
          <w:p w:rsidR="00534FA2" w:rsidRPr="00B10210" w:rsidRDefault="00534FA2" w:rsidP="00FC66D4">
            <w:pPr>
              <w:ind w:left="-107" w:right="-108"/>
              <w:jc w:val="center"/>
            </w:pPr>
            <w:r w:rsidRPr="00B10210">
              <w:rPr>
                <w:rFonts w:ascii="Segoe UI Symbol" w:eastAsia="MS Mincho" w:hAnsi="Segoe UI Symbol" w:cs="Segoe UI Symbol"/>
              </w:rPr>
              <w:t>☐</w:t>
            </w:r>
          </w:p>
        </w:tc>
        <w:tc>
          <w:tcPr>
            <w:tcW w:w="1297" w:type="dxa"/>
            <w:tcBorders>
              <w:left w:val="nil"/>
            </w:tcBorders>
            <w:shd w:val="clear" w:color="auto" w:fill="auto"/>
          </w:tcPr>
          <w:p w:rsidR="00534FA2" w:rsidRPr="00B10210" w:rsidRDefault="00534FA2" w:rsidP="00FC66D4">
            <w:pPr>
              <w:ind w:left="34"/>
            </w:pPr>
            <w:r w:rsidRPr="00B10210">
              <w:t>Čiastočne</w:t>
            </w:r>
          </w:p>
        </w:tc>
      </w:tr>
      <w:tr w:rsidR="00534FA2" w:rsidRPr="00B10210" w:rsidTr="00FC66D4">
        <w:tc>
          <w:tcPr>
            <w:tcW w:w="3812" w:type="dxa"/>
            <w:tcBorders>
              <w:top w:val="single" w:sz="4" w:space="0" w:color="000000"/>
              <w:bottom w:val="nil"/>
            </w:tcBorders>
            <w:shd w:val="clear" w:color="auto" w:fill="E2E2E2"/>
          </w:tcPr>
          <w:p w:rsidR="00534FA2" w:rsidRPr="00B10210" w:rsidRDefault="00534FA2" w:rsidP="00FC66D4">
            <w:pPr>
              <w:rPr>
                <w:b/>
              </w:rPr>
            </w:pPr>
            <w:r w:rsidRPr="00B10210">
              <w:rPr>
                <w:b/>
              </w:rPr>
              <w:t>Vplyvy na podnikateľské prostredie</w:t>
            </w:r>
          </w:p>
        </w:tc>
        <w:tc>
          <w:tcPr>
            <w:tcW w:w="541" w:type="dxa"/>
            <w:gridSpan w:val="2"/>
            <w:tcBorders>
              <w:right w:val="nil"/>
            </w:tcBorders>
            <w:shd w:val="clear" w:color="auto" w:fill="auto"/>
          </w:tcPr>
          <w:p w:rsidR="00534FA2" w:rsidRPr="00B10210" w:rsidRDefault="00534FA2" w:rsidP="00FC66D4">
            <w:pPr>
              <w:jc w:val="center"/>
              <w:rPr>
                <w:b/>
              </w:rPr>
            </w:pPr>
            <w:r w:rsidRPr="00B10210">
              <w:rPr>
                <w:rFonts w:ascii="Segoe UI Symbol" w:eastAsia="MS Mincho" w:hAnsi="Segoe UI Symbol" w:cs="Segoe UI Symbol"/>
                <w:b/>
              </w:rPr>
              <w:t>☒</w:t>
            </w:r>
          </w:p>
        </w:tc>
        <w:tc>
          <w:tcPr>
            <w:tcW w:w="1281" w:type="dxa"/>
            <w:gridSpan w:val="2"/>
            <w:tcBorders>
              <w:left w:val="nil"/>
              <w:right w:val="nil"/>
            </w:tcBorders>
            <w:shd w:val="clear" w:color="auto" w:fill="auto"/>
          </w:tcPr>
          <w:p w:rsidR="00534FA2" w:rsidRPr="00B10210" w:rsidRDefault="00534FA2" w:rsidP="00FC66D4">
            <w:pPr>
              <w:ind w:right="-108"/>
              <w:rPr>
                <w:b/>
              </w:rPr>
            </w:pPr>
            <w:r w:rsidRPr="00B10210">
              <w:rPr>
                <w:b/>
              </w:rPr>
              <w:t>Pozitívne</w:t>
            </w:r>
          </w:p>
        </w:tc>
        <w:tc>
          <w:tcPr>
            <w:tcW w:w="569" w:type="dxa"/>
            <w:tcBorders>
              <w:left w:val="nil"/>
              <w:right w:val="nil"/>
            </w:tcBorders>
            <w:shd w:val="clear" w:color="auto" w:fill="auto"/>
          </w:tcPr>
          <w:p w:rsidR="00534FA2" w:rsidRPr="00B10210" w:rsidRDefault="00534FA2" w:rsidP="00FC66D4">
            <w:pPr>
              <w:jc w:val="center"/>
              <w:rPr>
                <w:b/>
              </w:rPr>
            </w:pPr>
            <w:r w:rsidRPr="00B10210">
              <w:rPr>
                <w:rFonts w:ascii="Segoe UI Symbol" w:eastAsia="MS Mincho" w:hAnsi="Segoe UI Symbol" w:cs="Segoe UI Symbol"/>
                <w:b/>
              </w:rPr>
              <w:t>☐</w:t>
            </w:r>
          </w:p>
        </w:tc>
        <w:tc>
          <w:tcPr>
            <w:tcW w:w="1133" w:type="dxa"/>
            <w:tcBorders>
              <w:left w:val="nil"/>
              <w:right w:val="nil"/>
            </w:tcBorders>
            <w:shd w:val="clear" w:color="auto" w:fill="auto"/>
          </w:tcPr>
          <w:p w:rsidR="00534FA2" w:rsidRPr="00B10210" w:rsidRDefault="00534FA2" w:rsidP="00FC66D4">
            <w:pPr>
              <w:rPr>
                <w:b/>
              </w:rPr>
            </w:pPr>
            <w:r w:rsidRPr="00B10210">
              <w:rPr>
                <w:b/>
              </w:rPr>
              <w:t>Žiadne</w:t>
            </w:r>
          </w:p>
        </w:tc>
        <w:tc>
          <w:tcPr>
            <w:tcW w:w="547" w:type="dxa"/>
            <w:gridSpan w:val="2"/>
            <w:tcBorders>
              <w:left w:val="nil"/>
              <w:right w:val="nil"/>
            </w:tcBorders>
            <w:shd w:val="clear" w:color="auto" w:fill="auto"/>
          </w:tcPr>
          <w:p w:rsidR="00534FA2" w:rsidRPr="00B10210" w:rsidRDefault="00534FA2" w:rsidP="00FC66D4">
            <w:pPr>
              <w:jc w:val="center"/>
              <w:rPr>
                <w:b/>
              </w:rPr>
            </w:pPr>
            <w:r w:rsidRPr="00B10210">
              <w:rPr>
                <w:rFonts w:ascii="Segoe UI Symbol" w:eastAsia="MS Mincho" w:hAnsi="Segoe UI Symbol" w:cs="Segoe UI Symbol"/>
                <w:b/>
              </w:rPr>
              <w:t>☒</w:t>
            </w:r>
          </w:p>
        </w:tc>
        <w:tc>
          <w:tcPr>
            <w:tcW w:w="1297" w:type="dxa"/>
            <w:tcBorders>
              <w:left w:val="nil"/>
            </w:tcBorders>
            <w:shd w:val="clear" w:color="auto" w:fill="auto"/>
          </w:tcPr>
          <w:p w:rsidR="00534FA2" w:rsidRPr="00B10210" w:rsidRDefault="00534FA2" w:rsidP="00FC66D4">
            <w:pPr>
              <w:ind w:left="54"/>
              <w:rPr>
                <w:b/>
              </w:rPr>
            </w:pPr>
            <w:r w:rsidRPr="00B10210">
              <w:rPr>
                <w:b/>
              </w:rPr>
              <w:t>Negatívne</w:t>
            </w:r>
          </w:p>
        </w:tc>
      </w:tr>
      <w:tr w:rsidR="00534FA2" w:rsidRPr="00B10210" w:rsidTr="00FC66D4">
        <w:tc>
          <w:tcPr>
            <w:tcW w:w="3812" w:type="dxa"/>
            <w:tcBorders>
              <w:top w:val="nil"/>
              <w:left w:val="single" w:sz="4" w:space="0" w:color="000000"/>
              <w:bottom w:val="single" w:sz="4" w:space="0" w:color="000000"/>
              <w:right w:val="single" w:sz="4" w:space="0" w:color="000000"/>
            </w:tcBorders>
            <w:shd w:val="clear" w:color="auto" w:fill="E2E2E2"/>
          </w:tcPr>
          <w:p w:rsidR="00534FA2" w:rsidRPr="00B10210" w:rsidRDefault="00534FA2" w:rsidP="00FC66D4">
            <w:r w:rsidRPr="00B10210">
              <w:t xml:space="preserve">    z toho vplyvy na MSP</w:t>
            </w:r>
          </w:p>
        </w:tc>
        <w:tc>
          <w:tcPr>
            <w:tcW w:w="541" w:type="dxa"/>
            <w:gridSpan w:val="2"/>
            <w:tcBorders>
              <w:left w:val="single" w:sz="4" w:space="0" w:color="000000"/>
              <w:right w:val="nil"/>
            </w:tcBorders>
            <w:shd w:val="clear" w:color="auto" w:fill="auto"/>
          </w:tcPr>
          <w:p w:rsidR="00534FA2" w:rsidRPr="00B10210" w:rsidRDefault="00534FA2" w:rsidP="00FC66D4">
            <w:pPr>
              <w:jc w:val="center"/>
            </w:pPr>
            <w:r w:rsidRPr="00B10210">
              <w:rPr>
                <w:rFonts w:ascii="Segoe UI Symbol" w:eastAsia="MS Mincho" w:hAnsi="Segoe UI Symbol" w:cs="Segoe UI Symbol"/>
                <w:b/>
              </w:rPr>
              <w:t>☒</w:t>
            </w:r>
          </w:p>
        </w:tc>
        <w:tc>
          <w:tcPr>
            <w:tcW w:w="1281" w:type="dxa"/>
            <w:gridSpan w:val="2"/>
            <w:tcBorders>
              <w:left w:val="nil"/>
              <w:right w:val="nil"/>
            </w:tcBorders>
            <w:shd w:val="clear" w:color="auto" w:fill="auto"/>
          </w:tcPr>
          <w:p w:rsidR="00534FA2" w:rsidRPr="00B10210" w:rsidRDefault="00534FA2" w:rsidP="00FC66D4">
            <w:pPr>
              <w:ind w:right="-108"/>
            </w:pPr>
            <w:r w:rsidRPr="00B10210">
              <w:t>Pozitívne</w:t>
            </w:r>
          </w:p>
        </w:tc>
        <w:tc>
          <w:tcPr>
            <w:tcW w:w="569" w:type="dxa"/>
            <w:tcBorders>
              <w:left w:val="nil"/>
              <w:right w:val="nil"/>
            </w:tcBorders>
            <w:shd w:val="clear" w:color="auto" w:fill="auto"/>
          </w:tcPr>
          <w:p w:rsidR="00534FA2" w:rsidRPr="00B10210" w:rsidRDefault="00534FA2" w:rsidP="00FC66D4">
            <w:pPr>
              <w:jc w:val="center"/>
            </w:pPr>
            <w:r w:rsidRPr="00B10210">
              <w:rPr>
                <w:rFonts w:ascii="Segoe UI Symbol" w:eastAsia="MS Mincho" w:hAnsi="Segoe UI Symbol" w:cs="Segoe UI Symbol"/>
                <w:b/>
              </w:rPr>
              <w:t>☐</w:t>
            </w:r>
          </w:p>
        </w:tc>
        <w:tc>
          <w:tcPr>
            <w:tcW w:w="1133" w:type="dxa"/>
            <w:tcBorders>
              <w:left w:val="nil"/>
              <w:right w:val="nil"/>
            </w:tcBorders>
            <w:shd w:val="clear" w:color="auto" w:fill="auto"/>
          </w:tcPr>
          <w:p w:rsidR="00534FA2" w:rsidRPr="00B10210" w:rsidRDefault="00534FA2" w:rsidP="00FC66D4">
            <w:r w:rsidRPr="00B10210">
              <w:t>Žiadne</w:t>
            </w:r>
          </w:p>
        </w:tc>
        <w:tc>
          <w:tcPr>
            <w:tcW w:w="547" w:type="dxa"/>
            <w:gridSpan w:val="2"/>
            <w:tcBorders>
              <w:left w:val="nil"/>
              <w:right w:val="nil"/>
            </w:tcBorders>
            <w:shd w:val="clear" w:color="auto" w:fill="auto"/>
          </w:tcPr>
          <w:p w:rsidR="00534FA2" w:rsidRPr="00B10210" w:rsidRDefault="00534FA2" w:rsidP="00FC66D4">
            <w:pPr>
              <w:jc w:val="center"/>
            </w:pPr>
            <w:r w:rsidRPr="00B10210">
              <w:rPr>
                <w:rFonts w:ascii="Segoe UI Symbol" w:eastAsia="MS Mincho" w:hAnsi="Segoe UI Symbol" w:cs="Segoe UI Symbol"/>
                <w:b/>
              </w:rPr>
              <w:t>☒</w:t>
            </w:r>
          </w:p>
        </w:tc>
        <w:tc>
          <w:tcPr>
            <w:tcW w:w="1297" w:type="dxa"/>
            <w:tcBorders>
              <w:left w:val="nil"/>
            </w:tcBorders>
            <w:shd w:val="clear" w:color="auto" w:fill="auto"/>
          </w:tcPr>
          <w:p w:rsidR="00534FA2" w:rsidRPr="00B10210" w:rsidRDefault="00534FA2" w:rsidP="00FC66D4">
            <w:pPr>
              <w:ind w:left="54"/>
            </w:pPr>
            <w:r w:rsidRPr="00B10210">
              <w:t>Negatívne</w:t>
            </w:r>
          </w:p>
        </w:tc>
      </w:tr>
      <w:tr w:rsidR="00534FA2" w:rsidRPr="00B10210" w:rsidTr="00FC66D4">
        <w:tc>
          <w:tcPr>
            <w:tcW w:w="3812" w:type="dxa"/>
            <w:tcBorders>
              <w:top w:val="single" w:sz="4" w:space="0" w:color="000000"/>
            </w:tcBorders>
            <w:shd w:val="clear" w:color="auto" w:fill="E2E2E2"/>
          </w:tcPr>
          <w:p w:rsidR="00534FA2" w:rsidRPr="00B10210" w:rsidRDefault="00534FA2" w:rsidP="00FC66D4">
            <w:pPr>
              <w:rPr>
                <w:b/>
              </w:rPr>
            </w:pPr>
            <w:r w:rsidRPr="00B10210">
              <w:rPr>
                <w:b/>
              </w:rPr>
              <w:t>Sociálne vplyvy</w:t>
            </w:r>
          </w:p>
        </w:tc>
        <w:tc>
          <w:tcPr>
            <w:tcW w:w="541" w:type="dxa"/>
            <w:gridSpan w:val="2"/>
            <w:tcBorders>
              <w:right w:val="nil"/>
            </w:tcBorders>
            <w:shd w:val="clear" w:color="auto" w:fill="auto"/>
          </w:tcPr>
          <w:p w:rsidR="00534FA2" w:rsidRPr="00B10210" w:rsidRDefault="00534FA2" w:rsidP="00FC66D4">
            <w:pPr>
              <w:jc w:val="center"/>
              <w:rPr>
                <w:b/>
              </w:rPr>
            </w:pPr>
            <w:r w:rsidRPr="00B10210">
              <w:rPr>
                <w:rFonts w:ascii="Segoe UI Symbol" w:eastAsia="MS Mincho" w:hAnsi="Segoe UI Symbol" w:cs="Segoe UI Symbol"/>
                <w:b/>
              </w:rPr>
              <w:t>☐</w:t>
            </w:r>
          </w:p>
        </w:tc>
        <w:tc>
          <w:tcPr>
            <w:tcW w:w="1281" w:type="dxa"/>
            <w:gridSpan w:val="2"/>
            <w:tcBorders>
              <w:left w:val="nil"/>
              <w:right w:val="nil"/>
            </w:tcBorders>
            <w:shd w:val="clear" w:color="auto" w:fill="auto"/>
          </w:tcPr>
          <w:p w:rsidR="00534FA2" w:rsidRPr="00B10210" w:rsidRDefault="00534FA2" w:rsidP="00FC66D4">
            <w:pPr>
              <w:ind w:right="-108"/>
              <w:rPr>
                <w:b/>
              </w:rPr>
            </w:pPr>
            <w:r w:rsidRPr="00B10210">
              <w:rPr>
                <w:b/>
              </w:rPr>
              <w:t>Pozitívne</w:t>
            </w:r>
          </w:p>
        </w:tc>
        <w:tc>
          <w:tcPr>
            <w:tcW w:w="569" w:type="dxa"/>
            <w:tcBorders>
              <w:left w:val="nil"/>
              <w:right w:val="nil"/>
            </w:tcBorders>
            <w:shd w:val="clear" w:color="auto" w:fill="auto"/>
          </w:tcPr>
          <w:p w:rsidR="00534FA2" w:rsidRPr="00B10210" w:rsidRDefault="00534FA2" w:rsidP="00FC66D4">
            <w:pPr>
              <w:jc w:val="center"/>
              <w:rPr>
                <w:b/>
              </w:rPr>
            </w:pPr>
            <w:r w:rsidRPr="00B10210">
              <w:rPr>
                <w:rFonts w:ascii="Segoe UI Symbol" w:eastAsia="MS Gothic" w:hAnsi="Segoe UI Symbol" w:cs="Segoe UI Symbol"/>
              </w:rPr>
              <w:t>☒</w:t>
            </w:r>
          </w:p>
        </w:tc>
        <w:tc>
          <w:tcPr>
            <w:tcW w:w="1133" w:type="dxa"/>
            <w:tcBorders>
              <w:left w:val="nil"/>
              <w:right w:val="nil"/>
            </w:tcBorders>
            <w:shd w:val="clear" w:color="auto" w:fill="auto"/>
          </w:tcPr>
          <w:p w:rsidR="00534FA2" w:rsidRPr="00B10210" w:rsidRDefault="00534FA2" w:rsidP="00FC66D4">
            <w:pPr>
              <w:rPr>
                <w:b/>
              </w:rPr>
            </w:pPr>
            <w:r w:rsidRPr="00B10210">
              <w:rPr>
                <w:b/>
              </w:rPr>
              <w:t>Žiadne</w:t>
            </w:r>
          </w:p>
        </w:tc>
        <w:tc>
          <w:tcPr>
            <w:tcW w:w="547" w:type="dxa"/>
            <w:gridSpan w:val="2"/>
            <w:tcBorders>
              <w:left w:val="nil"/>
              <w:right w:val="nil"/>
            </w:tcBorders>
            <w:shd w:val="clear" w:color="auto" w:fill="auto"/>
          </w:tcPr>
          <w:p w:rsidR="00534FA2" w:rsidRPr="00B10210" w:rsidRDefault="00534FA2" w:rsidP="00FC66D4">
            <w:pPr>
              <w:jc w:val="center"/>
              <w:rPr>
                <w:b/>
              </w:rPr>
            </w:pPr>
            <w:r w:rsidRPr="00B10210">
              <w:rPr>
                <w:rFonts w:ascii="Segoe UI Symbol" w:eastAsia="MS Mincho" w:hAnsi="Segoe UI Symbol" w:cs="Segoe UI Symbol"/>
                <w:b/>
              </w:rPr>
              <w:t>☐</w:t>
            </w:r>
          </w:p>
        </w:tc>
        <w:tc>
          <w:tcPr>
            <w:tcW w:w="1297" w:type="dxa"/>
            <w:tcBorders>
              <w:left w:val="nil"/>
            </w:tcBorders>
            <w:shd w:val="clear" w:color="auto" w:fill="auto"/>
          </w:tcPr>
          <w:p w:rsidR="00534FA2" w:rsidRPr="00B10210" w:rsidRDefault="00534FA2" w:rsidP="00FC66D4">
            <w:pPr>
              <w:ind w:left="54"/>
              <w:rPr>
                <w:b/>
              </w:rPr>
            </w:pPr>
            <w:r w:rsidRPr="00B10210">
              <w:rPr>
                <w:b/>
              </w:rPr>
              <w:t>Negatívne</w:t>
            </w:r>
          </w:p>
        </w:tc>
      </w:tr>
      <w:tr w:rsidR="00534FA2" w:rsidRPr="00B10210" w:rsidTr="00FC66D4">
        <w:tc>
          <w:tcPr>
            <w:tcW w:w="3812" w:type="dxa"/>
            <w:shd w:val="clear" w:color="auto" w:fill="E2E2E2"/>
          </w:tcPr>
          <w:p w:rsidR="00534FA2" w:rsidRPr="00B10210" w:rsidRDefault="00534FA2" w:rsidP="00FC66D4">
            <w:pPr>
              <w:rPr>
                <w:b/>
              </w:rPr>
            </w:pPr>
            <w:r w:rsidRPr="00B10210">
              <w:rPr>
                <w:b/>
              </w:rPr>
              <w:t>Vplyvy na životné prostredie</w:t>
            </w:r>
          </w:p>
        </w:tc>
        <w:tc>
          <w:tcPr>
            <w:tcW w:w="541" w:type="dxa"/>
            <w:gridSpan w:val="2"/>
            <w:tcBorders>
              <w:right w:val="nil"/>
            </w:tcBorders>
            <w:shd w:val="clear" w:color="auto" w:fill="auto"/>
          </w:tcPr>
          <w:p w:rsidR="00534FA2" w:rsidRPr="00B10210" w:rsidRDefault="00534FA2" w:rsidP="00FC66D4">
            <w:pPr>
              <w:jc w:val="center"/>
              <w:rPr>
                <w:b/>
              </w:rPr>
            </w:pPr>
            <w:r w:rsidRPr="00B10210">
              <w:rPr>
                <w:rFonts w:ascii="Segoe UI Symbol" w:eastAsia="MS Mincho" w:hAnsi="Segoe UI Symbol" w:cs="Segoe UI Symbol"/>
                <w:b/>
              </w:rPr>
              <w:t>☐</w:t>
            </w:r>
          </w:p>
        </w:tc>
        <w:tc>
          <w:tcPr>
            <w:tcW w:w="1281" w:type="dxa"/>
            <w:gridSpan w:val="2"/>
            <w:tcBorders>
              <w:left w:val="nil"/>
              <w:right w:val="nil"/>
            </w:tcBorders>
            <w:shd w:val="clear" w:color="auto" w:fill="auto"/>
          </w:tcPr>
          <w:p w:rsidR="00534FA2" w:rsidRPr="00B10210" w:rsidRDefault="00534FA2" w:rsidP="00FC66D4">
            <w:pPr>
              <w:ind w:right="-108"/>
              <w:rPr>
                <w:b/>
              </w:rPr>
            </w:pPr>
            <w:r w:rsidRPr="00B10210">
              <w:rPr>
                <w:b/>
              </w:rPr>
              <w:t>Pozitívne</w:t>
            </w:r>
          </w:p>
        </w:tc>
        <w:tc>
          <w:tcPr>
            <w:tcW w:w="569" w:type="dxa"/>
            <w:tcBorders>
              <w:left w:val="nil"/>
              <w:right w:val="nil"/>
            </w:tcBorders>
            <w:shd w:val="clear" w:color="auto" w:fill="auto"/>
          </w:tcPr>
          <w:p w:rsidR="00534FA2" w:rsidRPr="00B10210" w:rsidRDefault="00534FA2" w:rsidP="00FC66D4">
            <w:pPr>
              <w:jc w:val="center"/>
              <w:rPr>
                <w:b/>
              </w:rPr>
            </w:pPr>
            <w:r w:rsidRPr="00B10210">
              <w:rPr>
                <w:rFonts w:ascii="Segoe UI Symbol" w:eastAsia="MS Gothic" w:hAnsi="Segoe UI Symbol" w:cs="Segoe UI Symbol"/>
              </w:rPr>
              <w:t>☒</w:t>
            </w:r>
          </w:p>
        </w:tc>
        <w:tc>
          <w:tcPr>
            <w:tcW w:w="1133" w:type="dxa"/>
            <w:tcBorders>
              <w:left w:val="nil"/>
              <w:right w:val="nil"/>
            </w:tcBorders>
            <w:shd w:val="clear" w:color="auto" w:fill="auto"/>
          </w:tcPr>
          <w:p w:rsidR="00534FA2" w:rsidRPr="00B10210" w:rsidRDefault="00534FA2" w:rsidP="00FC66D4">
            <w:pPr>
              <w:rPr>
                <w:b/>
              </w:rPr>
            </w:pPr>
            <w:r w:rsidRPr="00B10210">
              <w:rPr>
                <w:b/>
              </w:rPr>
              <w:t>Žiadne</w:t>
            </w:r>
          </w:p>
        </w:tc>
        <w:tc>
          <w:tcPr>
            <w:tcW w:w="547" w:type="dxa"/>
            <w:gridSpan w:val="2"/>
            <w:tcBorders>
              <w:left w:val="nil"/>
              <w:right w:val="nil"/>
            </w:tcBorders>
            <w:shd w:val="clear" w:color="auto" w:fill="auto"/>
          </w:tcPr>
          <w:p w:rsidR="00534FA2" w:rsidRPr="00B10210" w:rsidRDefault="00534FA2" w:rsidP="00FC66D4">
            <w:pPr>
              <w:jc w:val="center"/>
              <w:rPr>
                <w:b/>
              </w:rPr>
            </w:pPr>
            <w:r w:rsidRPr="00B10210">
              <w:rPr>
                <w:rFonts w:ascii="Segoe UI Symbol" w:eastAsia="MS Mincho" w:hAnsi="Segoe UI Symbol" w:cs="Segoe UI Symbol"/>
                <w:b/>
              </w:rPr>
              <w:t>☐</w:t>
            </w:r>
          </w:p>
        </w:tc>
        <w:tc>
          <w:tcPr>
            <w:tcW w:w="1297" w:type="dxa"/>
            <w:tcBorders>
              <w:left w:val="nil"/>
            </w:tcBorders>
            <w:shd w:val="clear" w:color="auto" w:fill="auto"/>
          </w:tcPr>
          <w:p w:rsidR="00534FA2" w:rsidRPr="00B10210" w:rsidRDefault="00534FA2" w:rsidP="00FC66D4">
            <w:pPr>
              <w:ind w:left="54"/>
              <w:rPr>
                <w:b/>
              </w:rPr>
            </w:pPr>
            <w:r w:rsidRPr="00B10210">
              <w:rPr>
                <w:b/>
              </w:rPr>
              <w:t>Negatívne</w:t>
            </w:r>
          </w:p>
        </w:tc>
      </w:tr>
      <w:tr w:rsidR="00534FA2" w:rsidRPr="00B10210" w:rsidTr="00FC66D4">
        <w:tc>
          <w:tcPr>
            <w:tcW w:w="3812" w:type="dxa"/>
            <w:shd w:val="clear" w:color="auto" w:fill="E2E2E2"/>
          </w:tcPr>
          <w:p w:rsidR="00534FA2" w:rsidRPr="00B10210" w:rsidRDefault="00534FA2" w:rsidP="00FC66D4">
            <w:pPr>
              <w:rPr>
                <w:b/>
              </w:rPr>
            </w:pPr>
            <w:r w:rsidRPr="00B10210">
              <w:rPr>
                <w:b/>
              </w:rPr>
              <w:t>Vplyvy na informatizáciu</w:t>
            </w:r>
          </w:p>
        </w:tc>
        <w:tc>
          <w:tcPr>
            <w:tcW w:w="541" w:type="dxa"/>
            <w:gridSpan w:val="2"/>
            <w:tcBorders>
              <w:right w:val="nil"/>
            </w:tcBorders>
            <w:shd w:val="clear" w:color="auto" w:fill="auto"/>
          </w:tcPr>
          <w:p w:rsidR="00534FA2" w:rsidRPr="00B10210" w:rsidRDefault="00534FA2" w:rsidP="00FC66D4">
            <w:pPr>
              <w:jc w:val="center"/>
              <w:rPr>
                <w:b/>
              </w:rPr>
            </w:pPr>
            <w:r w:rsidRPr="00B10210">
              <w:rPr>
                <w:rFonts w:ascii="Segoe UI Symbol" w:eastAsia="MS Gothic" w:hAnsi="Segoe UI Symbol" w:cs="Segoe UI Symbol"/>
              </w:rPr>
              <w:t>☒</w:t>
            </w:r>
          </w:p>
        </w:tc>
        <w:tc>
          <w:tcPr>
            <w:tcW w:w="1281" w:type="dxa"/>
            <w:gridSpan w:val="2"/>
            <w:tcBorders>
              <w:left w:val="nil"/>
              <w:right w:val="nil"/>
            </w:tcBorders>
            <w:shd w:val="clear" w:color="auto" w:fill="auto"/>
          </w:tcPr>
          <w:p w:rsidR="00534FA2" w:rsidRPr="00B10210" w:rsidRDefault="00534FA2" w:rsidP="00FC66D4">
            <w:pPr>
              <w:ind w:right="-108"/>
              <w:rPr>
                <w:b/>
              </w:rPr>
            </w:pPr>
            <w:r w:rsidRPr="00B10210">
              <w:rPr>
                <w:b/>
              </w:rPr>
              <w:t>Pozitívne</w:t>
            </w:r>
          </w:p>
        </w:tc>
        <w:tc>
          <w:tcPr>
            <w:tcW w:w="569" w:type="dxa"/>
            <w:tcBorders>
              <w:left w:val="nil"/>
              <w:right w:val="nil"/>
            </w:tcBorders>
            <w:shd w:val="clear" w:color="auto" w:fill="auto"/>
          </w:tcPr>
          <w:p w:rsidR="00534FA2" w:rsidRPr="00B10210" w:rsidRDefault="00534FA2" w:rsidP="00FC66D4">
            <w:pPr>
              <w:jc w:val="center"/>
              <w:rPr>
                <w:b/>
              </w:rPr>
            </w:pPr>
            <w:r w:rsidRPr="00B10210">
              <w:rPr>
                <w:rFonts w:ascii="Segoe UI Symbol" w:eastAsia="MS Mincho" w:hAnsi="Segoe UI Symbol" w:cs="Segoe UI Symbol"/>
                <w:b/>
              </w:rPr>
              <w:t>☐</w:t>
            </w:r>
          </w:p>
        </w:tc>
        <w:tc>
          <w:tcPr>
            <w:tcW w:w="1133" w:type="dxa"/>
            <w:tcBorders>
              <w:left w:val="nil"/>
              <w:right w:val="nil"/>
            </w:tcBorders>
            <w:shd w:val="clear" w:color="auto" w:fill="auto"/>
          </w:tcPr>
          <w:p w:rsidR="00534FA2" w:rsidRPr="00B10210" w:rsidRDefault="00534FA2" w:rsidP="00FC66D4">
            <w:pPr>
              <w:rPr>
                <w:b/>
              </w:rPr>
            </w:pPr>
            <w:r w:rsidRPr="00B10210">
              <w:rPr>
                <w:b/>
              </w:rPr>
              <w:t>Žiadne</w:t>
            </w:r>
          </w:p>
        </w:tc>
        <w:tc>
          <w:tcPr>
            <w:tcW w:w="547" w:type="dxa"/>
            <w:gridSpan w:val="2"/>
            <w:tcBorders>
              <w:left w:val="nil"/>
              <w:right w:val="nil"/>
            </w:tcBorders>
            <w:shd w:val="clear" w:color="auto" w:fill="auto"/>
          </w:tcPr>
          <w:p w:rsidR="00534FA2" w:rsidRPr="00B10210" w:rsidRDefault="00534FA2" w:rsidP="00FC66D4">
            <w:pPr>
              <w:jc w:val="center"/>
              <w:rPr>
                <w:b/>
              </w:rPr>
            </w:pPr>
            <w:r w:rsidRPr="00B10210">
              <w:rPr>
                <w:rFonts w:ascii="Segoe UI Symbol" w:eastAsia="MS Mincho" w:hAnsi="Segoe UI Symbol" w:cs="Segoe UI Symbol"/>
                <w:b/>
              </w:rPr>
              <w:t>☐</w:t>
            </w:r>
          </w:p>
        </w:tc>
        <w:tc>
          <w:tcPr>
            <w:tcW w:w="1297" w:type="dxa"/>
            <w:tcBorders>
              <w:left w:val="nil"/>
            </w:tcBorders>
            <w:shd w:val="clear" w:color="auto" w:fill="auto"/>
          </w:tcPr>
          <w:p w:rsidR="00534FA2" w:rsidRPr="00B10210" w:rsidRDefault="00534FA2" w:rsidP="00FC66D4">
            <w:pPr>
              <w:ind w:left="54"/>
              <w:rPr>
                <w:b/>
              </w:rPr>
            </w:pPr>
            <w:r w:rsidRPr="00B10210">
              <w:rPr>
                <w:b/>
              </w:rPr>
              <w:t>Negatívne</w:t>
            </w:r>
          </w:p>
        </w:tc>
      </w:tr>
    </w:tbl>
    <w:p w:rsidR="00534FA2" w:rsidRPr="00B10210" w:rsidRDefault="00534FA2" w:rsidP="00534FA2">
      <w:pPr>
        <w:rPr>
          <w:vanish/>
        </w:rPr>
      </w:pPr>
    </w:p>
    <w:tbl>
      <w:tblPr>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9"/>
        <w:gridCol w:w="1281"/>
        <w:gridCol w:w="569"/>
        <w:gridCol w:w="1133"/>
        <w:gridCol w:w="547"/>
        <w:gridCol w:w="1297"/>
      </w:tblGrid>
      <w:tr w:rsidR="00534FA2" w:rsidRPr="00B10210" w:rsidTr="00FC66D4">
        <w:tc>
          <w:tcPr>
            <w:tcW w:w="3812" w:type="dxa"/>
            <w:tcBorders>
              <w:bottom w:val="nil"/>
            </w:tcBorders>
            <w:shd w:val="clear" w:color="auto" w:fill="E2E2E2"/>
          </w:tcPr>
          <w:p w:rsidR="00534FA2" w:rsidRPr="00B10210" w:rsidRDefault="00534FA2" w:rsidP="00FC66D4">
            <w:pPr>
              <w:rPr>
                <w:b/>
              </w:rPr>
            </w:pPr>
            <w:r w:rsidRPr="00B10210">
              <w:rPr>
                <w:b/>
              </w:rPr>
              <w:lastRenderedPageBreak/>
              <w:t>Vplyvy na služby verejnej správy pre občana, z toho</w:t>
            </w:r>
          </w:p>
        </w:tc>
        <w:tc>
          <w:tcPr>
            <w:tcW w:w="549" w:type="dxa"/>
            <w:tcBorders>
              <w:bottom w:val="nil"/>
              <w:right w:val="nil"/>
            </w:tcBorders>
          </w:tcPr>
          <w:p w:rsidR="00534FA2" w:rsidRPr="00B10210" w:rsidRDefault="00534FA2" w:rsidP="00FC66D4">
            <w:pPr>
              <w:jc w:val="center"/>
              <w:rPr>
                <w:rFonts w:eastAsia="MS Mincho"/>
                <w:b/>
              </w:rPr>
            </w:pPr>
          </w:p>
        </w:tc>
        <w:tc>
          <w:tcPr>
            <w:tcW w:w="1281" w:type="dxa"/>
            <w:tcBorders>
              <w:left w:val="nil"/>
              <w:bottom w:val="nil"/>
              <w:right w:val="nil"/>
            </w:tcBorders>
          </w:tcPr>
          <w:p w:rsidR="00534FA2" w:rsidRPr="00B10210" w:rsidRDefault="00534FA2" w:rsidP="00FC66D4">
            <w:pPr>
              <w:ind w:right="-108"/>
              <w:rPr>
                <w:b/>
              </w:rPr>
            </w:pPr>
          </w:p>
        </w:tc>
        <w:tc>
          <w:tcPr>
            <w:tcW w:w="569" w:type="dxa"/>
            <w:tcBorders>
              <w:left w:val="nil"/>
              <w:bottom w:val="nil"/>
              <w:right w:val="nil"/>
            </w:tcBorders>
          </w:tcPr>
          <w:p w:rsidR="00534FA2" w:rsidRPr="00B10210" w:rsidRDefault="00534FA2" w:rsidP="00FC66D4">
            <w:pPr>
              <w:jc w:val="center"/>
              <w:rPr>
                <w:rFonts w:eastAsia="MS Mincho"/>
                <w:b/>
              </w:rPr>
            </w:pPr>
          </w:p>
        </w:tc>
        <w:tc>
          <w:tcPr>
            <w:tcW w:w="1133" w:type="dxa"/>
            <w:tcBorders>
              <w:left w:val="nil"/>
              <w:bottom w:val="nil"/>
              <w:right w:val="nil"/>
            </w:tcBorders>
          </w:tcPr>
          <w:p w:rsidR="00534FA2" w:rsidRPr="00B10210" w:rsidRDefault="00534FA2" w:rsidP="00FC66D4">
            <w:pPr>
              <w:rPr>
                <w:b/>
              </w:rPr>
            </w:pPr>
          </w:p>
        </w:tc>
        <w:tc>
          <w:tcPr>
            <w:tcW w:w="547" w:type="dxa"/>
            <w:tcBorders>
              <w:left w:val="nil"/>
              <w:bottom w:val="nil"/>
              <w:right w:val="nil"/>
            </w:tcBorders>
          </w:tcPr>
          <w:p w:rsidR="00534FA2" w:rsidRPr="00B10210" w:rsidRDefault="00534FA2" w:rsidP="00FC66D4">
            <w:pPr>
              <w:jc w:val="center"/>
              <w:rPr>
                <w:rFonts w:eastAsia="MS Mincho"/>
                <w:b/>
              </w:rPr>
            </w:pPr>
          </w:p>
        </w:tc>
        <w:tc>
          <w:tcPr>
            <w:tcW w:w="1297" w:type="dxa"/>
            <w:tcBorders>
              <w:left w:val="nil"/>
              <w:bottom w:val="nil"/>
            </w:tcBorders>
          </w:tcPr>
          <w:p w:rsidR="00534FA2" w:rsidRPr="00B10210" w:rsidRDefault="00534FA2" w:rsidP="00FC66D4">
            <w:pPr>
              <w:ind w:left="54"/>
              <w:rPr>
                <w:b/>
              </w:rPr>
            </w:pPr>
          </w:p>
        </w:tc>
      </w:tr>
      <w:tr w:rsidR="00534FA2" w:rsidRPr="00B10210" w:rsidTr="00FC66D4">
        <w:tc>
          <w:tcPr>
            <w:tcW w:w="3812" w:type="dxa"/>
            <w:tcBorders>
              <w:top w:val="nil"/>
              <w:bottom w:val="nil"/>
            </w:tcBorders>
            <w:shd w:val="clear" w:color="auto" w:fill="E2E2E2"/>
          </w:tcPr>
          <w:p w:rsidR="00534FA2" w:rsidRPr="00B10210" w:rsidRDefault="00534FA2" w:rsidP="00FC66D4">
            <w:pPr>
              <w:ind w:left="196" w:hanging="196"/>
              <w:rPr>
                <w:b/>
              </w:rPr>
            </w:pPr>
            <w:r w:rsidRPr="00B10210">
              <w:rPr>
                <w:b/>
              </w:rPr>
              <w:t xml:space="preserve">    vplyvy služieb verejnej správy na občana</w:t>
            </w:r>
          </w:p>
        </w:tc>
        <w:tc>
          <w:tcPr>
            <w:tcW w:w="549" w:type="dxa"/>
            <w:tcBorders>
              <w:top w:val="nil"/>
              <w:bottom w:val="nil"/>
              <w:right w:val="nil"/>
            </w:tcBorders>
          </w:tcPr>
          <w:p w:rsidR="00534FA2" w:rsidRPr="00B10210" w:rsidRDefault="00534FA2" w:rsidP="00FC66D4">
            <w:pPr>
              <w:jc w:val="center"/>
              <w:rPr>
                <w:rFonts w:eastAsia="MS Mincho"/>
                <w:b/>
              </w:rPr>
            </w:pPr>
            <w:r w:rsidRPr="00B10210">
              <w:rPr>
                <w:rFonts w:ascii="Segoe UI Symbol" w:eastAsia="MS Mincho" w:hAnsi="Segoe UI Symbol" w:cs="Segoe UI Symbol"/>
                <w:b/>
              </w:rPr>
              <w:t>☐</w:t>
            </w:r>
          </w:p>
        </w:tc>
        <w:tc>
          <w:tcPr>
            <w:tcW w:w="1281" w:type="dxa"/>
            <w:tcBorders>
              <w:top w:val="nil"/>
              <w:left w:val="nil"/>
              <w:bottom w:val="nil"/>
              <w:right w:val="nil"/>
            </w:tcBorders>
          </w:tcPr>
          <w:p w:rsidR="00534FA2" w:rsidRPr="00B10210" w:rsidRDefault="00534FA2" w:rsidP="00FC66D4">
            <w:pPr>
              <w:ind w:right="-108"/>
              <w:rPr>
                <w:b/>
              </w:rPr>
            </w:pPr>
            <w:r w:rsidRPr="00B10210">
              <w:rPr>
                <w:b/>
              </w:rPr>
              <w:t>Pozitívne</w:t>
            </w:r>
          </w:p>
        </w:tc>
        <w:tc>
          <w:tcPr>
            <w:tcW w:w="569" w:type="dxa"/>
            <w:tcBorders>
              <w:top w:val="nil"/>
              <w:left w:val="nil"/>
              <w:bottom w:val="nil"/>
              <w:right w:val="nil"/>
            </w:tcBorders>
          </w:tcPr>
          <w:p w:rsidR="00534FA2" w:rsidRPr="00B10210" w:rsidRDefault="00534FA2" w:rsidP="00FC66D4">
            <w:pPr>
              <w:jc w:val="center"/>
              <w:rPr>
                <w:rFonts w:eastAsia="MS Mincho"/>
                <w:b/>
              </w:rPr>
            </w:pPr>
            <w:r w:rsidRPr="00B10210">
              <w:rPr>
                <w:rFonts w:ascii="Segoe UI Symbol" w:eastAsia="MS Gothic" w:hAnsi="Segoe UI Symbol" w:cs="Segoe UI Symbol"/>
              </w:rPr>
              <w:t>☒</w:t>
            </w:r>
          </w:p>
        </w:tc>
        <w:tc>
          <w:tcPr>
            <w:tcW w:w="1133" w:type="dxa"/>
            <w:tcBorders>
              <w:top w:val="nil"/>
              <w:left w:val="nil"/>
              <w:bottom w:val="nil"/>
              <w:right w:val="nil"/>
            </w:tcBorders>
          </w:tcPr>
          <w:p w:rsidR="00534FA2" w:rsidRPr="00B10210" w:rsidRDefault="00534FA2" w:rsidP="00FC66D4">
            <w:pPr>
              <w:rPr>
                <w:b/>
              </w:rPr>
            </w:pPr>
            <w:r w:rsidRPr="00B10210">
              <w:rPr>
                <w:b/>
              </w:rPr>
              <w:t>Žiadne</w:t>
            </w:r>
          </w:p>
        </w:tc>
        <w:tc>
          <w:tcPr>
            <w:tcW w:w="547" w:type="dxa"/>
            <w:tcBorders>
              <w:top w:val="nil"/>
              <w:left w:val="nil"/>
              <w:bottom w:val="nil"/>
              <w:right w:val="nil"/>
            </w:tcBorders>
          </w:tcPr>
          <w:p w:rsidR="00534FA2" w:rsidRPr="00B10210" w:rsidRDefault="00534FA2" w:rsidP="00FC66D4">
            <w:pPr>
              <w:jc w:val="center"/>
              <w:rPr>
                <w:rFonts w:eastAsia="MS Mincho"/>
                <w:b/>
              </w:rPr>
            </w:pPr>
            <w:r w:rsidRPr="00B10210">
              <w:rPr>
                <w:rFonts w:ascii="Segoe UI Symbol" w:eastAsia="MS Mincho" w:hAnsi="Segoe UI Symbol" w:cs="Segoe UI Symbol"/>
                <w:b/>
              </w:rPr>
              <w:t>☐</w:t>
            </w:r>
          </w:p>
        </w:tc>
        <w:tc>
          <w:tcPr>
            <w:tcW w:w="1297" w:type="dxa"/>
            <w:tcBorders>
              <w:top w:val="nil"/>
              <w:left w:val="nil"/>
              <w:bottom w:val="nil"/>
            </w:tcBorders>
          </w:tcPr>
          <w:p w:rsidR="00534FA2" w:rsidRPr="00B10210" w:rsidRDefault="00534FA2" w:rsidP="00FC66D4">
            <w:pPr>
              <w:ind w:left="54"/>
              <w:rPr>
                <w:b/>
              </w:rPr>
            </w:pPr>
            <w:r w:rsidRPr="00B10210">
              <w:rPr>
                <w:b/>
              </w:rPr>
              <w:t>Negatívne“</w:t>
            </w:r>
          </w:p>
        </w:tc>
      </w:tr>
      <w:tr w:rsidR="00534FA2" w:rsidRPr="00B10210" w:rsidTr="00FC66D4">
        <w:tc>
          <w:tcPr>
            <w:tcW w:w="3812" w:type="dxa"/>
            <w:tcBorders>
              <w:top w:val="nil"/>
            </w:tcBorders>
            <w:shd w:val="clear" w:color="auto" w:fill="E2E2E2"/>
          </w:tcPr>
          <w:p w:rsidR="00534FA2" w:rsidRPr="00B10210" w:rsidRDefault="00534FA2" w:rsidP="00FC66D4">
            <w:pPr>
              <w:ind w:left="168" w:hanging="168"/>
              <w:rPr>
                <w:b/>
              </w:rPr>
            </w:pPr>
            <w:r w:rsidRPr="00B10210">
              <w:rPr>
                <w:b/>
              </w:rPr>
              <w:t xml:space="preserve">    vplyvy na procesy služieb vo verejnej správe</w:t>
            </w:r>
          </w:p>
        </w:tc>
        <w:tc>
          <w:tcPr>
            <w:tcW w:w="549" w:type="dxa"/>
            <w:tcBorders>
              <w:top w:val="nil"/>
              <w:right w:val="nil"/>
            </w:tcBorders>
          </w:tcPr>
          <w:p w:rsidR="00534FA2" w:rsidRPr="00B10210" w:rsidRDefault="00534FA2" w:rsidP="00FC66D4">
            <w:pPr>
              <w:jc w:val="center"/>
              <w:rPr>
                <w:rFonts w:eastAsia="MS Mincho"/>
                <w:b/>
              </w:rPr>
            </w:pPr>
            <w:r w:rsidRPr="00B10210">
              <w:rPr>
                <w:rFonts w:ascii="Segoe UI Symbol" w:eastAsia="MS Mincho" w:hAnsi="Segoe UI Symbol" w:cs="Segoe UI Symbol"/>
                <w:b/>
              </w:rPr>
              <w:t>☐</w:t>
            </w:r>
          </w:p>
        </w:tc>
        <w:tc>
          <w:tcPr>
            <w:tcW w:w="1281" w:type="dxa"/>
            <w:tcBorders>
              <w:top w:val="nil"/>
              <w:left w:val="nil"/>
              <w:right w:val="nil"/>
            </w:tcBorders>
          </w:tcPr>
          <w:p w:rsidR="00534FA2" w:rsidRPr="00B10210" w:rsidRDefault="00534FA2" w:rsidP="00FC66D4">
            <w:pPr>
              <w:ind w:right="-108"/>
              <w:rPr>
                <w:b/>
              </w:rPr>
            </w:pPr>
            <w:r w:rsidRPr="00B10210">
              <w:rPr>
                <w:b/>
              </w:rPr>
              <w:t>Pozitívne</w:t>
            </w:r>
          </w:p>
        </w:tc>
        <w:tc>
          <w:tcPr>
            <w:tcW w:w="569" w:type="dxa"/>
            <w:tcBorders>
              <w:top w:val="nil"/>
              <w:left w:val="nil"/>
              <w:right w:val="nil"/>
            </w:tcBorders>
          </w:tcPr>
          <w:p w:rsidR="00534FA2" w:rsidRPr="00B10210" w:rsidRDefault="00534FA2" w:rsidP="00FC66D4">
            <w:pPr>
              <w:jc w:val="center"/>
              <w:rPr>
                <w:rFonts w:eastAsia="MS Mincho"/>
                <w:b/>
              </w:rPr>
            </w:pPr>
            <w:r w:rsidRPr="00B10210">
              <w:rPr>
                <w:rFonts w:ascii="Segoe UI Symbol" w:eastAsia="MS Gothic" w:hAnsi="Segoe UI Symbol" w:cs="Segoe UI Symbol"/>
              </w:rPr>
              <w:t>☒</w:t>
            </w:r>
          </w:p>
        </w:tc>
        <w:tc>
          <w:tcPr>
            <w:tcW w:w="1133" w:type="dxa"/>
            <w:tcBorders>
              <w:top w:val="nil"/>
              <w:left w:val="nil"/>
              <w:right w:val="nil"/>
            </w:tcBorders>
          </w:tcPr>
          <w:p w:rsidR="00534FA2" w:rsidRPr="00B10210" w:rsidRDefault="00534FA2" w:rsidP="00FC66D4">
            <w:pPr>
              <w:rPr>
                <w:b/>
              </w:rPr>
            </w:pPr>
            <w:r w:rsidRPr="00B10210">
              <w:rPr>
                <w:b/>
              </w:rPr>
              <w:t>Žiadne</w:t>
            </w:r>
          </w:p>
        </w:tc>
        <w:tc>
          <w:tcPr>
            <w:tcW w:w="547" w:type="dxa"/>
            <w:tcBorders>
              <w:top w:val="nil"/>
              <w:left w:val="nil"/>
              <w:right w:val="nil"/>
            </w:tcBorders>
          </w:tcPr>
          <w:p w:rsidR="00534FA2" w:rsidRPr="00B10210" w:rsidRDefault="00534FA2" w:rsidP="00FC66D4">
            <w:pPr>
              <w:jc w:val="center"/>
              <w:rPr>
                <w:rFonts w:eastAsia="MS Mincho"/>
                <w:b/>
              </w:rPr>
            </w:pPr>
            <w:r w:rsidRPr="00B10210">
              <w:rPr>
                <w:rFonts w:ascii="Segoe UI Symbol" w:eastAsia="MS Mincho" w:hAnsi="Segoe UI Symbol" w:cs="Segoe UI Symbol"/>
                <w:b/>
              </w:rPr>
              <w:t>☐</w:t>
            </w:r>
          </w:p>
        </w:tc>
        <w:tc>
          <w:tcPr>
            <w:tcW w:w="1297" w:type="dxa"/>
            <w:tcBorders>
              <w:top w:val="nil"/>
              <w:left w:val="nil"/>
            </w:tcBorders>
          </w:tcPr>
          <w:p w:rsidR="00534FA2" w:rsidRPr="00B10210" w:rsidRDefault="00534FA2" w:rsidP="00FC66D4">
            <w:pPr>
              <w:ind w:left="54"/>
              <w:rPr>
                <w:b/>
              </w:rPr>
            </w:pPr>
            <w:r w:rsidRPr="00B10210">
              <w:rPr>
                <w:b/>
              </w:rPr>
              <w:t>Negatívne“</w:t>
            </w:r>
          </w:p>
        </w:tc>
      </w:tr>
      <w:tr w:rsidR="00534FA2" w:rsidRPr="00B10210" w:rsidTr="00FC66D4">
        <w:tc>
          <w:tcPr>
            <w:tcW w:w="3812" w:type="dxa"/>
            <w:tcBorders>
              <w:top w:val="nil"/>
            </w:tcBorders>
            <w:shd w:val="clear" w:color="auto" w:fill="E2E2E2"/>
          </w:tcPr>
          <w:p w:rsidR="00534FA2" w:rsidRPr="00B10210" w:rsidRDefault="00534FA2" w:rsidP="00FC66D4">
            <w:pPr>
              <w:rPr>
                <w:b/>
              </w:rPr>
            </w:pPr>
            <w:r w:rsidRPr="00B10210">
              <w:rPr>
                <w:b/>
              </w:rPr>
              <w:t>Vplyvy na manželstvo, rodičovstvo a rodinu</w:t>
            </w:r>
          </w:p>
        </w:tc>
        <w:tc>
          <w:tcPr>
            <w:tcW w:w="549" w:type="dxa"/>
            <w:tcBorders>
              <w:top w:val="nil"/>
              <w:right w:val="nil"/>
            </w:tcBorders>
          </w:tcPr>
          <w:p w:rsidR="00534FA2" w:rsidRPr="00B10210" w:rsidRDefault="00534FA2" w:rsidP="00FC66D4">
            <w:pPr>
              <w:jc w:val="center"/>
              <w:rPr>
                <w:rFonts w:ascii="Segoe UI Symbol" w:eastAsia="MS Mincho" w:hAnsi="Segoe UI Symbol" w:cs="Segoe UI Symbol"/>
                <w:b/>
              </w:rPr>
            </w:pPr>
            <w:r w:rsidRPr="00B10210">
              <w:rPr>
                <w:rFonts w:ascii="Segoe UI Symbol" w:hAnsi="Segoe UI Symbol" w:cs="Segoe UI Symbol"/>
                <w:b/>
              </w:rPr>
              <w:t>☐</w:t>
            </w:r>
          </w:p>
        </w:tc>
        <w:tc>
          <w:tcPr>
            <w:tcW w:w="1281" w:type="dxa"/>
            <w:tcBorders>
              <w:top w:val="nil"/>
              <w:left w:val="nil"/>
              <w:right w:val="nil"/>
            </w:tcBorders>
          </w:tcPr>
          <w:p w:rsidR="00534FA2" w:rsidRPr="00B10210" w:rsidRDefault="00534FA2" w:rsidP="00FC66D4">
            <w:pPr>
              <w:ind w:left="-675" w:right="-108" w:firstLine="675"/>
              <w:rPr>
                <w:b/>
              </w:rPr>
            </w:pPr>
            <w:r w:rsidRPr="00B10210">
              <w:rPr>
                <w:b/>
              </w:rPr>
              <w:t>Pozitívne</w:t>
            </w:r>
          </w:p>
        </w:tc>
        <w:tc>
          <w:tcPr>
            <w:tcW w:w="569" w:type="dxa"/>
            <w:tcBorders>
              <w:top w:val="nil"/>
              <w:left w:val="nil"/>
              <w:right w:val="nil"/>
            </w:tcBorders>
          </w:tcPr>
          <w:p w:rsidR="00534FA2" w:rsidRPr="00B10210" w:rsidRDefault="00534FA2" w:rsidP="00FC66D4">
            <w:pPr>
              <w:jc w:val="center"/>
              <w:rPr>
                <w:rFonts w:ascii="Segoe UI Symbol" w:eastAsia="MS Gothic" w:hAnsi="Segoe UI Symbol" w:cs="Segoe UI Symbol"/>
              </w:rPr>
            </w:pPr>
            <w:r w:rsidRPr="00B10210">
              <w:rPr>
                <w:rFonts w:ascii="Segoe UI Symbol" w:eastAsia="MS Gothic" w:hAnsi="Segoe UI Symbol" w:cs="Segoe UI Symbol"/>
              </w:rPr>
              <w:t>☒</w:t>
            </w:r>
          </w:p>
        </w:tc>
        <w:tc>
          <w:tcPr>
            <w:tcW w:w="1133" w:type="dxa"/>
            <w:tcBorders>
              <w:top w:val="nil"/>
              <w:left w:val="nil"/>
              <w:right w:val="nil"/>
            </w:tcBorders>
          </w:tcPr>
          <w:p w:rsidR="00534FA2" w:rsidRPr="00B10210" w:rsidRDefault="00534FA2" w:rsidP="00FC66D4">
            <w:pPr>
              <w:rPr>
                <w:b/>
              </w:rPr>
            </w:pPr>
            <w:r w:rsidRPr="00B10210">
              <w:rPr>
                <w:b/>
              </w:rPr>
              <w:t>Žiadne</w:t>
            </w:r>
          </w:p>
        </w:tc>
        <w:tc>
          <w:tcPr>
            <w:tcW w:w="547" w:type="dxa"/>
            <w:tcBorders>
              <w:top w:val="nil"/>
              <w:left w:val="nil"/>
              <w:right w:val="nil"/>
            </w:tcBorders>
          </w:tcPr>
          <w:p w:rsidR="00534FA2" w:rsidRPr="00B10210" w:rsidRDefault="00534FA2" w:rsidP="00FC66D4">
            <w:pPr>
              <w:jc w:val="center"/>
              <w:rPr>
                <w:rFonts w:ascii="Segoe UI Symbol" w:eastAsia="MS Mincho" w:hAnsi="Segoe UI Symbol" w:cs="Segoe UI Symbol"/>
                <w:b/>
              </w:rPr>
            </w:pPr>
            <w:r w:rsidRPr="00B10210">
              <w:rPr>
                <w:rFonts w:ascii="Segoe UI Symbol" w:hAnsi="Segoe UI Symbol" w:cs="Segoe UI Symbol"/>
                <w:b/>
              </w:rPr>
              <w:t>☐</w:t>
            </w:r>
          </w:p>
        </w:tc>
        <w:tc>
          <w:tcPr>
            <w:tcW w:w="1297" w:type="dxa"/>
            <w:tcBorders>
              <w:top w:val="nil"/>
              <w:left w:val="nil"/>
            </w:tcBorders>
          </w:tcPr>
          <w:p w:rsidR="00534FA2" w:rsidRPr="00B10210" w:rsidRDefault="00534FA2" w:rsidP="00FC66D4">
            <w:pPr>
              <w:ind w:left="54"/>
              <w:rPr>
                <w:b/>
              </w:rPr>
            </w:pPr>
            <w:r w:rsidRPr="00B10210">
              <w:rPr>
                <w:b/>
              </w:rPr>
              <w:t>Negatívne</w:t>
            </w:r>
          </w:p>
        </w:tc>
      </w:tr>
    </w:tbl>
    <w:p w:rsidR="00534FA2" w:rsidRPr="00B10210" w:rsidRDefault="00534FA2" w:rsidP="00534FA2">
      <w:pPr>
        <w:rPr>
          <w:vanish/>
        </w:rPr>
      </w:pPr>
    </w:p>
    <w:tbl>
      <w:tblPr>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6"/>
      </w:tblGrid>
      <w:tr w:rsidR="00534FA2" w:rsidRPr="00B10210" w:rsidTr="00FC66D4">
        <w:trPr>
          <w:trHeight w:val="272"/>
        </w:trPr>
        <w:tc>
          <w:tcPr>
            <w:tcW w:w="9176" w:type="dxa"/>
            <w:tcBorders>
              <w:bottom w:val="nil"/>
            </w:tcBorders>
            <w:shd w:val="clear" w:color="auto" w:fill="E2E2E2"/>
          </w:tcPr>
          <w:p w:rsidR="00534FA2" w:rsidRPr="00B10210" w:rsidRDefault="00534FA2" w:rsidP="00534FA2">
            <w:pPr>
              <w:pStyle w:val="Odsekzoznamu"/>
              <w:numPr>
                <w:ilvl w:val="0"/>
                <w:numId w:val="16"/>
              </w:numPr>
              <w:spacing w:after="0" w:line="240" w:lineRule="auto"/>
              <w:ind w:left="426"/>
              <w:rPr>
                <w:rFonts w:ascii="Times New Roman" w:hAnsi="Times New Roman"/>
                <w:b/>
              </w:rPr>
            </w:pPr>
            <w:r w:rsidRPr="00B10210">
              <w:rPr>
                <w:rFonts w:ascii="Times New Roman" w:hAnsi="Times New Roman"/>
                <w:b/>
              </w:rPr>
              <w:t>Poznámky</w:t>
            </w:r>
          </w:p>
        </w:tc>
      </w:tr>
      <w:tr w:rsidR="00534FA2" w:rsidRPr="00B10210" w:rsidTr="00FC66D4">
        <w:trPr>
          <w:trHeight w:val="393"/>
        </w:trPr>
        <w:tc>
          <w:tcPr>
            <w:tcW w:w="9176" w:type="dxa"/>
            <w:tcBorders>
              <w:top w:val="nil"/>
              <w:bottom w:val="single" w:sz="4" w:space="0" w:color="FFFFFF"/>
            </w:tcBorders>
            <w:shd w:val="clear" w:color="auto" w:fill="auto"/>
          </w:tcPr>
          <w:p w:rsidR="00534FA2" w:rsidRPr="00B10210" w:rsidRDefault="00534FA2" w:rsidP="00FC66D4">
            <w:pPr>
              <w:jc w:val="both"/>
              <w:rPr>
                <w:b/>
              </w:rPr>
            </w:pPr>
            <w:r w:rsidRPr="00B10210">
              <w:t>Financovanie predmetných výdavkov bude zabezpečené v rámci limitov rozpočtu verejnej správy na príslušné rozpočtové roky.</w:t>
            </w:r>
          </w:p>
        </w:tc>
      </w:tr>
      <w:tr w:rsidR="00534FA2" w:rsidRPr="00B10210" w:rsidTr="00FC66D4">
        <w:tc>
          <w:tcPr>
            <w:tcW w:w="9176" w:type="dxa"/>
            <w:tcBorders>
              <w:bottom w:val="single" w:sz="4" w:space="0" w:color="FFFFFF"/>
            </w:tcBorders>
            <w:shd w:val="clear" w:color="auto" w:fill="E2E2E2"/>
          </w:tcPr>
          <w:p w:rsidR="00534FA2" w:rsidRPr="00B10210" w:rsidRDefault="00534FA2" w:rsidP="00534FA2">
            <w:pPr>
              <w:pStyle w:val="Odsekzoznamu"/>
              <w:numPr>
                <w:ilvl w:val="0"/>
                <w:numId w:val="16"/>
              </w:numPr>
              <w:spacing w:after="0" w:line="240" w:lineRule="auto"/>
              <w:ind w:left="426"/>
              <w:rPr>
                <w:rFonts w:ascii="Times New Roman" w:hAnsi="Times New Roman"/>
                <w:b/>
              </w:rPr>
            </w:pPr>
            <w:r w:rsidRPr="00B10210">
              <w:rPr>
                <w:rFonts w:ascii="Times New Roman" w:hAnsi="Times New Roman"/>
                <w:b/>
              </w:rPr>
              <w:t>Kontakt na spracovateľa</w:t>
            </w:r>
          </w:p>
        </w:tc>
      </w:tr>
      <w:tr w:rsidR="00534FA2" w:rsidRPr="00B10210" w:rsidTr="00FC66D4">
        <w:trPr>
          <w:trHeight w:val="586"/>
        </w:trPr>
        <w:tc>
          <w:tcPr>
            <w:tcW w:w="9176" w:type="dxa"/>
            <w:tcBorders>
              <w:top w:val="single" w:sz="4" w:space="0" w:color="FFFFFF"/>
            </w:tcBorders>
            <w:shd w:val="clear" w:color="auto" w:fill="FFFFFF"/>
            <w:vAlign w:val="center"/>
          </w:tcPr>
          <w:p w:rsidR="00534FA2" w:rsidRPr="00B10210" w:rsidRDefault="00534FA2" w:rsidP="00FC66D4">
            <w:pPr>
              <w:rPr>
                <w:u w:val="single"/>
              </w:rPr>
            </w:pPr>
            <w:r w:rsidRPr="00B10210">
              <w:t xml:space="preserve">Ing. Zuzana </w:t>
            </w:r>
            <w:proofErr w:type="spellStart"/>
            <w:r w:rsidRPr="00B10210">
              <w:t>Vlčejová</w:t>
            </w:r>
            <w:proofErr w:type="spellEnd"/>
            <w:r w:rsidRPr="00B10210">
              <w:t xml:space="preserve">, MF SR, sekcia daňová a colná, odbor nepriamych daní, </w:t>
            </w:r>
            <w:r w:rsidRPr="00B10210">
              <w:rPr>
                <w:u w:val="single"/>
              </w:rPr>
              <w:t>zuzana.vlcejova©mfsr.sk</w:t>
            </w:r>
          </w:p>
          <w:p w:rsidR="00534FA2" w:rsidRPr="00B10210" w:rsidRDefault="00534FA2" w:rsidP="00FC66D4">
            <w:r w:rsidRPr="00B10210">
              <w:t xml:space="preserve">Mgr. Michal </w:t>
            </w:r>
            <w:proofErr w:type="spellStart"/>
            <w:r w:rsidRPr="00B10210">
              <w:t>Pavlovčík</w:t>
            </w:r>
            <w:proofErr w:type="spellEnd"/>
            <w:r w:rsidRPr="00B10210">
              <w:t xml:space="preserve">, MF SR, sekcia daňová a colná, odbor nepriamych daní, oddelenie spotrebných daní, </w:t>
            </w:r>
            <w:r w:rsidRPr="00B10210">
              <w:rPr>
                <w:u w:val="single"/>
              </w:rPr>
              <w:t>michal.pavlovcik@mfsr.sk</w:t>
            </w:r>
          </w:p>
          <w:p w:rsidR="00534FA2" w:rsidRPr="00B10210" w:rsidRDefault="00534FA2" w:rsidP="00FC66D4">
            <w:pPr>
              <w:rPr>
                <w:sz w:val="8"/>
                <w:szCs w:val="8"/>
              </w:rPr>
            </w:pPr>
          </w:p>
        </w:tc>
      </w:tr>
      <w:tr w:rsidR="00534FA2" w:rsidRPr="00B10210" w:rsidTr="00FC66D4">
        <w:tc>
          <w:tcPr>
            <w:tcW w:w="9176" w:type="dxa"/>
            <w:tcBorders>
              <w:bottom w:val="single" w:sz="4" w:space="0" w:color="FFFFFF"/>
            </w:tcBorders>
            <w:shd w:val="clear" w:color="auto" w:fill="E2E2E2"/>
          </w:tcPr>
          <w:p w:rsidR="00534FA2" w:rsidRPr="00B10210" w:rsidRDefault="00534FA2" w:rsidP="00534FA2">
            <w:pPr>
              <w:pStyle w:val="Odsekzoznamu"/>
              <w:numPr>
                <w:ilvl w:val="0"/>
                <w:numId w:val="16"/>
              </w:numPr>
              <w:spacing w:after="0" w:line="240" w:lineRule="auto"/>
              <w:ind w:left="426"/>
              <w:rPr>
                <w:rFonts w:ascii="Times New Roman" w:hAnsi="Times New Roman"/>
                <w:b/>
              </w:rPr>
            </w:pPr>
            <w:r w:rsidRPr="00B10210">
              <w:rPr>
                <w:rFonts w:ascii="Times New Roman" w:hAnsi="Times New Roman"/>
                <w:b/>
              </w:rPr>
              <w:t>Zdroje</w:t>
            </w:r>
          </w:p>
        </w:tc>
      </w:tr>
      <w:tr w:rsidR="00534FA2" w:rsidRPr="00B10210" w:rsidTr="00FC66D4">
        <w:trPr>
          <w:trHeight w:val="401"/>
        </w:trPr>
        <w:tc>
          <w:tcPr>
            <w:tcW w:w="9176" w:type="dxa"/>
            <w:tcBorders>
              <w:top w:val="single" w:sz="4" w:space="0" w:color="FFFFFF"/>
            </w:tcBorders>
            <w:shd w:val="clear" w:color="auto" w:fill="FFFFFF"/>
          </w:tcPr>
          <w:p w:rsidR="00534FA2" w:rsidRPr="00B10210" w:rsidRDefault="00534FA2" w:rsidP="00FC66D4"/>
          <w:p w:rsidR="00534FA2" w:rsidRPr="00B10210" w:rsidRDefault="00534FA2" w:rsidP="00FC66D4">
            <w:pPr>
              <w:rPr>
                <w:b/>
              </w:rPr>
            </w:pPr>
          </w:p>
        </w:tc>
      </w:tr>
      <w:tr w:rsidR="00534FA2" w:rsidRPr="00B10210" w:rsidTr="00FC66D4">
        <w:tc>
          <w:tcPr>
            <w:tcW w:w="9176" w:type="dxa"/>
            <w:tcBorders>
              <w:bottom w:val="single" w:sz="4" w:space="0" w:color="FFFFFF"/>
            </w:tcBorders>
            <w:shd w:val="clear" w:color="auto" w:fill="E2E2E2"/>
          </w:tcPr>
          <w:p w:rsidR="00534FA2" w:rsidRPr="00B10210" w:rsidRDefault="00534FA2" w:rsidP="00534FA2">
            <w:pPr>
              <w:pStyle w:val="Odsekzoznamu"/>
              <w:numPr>
                <w:ilvl w:val="0"/>
                <w:numId w:val="16"/>
              </w:numPr>
              <w:spacing w:after="0" w:line="240" w:lineRule="auto"/>
              <w:ind w:left="426"/>
              <w:rPr>
                <w:rFonts w:ascii="Times New Roman" w:hAnsi="Times New Roman"/>
                <w:b/>
              </w:rPr>
            </w:pPr>
            <w:r w:rsidRPr="00B10210">
              <w:rPr>
                <w:rFonts w:ascii="Times New Roman" w:hAnsi="Times New Roman"/>
                <w:b/>
              </w:rPr>
              <w:t>Stanovisko Komisie pre posudzovanie vybraných vplyvov z PPK</w:t>
            </w:r>
          </w:p>
        </w:tc>
      </w:tr>
      <w:tr w:rsidR="00534FA2" w:rsidRPr="00B10210" w:rsidTr="00FC66D4">
        <w:trPr>
          <w:trHeight w:val="1550"/>
        </w:trPr>
        <w:tc>
          <w:tcPr>
            <w:tcW w:w="9176" w:type="dxa"/>
            <w:tcBorders>
              <w:top w:val="single" w:sz="4" w:space="0" w:color="FFFFFF"/>
            </w:tcBorders>
            <w:shd w:val="clear" w:color="auto" w:fill="FFFFFF"/>
          </w:tcPr>
          <w:p w:rsidR="00534FA2" w:rsidRPr="00B10210" w:rsidRDefault="00534FA2" w:rsidP="00FC66D4">
            <w:pPr>
              <w:jc w:val="both"/>
            </w:pPr>
          </w:p>
          <w:p w:rsidR="00534FA2" w:rsidRPr="00B10210" w:rsidRDefault="00534FA2" w:rsidP="00FC66D4">
            <w:pPr>
              <w:jc w:val="both"/>
            </w:pPr>
            <w:r w:rsidRPr="00B10210">
              <w:rPr>
                <w:b/>
              </w:rPr>
              <w:t>I. Úvod:</w:t>
            </w:r>
            <w:r w:rsidRPr="00B10210">
              <w:t xml:space="preserve"> Ministerstvo financií SR predložilo dňa 21. júla 2020 Stálej pracovnej komisii na posudzovanie vybraných vplyvov (ďalej len „Komisia“) na predbežné pripomienkové konanie materiál: „Návrh zákona, ktorým sa mení a dopĺňa zákon č. 106/2004 Z. z. o spotrebnej dani z tabakových výrobkov v znení neskorších predpisov." Materiál predpokladá pozitívne</w:t>
            </w:r>
            <w:r w:rsidR="00011D6C">
              <w:t xml:space="preserve">              </w:t>
            </w:r>
            <w:r w:rsidRPr="00B10210">
              <w:t xml:space="preserve"> a negatívne vplyvy na rozpočet verejnej správy, ktoré sú rozpočtovo zabezpečené, pozitívne</w:t>
            </w:r>
            <w:r w:rsidR="00011D6C">
              <w:t xml:space="preserve">  </w:t>
            </w:r>
            <w:r w:rsidRPr="00B10210">
              <w:t xml:space="preserve"> a negatívne vplyvy na podnikateľské prostredie a pozitívne vplyvy na informatizáciu spoločnosti.</w:t>
            </w:r>
          </w:p>
          <w:p w:rsidR="00534FA2" w:rsidRPr="00B10210" w:rsidRDefault="00534FA2" w:rsidP="00FC66D4">
            <w:pPr>
              <w:jc w:val="both"/>
            </w:pPr>
          </w:p>
          <w:p w:rsidR="00534FA2" w:rsidRPr="00B10210" w:rsidRDefault="00534FA2" w:rsidP="00FC66D4">
            <w:pPr>
              <w:jc w:val="both"/>
            </w:pPr>
            <w:r w:rsidRPr="00B10210">
              <w:rPr>
                <w:b/>
              </w:rPr>
              <w:t>II.</w:t>
            </w:r>
            <w:r w:rsidRPr="00B10210">
              <w:t xml:space="preserve"> </w:t>
            </w:r>
            <w:r w:rsidRPr="00B10210">
              <w:rPr>
                <w:b/>
              </w:rPr>
              <w:t>Pripomienky a návrhy zmien:</w:t>
            </w:r>
            <w:r w:rsidRPr="00B10210">
              <w:t xml:space="preserve"> Komisia uplatňuje k materiálu zásadné pripomienky</w:t>
            </w:r>
            <w:r w:rsidR="008D57F6" w:rsidRPr="00B10210">
              <w:t xml:space="preserve"> </w:t>
            </w:r>
            <w:r w:rsidR="00011D6C">
              <w:t xml:space="preserve">      </w:t>
            </w:r>
            <w:r w:rsidR="008D57F6" w:rsidRPr="00B10210">
              <w:t xml:space="preserve">     </w:t>
            </w:r>
            <w:r w:rsidRPr="00B10210">
              <w:t xml:space="preserve"> a odporúčania:</w:t>
            </w:r>
          </w:p>
          <w:p w:rsidR="00534FA2" w:rsidRPr="00B10210" w:rsidRDefault="00534FA2" w:rsidP="00FC66D4">
            <w:pPr>
              <w:jc w:val="both"/>
            </w:pPr>
          </w:p>
          <w:p w:rsidR="00534FA2" w:rsidRPr="00B10210" w:rsidRDefault="00534FA2" w:rsidP="00FC66D4">
            <w:pPr>
              <w:jc w:val="both"/>
              <w:rPr>
                <w:b/>
              </w:rPr>
            </w:pPr>
            <w:r w:rsidRPr="00B10210">
              <w:rPr>
                <w:b/>
              </w:rPr>
              <w:t xml:space="preserve">K doložke vybraných vplyvov </w:t>
            </w:r>
          </w:p>
          <w:p w:rsidR="00534FA2" w:rsidRPr="00B10210" w:rsidRDefault="00534FA2" w:rsidP="00FC66D4">
            <w:pPr>
              <w:jc w:val="both"/>
            </w:pPr>
            <w:r w:rsidRPr="00B10210">
              <w:t>Na základe zhodnotenia Komisia žiada v časti 9. Vplyvy navrhovaného materiálu vyznačenie vplyvov predloženého materiálu aj na malé a stredné podniky (ďalej len „MSP“).</w:t>
            </w:r>
          </w:p>
          <w:p w:rsidR="00534FA2" w:rsidRPr="00B10210" w:rsidRDefault="00534FA2" w:rsidP="00FC66D4">
            <w:pPr>
              <w:jc w:val="both"/>
            </w:pPr>
          </w:p>
          <w:p w:rsidR="00534FA2" w:rsidRPr="00B10210" w:rsidRDefault="00534FA2" w:rsidP="00FC66D4">
            <w:pPr>
              <w:jc w:val="both"/>
            </w:pPr>
            <w:r w:rsidRPr="00B10210">
              <w:t xml:space="preserve">Komisia žiada predkladateľa, aby okrem rozpisu transponovaných smerníc uviedol v časti </w:t>
            </w:r>
            <w:r w:rsidR="00011D6C">
              <w:t xml:space="preserve">     </w:t>
            </w:r>
            <w:r w:rsidR="008D57F6" w:rsidRPr="00B10210">
              <w:t xml:space="preserve">  </w:t>
            </w:r>
            <w:r w:rsidRPr="00B10210">
              <w:t xml:space="preserve">7. Transpozícia práva EÚ aj skutočnosť, či návrh nejde nad rámec minimálnej transpozičnej povinnosti, tzv. identifikáciu efektu </w:t>
            </w:r>
            <w:proofErr w:type="spellStart"/>
            <w:r w:rsidRPr="00B10210">
              <w:t>goldplatingu</w:t>
            </w:r>
            <w:proofErr w:type="spellEnd"/>
            <w:r w:rsidRPr="00B10210">
              <w:t xml:space="preserve">, a to najmä z hľadiska odôvodnenosti, resp. neodôvodnenosti jeho existencie v prípade jeho identifikácie; za týmto účelom žiada predkladateľa o priloženie Tabuľky zhody návrhu právneho predpisu s právom Európskej únie. </w:t>
            </w:r>
          </w:p>
          <w:p w:rsidR="00534FA2" w:rsidRPr="00B10210" w:rsidRDefault="00534FA2" w:rsidP="00FC66D4">
            <w:pPr>
              <w:jc w:val="both"/>
            </w:pPr>
          </w:p>
          <w:p w:rsidR="00534FA2" w:rsidRPr="00B10210" w:rsidRDefault="00534FA2" w:rsidP="00FC66D4">
            <w:pPr>
              <w:jc w:val="both"/>
            </w:pPr>
            <w:r w:rsidRPr="00B10210">
              <w:t>Komisia ďalej odporúča do časti 5. doložky vybraných vplyvov doplniť alternatívne riešenia k zvyšovaniu spotrebnej dane z tabakových výrobkov pre tú časť smernice Rady (EÚ) 2020/262 z 19. decembra 2019, ktorá pojednáva o zvyšovaní spotrebnej dane z tabakových výrobkov.</w:t>
            </w:r>
          </w:p>
          <w:p w:rsidR="00534FA2" w:rsidRPr="00B10210" w:rsidRDefault="00534FA2" w:rsidP="00FC66D4">
            <w:pPr>
              <w:jc w:val="both"/>
            </w:pPr>
          </w:p>
          <w:p w:rsidR="00534FA2" w:rsidRPr="00B10210" w:rsidRDefault="00534FA2" w:rsidP="00FC66D4">
            <w:pPr>
              <w:jc w:val="both"/>
              <w:rPr>
                <w:b/>
              </w:rPr>
            </w:pPr>
            <w:r w:rsidRPr="00B10210">
              <w:rPr>
                <w:b/>
              </w:rPr>
              <w:t>K analýze vplyvov na podnikateľské prostredie</w:t>
            </w:r>
          </w:p>
          <w:p w:rsidR="00534FA2" w:rsidRPr="00B10210" w:rsidRDefault="00534FA2" w:rsidP="00FC66D4">
            <w:pPr>
              <w:jc w:val="both"/>
            </w:pPr>
            <w:r w:rsidRPr="00B10210">
              <w:t>Komisia žiada predkladateľa o kvantifikáciu nákladov a to najmä, ale nielen, priamych finančných nákladov (bod 3.3.1 analýzy) v nadväznosti na uvádzanú príčinu, ktorá spočíva</w:t>
            </w:r>
            <w:r w:rsidR="00011D6C">
              <w:t xml:space="preserve">    </w:t>
            </w:r>
            <w:r w:rsidR="008D57F6" w:rsidRPr="00B10210">
              <w:t xml:space="preserve"> </w:t>
            </w:r>
            <w:r w:rsidRPr="00B10210">
              <w:t xml:space="preserve"> v „úprave sadzby spotrebnej dane na predmetné tabakové výrobky“ a jej uvedenie v Analýze </w:t>
            </w:r>
            <w:r w:rsidRPr="00B10210">
              <w:lastRenderedPageBreak/>
              <w:t xml:space="preserve">vplyvov na podnikateľské prostredie v časti 3.3.4 Súhrnná tabuľka nákladov regulácie, a to minimálne formou modelového výpočtu na jeden dotknutý podnikateľský subjekt. Uvedené sa týka aj avizovaných administratívnych nákladov. </w:t>
            </w:r>
          </w:p>
          <w:p w:rsidR="00534FA2" w:rsidRPr="00B10210" w:rsidRDefault="00534FA2" w:rsidP="00FC66D4">
            <w:pPr>
              <w:jc w:val="both"/>
            </w:pPr>
            <w:r w:rsidRPr="00B10210">
              <w:t xml:space="preserve">Komisia rovnako žiada o popis a vyčíslenie úspory v nadväznosti na avizovaný a v Doložke vybraných vplyvov vyznačený pozitívny vplyv predloženého materiálu na podnikateľské prostredie. </w:t>
            </w:r>
          </w:p>
          <w:p w:rsidR="00534FA2" w:rsidRPr="00B10210" w:rsidRDefault="00534FA2" w:rsidP="00FC66D4">
            <w:pPr>
              <w:jc w:val="both"/>
            </w:pPr>
          </w:p>
          <w:p w:rsidR="00534FA2" w:rsidRPr="00B10210" w:rsidRDefault="00534FA2" w:rsidP="00FC66D4">
            <w:pPr>
              <w:jc w:val="both"/>
            </w:pPr>
            <w:r w:rsidRPr="00B10210">
              <w:t>Ďalej Komisia odporúča v bode 3.3.2 analýzy vplyvov na podnikateľské prostredie doplniť informáciu o predpokladanom vplyve na objem predaja tabakových výrobkov v súvislosti s</w:t>
            </w:r>
            <w:r w:rsidR="008D57F6" w:rsidRPr="00B10210">
              <w:t> </w:t>
            </w:r>
            <w:r w:rsidRPr="00B10210">
              <w:t>navrhovaným</w:t>
            </w:r>
            <w:r w:rsidR="008D57F6" w:rsidRPr="00B10210">
              <w:t xml:space="preserve"> </w:t>
            </w:r>
            <w:r w:rsidRPr="00B10210">
              <w:t>zvýšením spotrebnej dane z tabakových výrobkov.</w:t>
            </w:r>
          </w:p>
          <w:p w:rsidR="00534FA2" w:rsidRPr="00B10210" w:rsidRDefault="00534FA2" w:rsidP="00FC66D4">
            <w:pPr>
              <w:jc w:val="both"/>
            </w:pPr>
            <w:r w:rsidRPr="00B10210">
              <w:t xml:space="preserve"> </w:t>
            </w:r>
          </w:p>
          <w:p w:rsidR="00534FA2" w:rsidRPr="00B10210" w:rsidRDefault="00534FA2" w:rsidP="00FC66D4">
            <w:pPr>
              <w:jc w:val="both"/>
            </w:pPr>
            <w:r w:rsidRPr="00B10210">
              <w:t>A tiež v analýze vplyvov na podnikateľské prostredie doplniť informáciu o posúdení vplyvov na podnikateľov obchodujúcich s tabakovými výrobkami s dôrazom na MSP.</w:t>
            </w:r>
          </w:p>
          <w:p w:rsidR="00534FA2" w:rsidRPr="00B10210" w:rsidRDefault="00534FA2" w:rsidP="00FC66D4">
            <w:pPr>
              <w:jc w:val="both"/>
            </w:pPr>
          </w:p>
          <w:p w:rsidR="00534FA2" w:rsidRPr="00B10210" w:rsidRDefault="00534FA2" w:rsidP="00FC66D4">
            <w:pPr>
              <w:jc w:val="both"/>
            </w:pPr>
            <w:r w:rsidRPr="00B10210">
              <w:t xml:space="preserve">Komisia má za to, že zvýšenie spotrebnej dane z tabakových výrobkov (najmä pri bezdymových tabakových výrobkoch) bude mať vplyv na konkurencieschopnosť slovenských podnikov v rámci medzinárodného trhu. Z uvedeného dôvodu v bode 3.4 analýzy vplyvov na podnikateľské prostredie žiada špecifikovať vplyv na konkurencieschopnosť slovenských podnikov v rámci medzinárodného trhu. </w:t>
            </w:r>
          </w:p>
          <w:p w:rsidR="00534FA2" w:rsidRPr="00B10210" w:rsidRDefault="00534FA2" w:rsidP="00FC66D4">
            <w:pPr>
              <w:jc w:val="both"/>
            </w:pPr>
          </w:p>
          <w:p w:rsidR="00534FA2" w:rsidRPr="00B10210" w:rsidRDefault="00534FA2" w:rsidP="00FC66D4">
            <w:pPr>
              <w:jc w:val="both"/>
              <w:rPr>
                <w:b/>
              </w:rPr>
            </w:pPr>
            <w:r w:rsidRPr="00B10210">
              <w:rPr>
                <w:b/>
              </w:rPr>
              <w:t xml:space="preserve">K analýze vplyvov na informatizáciu spoločnosti </w:t>
            </w:r>
          </w:p>
          <w:p w:rsidR="00534FA2" w:rsidRPr="00B10210" w:rsidRDefault="00534FA2" w:rsidP="00FC66D4">
            <w:pPr>
              <w:jc w:val="both"/>
            </w:pPr>
            <w:r w:rsidRPr="00B10210">
              <w:t>Použitý formulár analýzy vplyvov na informatizáciu spoločnosti je neaktuálny a nesprávne vyplnený. Pripomienka je zásadná.</w:t>
            </w:r>
          </w:p>
          <w:p w:rsidR="00534FA2" w:rsidRPr="00B10210" w:rsidRDefault="00534FA2" w:rsidP="00FC66D4">
            <w:pPr>
              <w:jc w:val="both"/>
            </w:pPr>
          </w:p>
          <w:p w:rsidR="00534FA2" w:rsidRPr="00B10210" w:rsidRDefault="00534FA2" w:rsidP="00FC66D4">
            <w:pPr>
              <w:jc w:val="both"/>
            </w:pPr>
            <w:r w:rsidRPr="00B10210">
              <w:rPr>
                <w:b/>
              </w:rPr>
              <w:t>III. Záver:</w:t>
            </w:r>
            <w:r w:rsidRPr="00B10210">
              <w:t xml:space="preserve"> Stála pracovná komisia na posudzovanie vybraných vplyvov vyjadruje </w:t>
            </w:r>
          </w:p>
          <w:p w:rsidR="00534FA2" w:rsidRPr="00B10210" w:rsidRDefault="00534FA2" w:rsidP="00FC66D4">
            <w:pPr>
              <w:jc w:val="both"/>
            </w:pPr>
          </w:p>
          <w:p w:rsidR="00534FA2" w:rsidRPr="00B10210" w:rsidRDefault="00534FA2" w:rsidP="00FC66D4">
            <w:pPr>
              <w:jc w:val="center"/>
              <w:rPr>
                <w:b/>
              </w:rPr>
            </w:pPr>
            <w:r w:rsidRPr="00B10210">
              <w:rPr>
                <w:b/>
              </w:rPr>
              <w:t>nesúhlasné stanovisko</w:t>
            </w:r>
          </w:p>
          <w:p w:rsidR="00534FA2" w:rsidRPr="00B10210" w:rsidRDefault="00534FA2" w:rsidP="00FC66D4">
            <w:pPr>
              <w:jc w:val="both"/>
            </w:pPr>
          </w:p>
          <w:p w:rsidR="00534FA2" w:rsidRPr="00B10210" w:rsidRDefault="00534FA2" w:rsidP="00FC66D4">
            <w:pPr>
              <w:jc w:val="both"/>
            </w:pPr>
            <w:r w:rsidRPr="00B10210">
              <w:t>s materiálom predloženým na predbežné pripomienkové konanie.</w:t>
            </w:r>
          </w:p>
          <w:p w:rsidR="00534FA2" w:rsidRPr="00B10210" w:rsidRDefault="00534FA2" w:rsidP="00FC66D4">
            <w:pPr>
              <w:jc w:val="both"/>
            </w:pPr>
          </w:p>
          <w:p w:rsidR="00534FA2" w:rsidRPr="00B10210" w:rsidRDefault="00534FA2" w:rsidP="00FC66D4">
            <w:pPr>
              <w:jc w:val="both"/>
            </w:pPr>
            <w:r w:rsidRPr="00B10210">
              <w:rPr>
                <w:b/>
              </w:rPr>
              <w:t>IV. Poznámka:</w:t>
            </w:r>
            <w:r w:rsidRPr="00B10210">
              <w:t xml:space="preserve"> Predkladateľ zapracuje pripomienky a odporúčania na úpravu uvedené v</w:t>
            </w:r>
            <w:r w:rsidR="008D57F6" w:rsidRPr="00B10210">
              <w:t> </w:t>
            </w:r>
            <w:r w:rsidRPr="00B10210">
              <w:t>bode</w:t>
            </w:r>
            <w:r w:rsidR="008D57F6" w:rsidRPr="00B10210">
              <w:t xml:space="preserve"> </w:t>
            </w:r>
            <w:r w:rsidRPr="00B10210">
              <w:t>II a uvedie stanovisko Komisie do doložky vybraných vplyvov spolu s vyhodnotením pripomienok.</w:t>
            </w:r>
          </w:p>
          <w:p w:rsidR="00534FA2" w:rsidRPr="00B10210" w:rsidRDefault="00534FA2" w:rsidP="00FC66D4">
            <w:pPr>
              <w:jc w:val="both"/>
            </w:pPr>
          </w:p>
          <w:p w:rsidR="00534FA2" w:rsidRPr="00B10210" w:rsidRDefault="00534FA2" w:rsidP="00FC66D4">
            <w:pPr>
              <w:jc w:val="both"/>
            </w:pPr>
            <w:r w:rsidRPr="00B10210">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p w:rsidR="00534FA2" w:rsidRPr="00B10210" w:rsidRDefault="00534FA2" w:rsidP="00FC66D4">
            <w:pPr>
              <w:jc w:val="both"/>
            </w:pPr>
          </w:p>
          <w:p w:rsidR="00534FA2" w:rsidRPr="00B10210" w:rsidRDefault="00534FA2" w:rsidP="00FC66D4">
            <w:pPr>
              <w:jc w:val="both"/>
            </w:pPr>
          </w:p>
          <w:p w:rsidR="00534FA2" w:rsidRPr="00B10210" w:rsidRDefault="00534FA2" w:rsidP="00FC66D4">
            <w:pPr>
              <w:jc w:val="both"/>
            </w:pPr>
          </w:p>
          <w:p w:rsidR="00534FA2" w:rsidRPr="00B10210" w:rsidRDefault="00534FA2" w:rsidP="00FC66D4">
            <w:pPr>
              <w:jc w:val="both"/>
            </w:pPr>
          </w:p>
          <w:p w:rsidR="00534FA2" w:rsidRPr="00B10210" w:rsidRDefault="00534FA2" w:rsidP="00FC66D4">
            <w:pPr>
              <w:jc w:val="both"/>
              <w:rPr>
                <w:b/>
              </w:rPr>
            </w:pPr>
            <w:r w:rsidRPr="00B10210">
              <w:rPr>
                <w:b/>
              </w:rPr>
              <w:t>Stanovisko predkladateľa návrhu zákona k stanovisku stálej pracovnej komisii Legislatívnej rady vlády SR na posudzovanie vybraných vplyvov:</w:t>
            </w:r>
          </w:p>
          <w:p w:rsidR="00534FA2" w:rsidRPr="00B10210" w:rsidRDefault="00534FA2" w:rsidP="00FC66D4">
            <w:pPr>
              <w:jc w:val="both"/>
            </w:pPr>
          </w:p>
          <w:p w:rsidR="00534FA2" w:rsidRPr="00B10210" w:rsidRDefault="00534FA2" w:rsidP="00FC66D4">
            <w:pPr>
              <w:jc w:val="both"/>
            </w:pPr>
            <w:r w:rsidRPr="00B10210">
              <w:t>Pripomienka na vyznačenie vplyvov predloženého materiálu na malé a stredné podniky bola akceptovaná a v doložke vplyvov v časti 9. boli vplyvy na MSP upravené.</w:t>
            </w:r>
          </w:p>
          <w:p w:rsidR="00534FA2" w:rsidRPr="00B10210" w:rsidRDefault="00534FA2" w:rsidP="00FC66D4">
            <w:pPr>
              <w:jc w:val="both"/>
            </w:pPr>
          </w:p>
          <w:p w:rsidR="00534FA2" w:rsidRPr="00B10210" w:rsidRDefault="00534FA2" w:rsidP="00FC66D4">
            <w:pPr>
              <w:jc w:val="both"/>
            </w:pPr>
            <w:r w:rsidRPr="00B10210">
              <w:t xml:space="preserve">K pripomienke k časti 7 doložky vybraných vplyvov predkladateľ uvádza, že efekt </w:t>
            </w:r>
            <w:proofErr w:type="spellStart"/>
            <w:r w:rsidRPr="00B10210">
              <w:t>goldplatingu</w:t>
            </w:r>
            <w:proofErr w:type="spellEnd"/>
            <w:r w:rsidRPr="00B10210">
              <w:t xml:space="preserve"> nebol k transponovaným smerniciam identifikovaný. Dávame do pozornosti, že podľa Správy o stave podnikateľského prostredia v SR 2019 (uznesenie vlády SR </w:t>
            </w:r>
            <w:r w:rsidR="008D57F6" w:rsidRPr="00B10210">
              <w:t xml:space="preserve">            </w:t>
            </w:r>
            <w:r w:rsidR="00011D6C">
              <w:t xml:space="preserve">          </w:t>
            </w:r>
            <w:r w:rsidR="008D57F6" w:rsidRPr="00B10210">
              <w:t xml:space="preserve">    </w:t>
            </w:r>
            <w:r w:rsidRPr="00B10210">
              <w:lastRenderedPageBreak/>
              <w:t xml:space="preserve">č. 352/2020 zo dňa 4. júna 2020, príloha č. 7), podľa bodu 6 v časti 2.1.2. termín na vypracovanie metodiky vyhodnocovania </w:t>
            </w:r>
            <w:proofErr w:type="spellStart"/>
            <w:r w:rsidRPr="00B10210">
              <w:t>goldplatingu</w:t>
            </w:r>
            <w:proofErr w:type="spellEnd"/>
            <w:r w:rsidRPr="00B10210">
              <w:t xml:space="preserve"> je stanovený na 30. 6. 2021.</w:t>
            </w:r>
          </w:p>
          <w:p w:rsidR="00534FA2" w:rsidRPr="00B10210" w:rsidRDefault="00534FA2" w:rsidP="00FC66D4">
            <w:pPr>
              <w:jc w:val="both"/>
            </w:pPr>
          </w:p>
          <w:p w:rsidR="00534FA2" w:rsidRPr="00B10210" w:rsidRDefault="00534FA2" w:rsidP="00FC66D4">
            <w:pPr>
              <w:jc w:val="both"/>
            </w:pPr>
            <w:r w:rsidRPr="00B10210">
              <w:t>Predkladateľ návrhu zákona k pripomienke k časti. 5 doložky vybraných vplyvov uvádza:</w:t>
            </w:r>
          </w:p>
          <w:p w:rsidR="00534FA2" w:rsidRPr="00B10210" w:rsidRDefault="00534FA2" w:rsidP="00FC66D4">
            <w:pPr>
              <w:jc w:val="both"/>
            </w:pPr>
            <w:r w:rsidRPr="00B10210">
              <w:t xml:space="preserve">Smernica Rady (EÚ) 2020/262 z 19. decembra 2019 upravuje všeobecný systém pre spotrebné dane a nepojednáva o sadzbách spotrebných daní. Súčasťou materiálu predloženého do medzirezortného pripomienkového konania je tabuľka zhody k smernici Rady 2011/64/EÚ </w:t>
            </w:r>
            <w:r w:rsidR="00011D6C">
              <w:t xml:space="preserve">     </w:t>
            </w:r>
            <w:r w:rsidRPr="00B10210">
              <w:t>z 21. júna 2011, ktorá ustanovuje minimálne úrovne sadzby spotrebnej dane pre všetky tabakové výrobky.</w:t>
            </w:r>
          </w:p>
          <w:p w:rsidR="00534FA2" w:rsidRPr="00B10210" w:rsidRDefault="00534FA2" w:rsidP="00FC66D4">
            <w:pPr>
              <w:jc w:val="both"/>
            </w:pPr>
          </w:p>
          <w:p w:rsidR="00534FA2" w:rsidRPr="00B10210" w:rsidRDefault="00534FA2" w:rsidP="00FC66D4">
            <w:pPr>
              <w:jc w:val="both"/>
            </w:pPr>
            <w:r w:rsidRPr="00B10210">
              <w:t>K pripomienke k analýze vplyvov na podnikateľské prostredie predkladateľ návrhu uvádza:</w:t>
            </w:r>
          </w:p>
          <w:p w:rsidR="00534FA2" w:rsidRPr="00B10210" w:rsidRDefault="00534FA2" w:rsidP="00FC66D4">
            <w:pPr>
              <w:jc w:val="both"/>
            </w:pPr>
            <w:r w:rsidRPr="00B10210">
              <w:t xml:space="preserve">Zvýšením sadzby spotrebnej dane sa nezavádzajú žiadne nové povinnosti. Aktuálne nastavené zvýšenie nadväzuje už na aplikovaný daňový kalendár od roku 2017, ktorého cieľom je zabezpečiť transparentnosť a predvídateľnosť zvyšovania sadzieb spotrebnej dane pre daňové subjekty. Vo všeobecnosti náklady momentálne nie je možné jednoznačne kvantifikovať. </w:t>
            </w:r>
          </w:p>
          <w:p w:rsidR="00534FA2" w:rsidRPr="00B10210" w:rsidRDefault="00534FA2" w:rsidP="00FC66D4">
            <w:pPr>
              <w:jc w:val="both"/>
            </w:pPr>
          </w:p>
          <w:p w:rsidR="00534FA2" w:rsidRPr="00B10210" w:rsidRDefault="00534FA2" w:rsidP="00FC66D4">
            <w:pPr>
              <w:jc w:val="both"/>
            </w:pPr>
            <w:r w:rsidRPr="00B10210">
              <w:t>Pozitívnym vplyvom avizovaným v doložke vybraných vplyvov je zavedenie elektronizácie prepravy tabakových výrobkov v daňovom voľnom obehu, čím sa predpokladá zníženie administratívnych nákladov pre podnikateľské subjekty a správcu dane. Pokračovaním v daňovom kalendári, pokiaľ ide o sadzby spotrebných daní z tabakových výrobkov, majú daňové subjekty právnu istotu v predikcii sadzieb spotrebných daní a transparentnosť.</w:t>
            </w:r>
          </w:p>
          <w:p w:rsidR="00534FA2" w:rsidRPr="00B10210" w:rsidRDefault="00534FA2" w:rsidP="00FC66D4">
            <w:pPr>
              <w:jc w:val="both"/>
            </w:pPr>
          </w:p>
          <w:p w:rsidR="00534FA2" w:rsidRPr="00B10210" w:rsidRDefault="00534FA2" w:rsidP="00FC66D4">
            <w:pPr>
              <w:jc w:val="both"/>
            </w:pPr>
            <w:r w:rsidRPr="00B10210">
              <w:t>K bodu 3.3.2 predkladateľ uvádza, že primárnym cieľom návrhu zákona je transpozícia smernice Rady 2020/262 o všeobecnom systéme spotrebných daní t. j. elektronizácia prepravy tabakových výrobkov v daňovom voľnom obehu a pokračovanie v daňovom kalendári. Vplyv na objem predaja tabakových výrobkov v súvislosti s navrhovaným zvýšením sadzby spotrebnej dane z tabakových výrobkov z historického pohľadu (r. 2017 a 2019) nepreukázal menší počet predaných kusov cigariet. Trend bol podľa daňových priznaní rastúci aj v týchto rokoch. Pri zvyšovaní sadzieb na rok 2017 vzrástla spotreba cigariet o 6 %.</w:t>
            </w:r>
          </w:p>
          <w:p w:rsidR="00534FA2" w:rsidRPr="00B10210" w:rsidRDefault="00534FA2" w:rsidP="00FC66D4">
            <w:pPr>
              <w:jc w:val="both"/>
            </w:pPr>
            <w:r w:rsidRPr="00B10210">
              <w:t xml:space="preserve">Vplyvy spotrebnej dane a veľkosť zvýšenia cien cigariet významne závisia aj od konkurenčného prostredia na trhu s cigaretami, kde Slovensko nedržalo krok s okolitými krajinami. Z pohľadu konkurenčného prostredia v roku 2019 bolo zdanenie cigariet na Slovensku na priemere krajín V3 a v roku 2020 už Slovensko zaostávalo o 23 centov voči susedným štátom. Súvisí to aj s tým, že Slovensko naposledy menilo sadzby v 2019, pričom ostatné susedné krajiny zvyšovali sadzby v roku 2020. </w:t>
            </w:r>
          </w:p>
          <w:p w:rsidR="00534FA2" w:rsidRPr="00B10210" w:rsidRDefault="00534FA2" w:rsidP="00FC66D4">
            <w:pPr>
              <w:jc w:val="both"/>
            </w:pPr>
          </w:p>
          <w:p w:rsidR="00534FA2" w:rsidRPr="00B10210" w:rsidRDefault="00534FA2" w:rsidP="00FC66D4">
            <w:pPr>
              <w:jc w:val="both"/>
            </w:pPr>
            <w:r w:rsidRPr="00B10210">
              <w:t>K doplneniu informácie o posúdení vplyvov na MSP predkladateľ uvádza, že návrhom zákona sa zavádzajú rovnaké podmienky pre všetky subjekty podnikajúce s tabakovými výrobkami, vplyvy na MSP nie je možné kvantifikovať samostatne.</w:t>
            </w:r>
          </w:p>
          <w:p w:rsidR="00534FA2" w:rsidRPr="00B10210" w:rsidRDefault="00534FA2" w:rsidP="00FC66D4">
            <w:pPr>
              <w:jc w:val="both"/>
            </w:pPr>
          </w:p>
          <w:p w:rsidR="00534FA2" w:rsidRPr="00B10210" w:rsidRDefault="00534FA2" w:rsidP="00FC66D4">
            <w:pPr>
              <w:jc w:val="both"/>
            </w:pPr>
            <w:r w:rsidRPr="00B10210">
              <w:t>Pripomienka na špecifikovanie vplyvu na konkurencieschopnosť slovenských podnikov bola čiastočne akceptovaná a priamo zapracovaná v bode 3.4 analýzy vplyvov na podnikateľské prostredie.</w:t>
            </w:r>
          </w:p>
          <w:p w:rsidR="00534FA2" w:rsidRPr="00B10210" w:rsidRDefault="00534FA2" w:rsidP="00FC66D4">
            <w:pPr>
              <w:jc w:val="both"/>
            </w:pPr>
          </w:p>
          <w:p w:rsidR="00534FA2" w:rsidRPr="00B10210" w:rsidRDefault="00534FA2" w:rsidP="00FC66D4">
            <w:pPr>
              <w:jc w:val="both"/>
            </w:pPr>
            <w:r w:rsidRPr="00B10210">
              <w:t>Zásadná pripomienka k analýze vplyvov na informatizáciu spoločnosti bola akceptovaná a predmetný formulár analýzy vplyvov na informatizáciu prepracovaný.</w:t>
            </w:r>
          </w:p>
          <w:p w:rsidR="00534FA2" w:rsidRPr="00B10210" w:rsidRDefault="00534FA2" w:rsidP="00FC66D4">
            <w:pPr>
              <w:jc w:val="both"/>
            </w:pPr>
          </w:p>
        </w:tc>
      </w:tr>
    </w:tbl>
    <w:p w:rsidR="00534FA2" w:rsidRDefault="00534FA2" w:rsidP="00534FA2">
      <w:pPr>
        <w:jc w:val="both"/>
        <w:rPr>
          <w:bCs/>
        </w:rPr>
      </w:pPr>
    </w:p>
    <w:p w:rsidR="00534FA2" w:rsidRDefault="00534FA2" w:rsidP="00534FA2">
      <w:pPr>
        <w:jc w:val="both"/>
        <w:rPr>
          <w:bCs/>
        </w:rPr>
      </w:pPr>
    </w:p>
    <w:p w:rsidR="006F3EF5" w:rsidRDefault="006F3EF5" w:rsidP="00534FA2">
      <w:pPr>
        <w:jc w:val="both"/>
        <w:rPr>
          <w:bCs/>
        </w:rPr>
      </w:pPr>
    </w:p>
    <w:p w:rsidR="006F3EF5" w:rsidRDefault="006F3EF5" w:rsidP="00534FA2">
      <w:pPr>
        <w:jc w:val="both"/>
        <w:rPr>
          <w:bCs/>
        </w:rPr>
      </w:pPr>
    </w:p>
    <w:p w:rsidR="006F3EF5" w:rsidRPr="00B10210" w:rsidRDefault="006F3EF5" w:rsidP="00534FA2">
      <w:pPr>
        <w:jc w:val="both"/>
        <w:rPr>
          <w:bCs/>
        </w:rPr>
      </w:pPr>
    </w:p>
    <w:p w:rsidR="00534FA2" w:rsidRPr="00B10210" w:rsidRDefault="00534FA2" w:rsidP="00534FA2">
      <w:pPr>
        <w:jc w:val="center"/>
        <w:rPr>
          <w:b/>
          <w:bCs/>
          <w:sz w:val="28"/>
          <w:szCs w:val="28"/>
        </w:rPr>
      </w:pPr>
      <w:r w:rsidRPr="00B10210">
        <w:rPr>
          <w:b/>
          <w:bCs/>
          <w:sz w:val="28"/>
          <w:szCs w:val="28"/>
        </w:rPr>
        <w:lastRenderedPageBreak/>
        <w:t>Analýza vplyvov na rozpočet verejnej správy,</w:t>
      </w:r>
    </w:p>
    <w:p w:rsidR="00534FA2" w:rsidRPr="00B10210" w:rsidRDefault="00534FA2" w:rsidP="00534FA2">
      <w:pPr>
        <w:jc w:val="center"/>
        <w:rPr>
          <w:b/>
          <w:bCs/>
          <w:sz w:val="28"/>
          <w:szCs w:val="28"/>
        </w:rPr>
      </w:pPr>
      <w:r w:rsidRPr="00B10210">
        <w:rPr>
          <w:b/>
          <w:bCs/>
          <w:sz w:val="28"/>
          <w:szCs w:val="28"/>
        </w:rPr>
        <w:t>na zamestnanosť vo verejnej správe a financovanie návrhu</w:t>
      </w:r>
    </w:p>
    <w:p w:rsidR="00534FA2" w:rsidRPr="00B10210" w:rsidRDefault="00534FA2" w:rsidP="00534FA2">
      <w:pPr>
        <w:rPr>
          <w:b/>
          <w:bCs/>
        </w:rPr>
      </w:pPr>
    </w:p>
    <w:p w:rsidR="00534FA2" w:rsidRPr="00B10210" w:rsidRDefault="00534FA2" w:rsidP="00534FA2">
      <w:pPr>
        <w:rPr>
          <w:b/>
          <w:bCs/>
        </w:rPr>
      </w:pPr>
      <w:r w:rsidRPr="00B10210">
        <w:rPr>
          <w:b/>
          <w:bCs/>
        </w:rPr>
        <w:t>2.1 Zhrnutie vplyvov na rozpočet verejnej správy v návrhu</w:t>
      </w:r>
    </w:p>
    <w:p w:rsidR="00534FA2" w:rsidRPr="00B10210" w:rsidRDefault="00534FA2" w:rsidP="00534FA2">
      <w:pPr>
        <w:jc w:val="right"/>
        <w:rPr>
          <w:sz w:val="20"/>
          <w:szCs w:val="20"/>
        </w:rPr>
      </w:pPr>
      <w:r w:rsidRPr="00B10210">
        <w:rPr>
          <w:sz w:val="20"/>
          <w:szCs w:val="20"/>
        </w:rPr>
        <w:t>Tabuľka č. 1</w:t>
      </w:r>
    </w:p>
    <w:tbl>
      <w:tblPr>
        <w:tblW w:w="9729" w:type="dxa"/>
        <w:jc w:val="center"/>
        <w:tblCellMar>
          <w:left w:w="0" w:type="dxa"/>
          <w:right w:w="0" w:type="dxa"/>
        </w:tblCellMar>
        <w:tblLook w:val="04A0" w:firstRow="1" w:lastRow="0" w:firstColumn="1" w:lastColumn="0" w:noHBand="0" w:noVBand="1"/>
      </w:tblPr>
      <w:tblGrid>
        <w:gridCol w:w="4661"/>
        <w:gridCol w:w="1267"/>
        <w:gridCol w:w="1267"/>
        <w:gridCol w:w="1267"/>
        <w:gridCol w:w="1267"/>
      </w:tblGrid>
      <w:tr w:rsidR="00534FA2" w:rsidRPr="00B10210" w:rsidTr="00FC66D4">
        <w:trPr>
          <w:cantSplit/>
          <w:trHeight w:val="194"/>
          <w:jc w:val="center"/>
        </w:trPr>
        <w:tc>
          <w:tcPr>
            <w:tcW w:w="4661" w:type="dxa"/>
            <w:vMerge w:val="restart"/>
            <w:tcBorders>
              <w:top w:val="single" w:sz="8" w:space="0" w:color="auto"/>
              <w:left w:val="single" w:sz="8" w:space="0" w:color="auto"/>
              <w:bottom w:val="single" w:sz="8" w:space="0" w:color="auto"/>
              <w:right w:val="single" w:sz="8" w:space="0" w:color="auto"/>
            </w:tcBorders>
            <w:shd w:val="clear" w:color="auto" w:fill="BFBFBF"/>
            <w:tcMar>
              <w:top w:w="0" w:type="dxa"/>
              <w:left w:w="70" w:type="dxa"/>
              <w:bottom w:w="0" w:type="dxa"/>
              <w:right w:w="70" w:type="dxa"/>
            </w:tcMar>
            <w:vAlign w:val="center"/>
            <w:hideMark/>
          </w:tcPr>
          <w:p w:rsidR="00534FA2" w:rsidRPr="00B10210" w:rsidRDefault="00534FA2" w:rsidP="00FC66D4">
            <w:pPr>
              <w:rPr>
                <w:rFonts w:ascii="Arial Narrow" w:hAnsi="Arial Narrow"/>
                <w:b/>
                <w:bCs/>
              </w:rPr>
            </w:pPr>
            <w:r w:rsidRPr="00B10210">
              <w:rPr>
                <w:rFonts w:ascii="Arial Narrow" w:hAnsi="Arial Narrow"/>
                <w:b/>
                <w:bCs/>
              </w:rPr>
              <w:t>Vplyvy na rozpočet verejnej správy</w:t>
            </w:r>
          </w:p>
        </w:tc>
        <w:tc>
          <w:tcPr>
            <w:tcW w:w="5068" w:type="dxa"/>
            <w:gridSpan w:val="4"/>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534FA2" w:rsidRPr="00B10210" w:rsidRDefault="00534FA2" w:rsidP="00FC66D4">
            <w:pPr>
              <w:jc w:val="center"/>
              <w:rPr>
                <w:rFonts w:ascii="Arial Narrow" w:hAnsi="Arial Narrow"/>
                <w:b/>
                <w:bCs/>
              </w:rPr>
            </w:pPr>
            <w:r w:rsidRPr="00B10210">
              <w:rPr>
                <w:rFonts w:ascii="Arial Narrow" w:hAnsi="Arial Narrow"/>
                <w:b/>
                <w:bCs/>
              </w:rPr>
              <w:t>Vplyv na rozpočet verejnej správy (v eurách)</w:t>
            </w:r>
          </w:p>
        </w:tc>
      </w:tr>
      <w:tr w:rsidR="00534FA2" w:rsidRPr="00B10210" w:rsidTr="00FC66D4">
        <w:trPr>
          <w:cantSplit/>
          <w:trHeight w:val="7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34FA2" w:rsidRPr="00B10210" w:rsidRDefault="00534FA2" w:rsidP="00FC66D4">
            <w:pPr>
              <w:rPr>
                <w:rFonts w:ascii="Arial Narrow" w:hAnsi="Arial Narrow"/>
                <w:b/>
                <w:bCs/>
              </w:rPr>
            </w:pPr>
          </w:p>
        </w:tc>
        <w:tc>
          <w:tcPr>
            <w:tcW w:w="1267" w:type="dxa"/>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534FA2" w:rsidRPr="00B10210" w:rsidRDefault="00534FA2" w:rsidP="00FC66D4">
            <w:pPr>
              <w:jc w:val="center"/>
              <w:rPr>
                <w:rFonts w:ascii="Arial Narrow" w:hAnsi="Arial Narrow"/>
                <w:b/>
                <w:bCs/>
              </w:rPr>
            </w:pPr>
            <w:r w:rsidRPr="00B10210">
              <w:rPr>
                <w:rFonts w:ascii="Arial Narrow" w:hAnsi="Arial Narrow"/>
                <w:b/>
                <w:bCs/>
              </w:rPr>
              <w:t>2020</w:t>
            </w:r>
          </w:p>
        </w:tc>
        <w:tc>
          <w:tcPr>
            <w:tcW w:w="1267" w:type="dxa"/>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534FA2" w:rsidRPr="00B10210" w:rsidRDefault="00534FA2" w:rsidP="00FC66D4">
            <w:pPr>
              <w:jc w:val="center"/>
              <w:rPr>
                <w:rFonts w:ascii="Arial Narrow" w:hAnsi="Arial Narrow"/>
                <w:b/>
                <w:bCs/>
              </w:rPr>
            </w:pPr>
            <w:r w:rsidRPr="00B10210">
              <w:rPr>
                <w:rFonts w:ascii="Arial Narrow" w:hAnsi="Arial Narrow"/>
                <w:b/>
                <w:bCs/>
              </w:rPr>
              <w:t>2021</w:t>
            </w:r>
          </w:p>
        </w:tc>
        <w:tc>
          <w:tcPr>
            <w:tcW w:w="1267" w:type="dxa"/>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534FA2" w:rsidRPr="00B10210" w:rsidRDefault="00534FA2" w:rsidP="00FC66D4">
            <w:pPr>
              <w:jc w:val="center"/>
              <w:rPr>
                <w:rFonts w:ascii="Arial Narrow" w:hAnsi="Arial Narrow"/>
                <w:b/>
                <w:bCs/>
              </w:rPr>
            </w:pPr>
            <w:r w:rsidRPr="00B10210">
              <w:rPr>
                <w:rFonts w:ascii="Arial Narrow" w:hAnsi="Arial Narrow"/>
                <w:b/>
                <w:bCs/>
              </w:rPr>
              <w:t>2022</w:t>
            </w:r>
          </w:p>
        </w:tc>
        <w:tc>
          <w:tcPr>
            <w:tcW w:w="1267" w:type="dxa"/>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534FA2" w:rsidRPr="00B10210" w:rsidRDefault="00534FA2" w:rsidP="00FC66D4">
            <w:pPr>
              <w:jc w:val="center"/>
              <w:rPr>
                <w:rFonts w:ascii="Arial Narrow" w:hAnsi="Arial Narrow"/>
                <w:b/>
                <w:bCs/>
              </w:rPr>
            </w:pPr>
            <w:r w:rsidRPr="00B10210">
              <w:rPr>
                <w:rFonts w:ascii="Arial Narrow" w:hAnsi="Arial Narrow"/>
                <w:b/>
                <w:bCs/>
              </w:rPr>
              <w:t>2023</w:t>
            </w:r>
          </w:p>
        </w:tc>
      </w:tr>
      <w:tr w:rsidR="00534FA2" w:rsidRPr="00B10210" w:rsidTr="00FC66D4">
        <w:trPr>
          <w:trHeight w:val="70"/>
          <w:jc w:val="center"/>
        </w:trPr>
        <w:tc>
          <w:tcPr>
            <w:tcW w:w="4661" w:type="dxa"/>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534FA2" w:rsidRPr="00B10210" w:rsidRDefault="00534FA2" w:rsidP="00FC66D4">
            <w:pPr>
              <w:rPr>
                <w:rFonts w:ascii="Arial Narrow" w:hAnsi="Arial Narrow"/>
              </w:rPr>
            </w:pPr>
            <w:r w:rsidRPr="00B10210">
              <w:rPr>
                <w:rFonts w:ascii="Arial Narrow" w:hAnsi="Arial Narrow"/>
                <w:b/>
                <w:bCs/>
              </w:rPr>
              <w:t>Príjmy verejnej správy celkom</w:t>
            </w:r>
          </w:p>
        </w:tc>
        <w:tc>
          <w:tcPr>
            <w:tcW w:w="1267" w:type="dxa"/>
            <w:tcBorders>
              <w:top w:val="nil"/>
              <w:left w:val="nil"/>
              <w:bottom w:val="single" w:sz="8" w:space="0" w:color="auto"/>
              <w:right w:val="single" w:sz="8" w:space="0" w:color="auto"/>
            </w:tcBorders>
            <w:shd w:val="clear" w:color="auto" w:fill="C0C0C0"/>
            <w:tcMar>
              <w:top w:w="0" w:type="dxa"/>
              <w:left w:w="70" w:type="dxa"/>
              <w:bottom w:w="0" w:type="dxa"/>
              <w:right w:w="70" w:type="dxa"/>
            </w:tcMar>
            <w:vAlign w:val="center"/>
            <w:hideMark/>
          </w:tcPr>
          <w:p w:rsidR="00534FA2" w:rsidRPr="00B10210" w:rsidRDefault="00534FA2" w:rsidP="00FC66D4">
            <w:pPr>
              <w:rPr>
                <w:rFonts w:ascii="Arial Narrow" w:hAnsi="Arial Narrow"/>
                <w:b/>
                <w:bCs/>
              </w:rPr>
            </w:pPr>
            <w:r w:rsidRPr="00B10210">
              <w:rPr>
                <w:rFonts w:ascii="Arial Narrow" w:hAnsi="Arial Narrow"/>
                <w:b/>
                <w:bCs/>
              </w:rPr>
              <w:t>-</w:t>
            </w:r>
          </w:p>
        </w:tc>
        <w:tc>
          <w:tcPr>
            <w:tcW w:w="1267" w:type="dxa"/>
            <w:tcBorders>
              <w:top w:val="nil"/>
              <w:left w:val="nil"/>
              <w:bottom w:val="single" w:sz="8" w:space="0" w:color="auto"/>
              <w:right w:val="single" w:sz="8" w:space="0" w:color="auto"/>
            </w:tcBorders>
            <w:shd w:val="clear" w:color="auto" w:fill="C0C0C0"/>
            <w:tcMar>
              <w:top w:w="0" w:type="dxa"/>
              <w:left w:w="70" w:type="dxa"/>
              <w:bottom w:w="0" w:type="dxa"/>
              <w:right w:w="70" w:type="dxa"/>
            </w:tcMar>
            <w:vAlign w:val="center"/>
            <w:hideMark/>
          </w:tcPr>
          <w:p w:rsidR="00534FA2" w:rsidRPr="00B10210" w:rsidRDefault="00534FA2" w:rsidP="00FC66D4">
            <w:pPr>
              <w:jc w:val="right"/>
              <w:rPr>
                <w:rFonts w:ascii="Arial Narrow" w:hAnsi="Arial Narrow"/>
                <w:b/>
                <w:bCs/>
              </w:rPr>
            </w:pPr>
            <w:r w:rsidRPr="00B10210">
              <w:rPr>
                <w:b/>
                <w:sz w:val="20"/>
                <w:szCs w:val="20"/>
              </w:rPr>
              <w:t>102 124 000</w:t>
            </w:r>
          </w:p>
        </w:tc>
        <w:tc>
          <w:tcPr>
            <w:tcW w:w="1267" w:type="dxa"/>
            <w:tcBorders>
              <w:top w:val="nil"/>
              <w:left w:val="nil"/>
              <w:bottom w:val="single" w:sz="8" w:space="0" w:color="auto"/>
              <w:right w:val="single" w:sz="8" w:space="0" w:color="auto"/>
            </w:tcBorders>
            <w:shd w:val="clear" w:color="auto" w:fill="C0C0C0"/>
            <w:tcMar>
              <w:top w:w="0" w:type="dxa"/>
              <w:left w:w="70" w:type="dxa"/>
              <w:bottom w:w="0" w:type="dxa"/>
              <w:right w:w="70" w:type="dxa"/>
            </w:tcMar>
            <w:vAlign w:val="center"/>
            <w:hideMark/>
          </w:tcPr>
          <w:p w:rsidR="00534FA2" w:rsidRPr="00B10210" w:rsidRDefault="00534FA2" w:rsidP="00FC66D4">
            <w:pPr>
              <w:jc w:val="right"/>
              <w:rPr>
                <w:rFonts w:ascii="Arial Narrow" w:hAnsi="Arial Narrow"/>
                <w:b/>
                <w:bCs/>
              </w:rPr>
            </w:pPr>
            <w:r w:rsidRPr="00B10210">
              <w:rPr>
                <w:b/>
                <w:bCs/>
                <w:sz w:val="20"/>
                <w:szCs w:val="20"/>
              </w:rPr>
              <w:t>187 571 000</w:t>
            </w:r>
          </w:p>
        </w:tc>
        <w:tc>
          <w:tcPr>
            <w:tcW w:w="1267" w:type="dxa"/>
            <w:tcBorders>
              <w:top w:val="nil"/>
              <w:left w:val="nil"/>
              <w:bottom w:val="single" w:sz="8" w:space="0" w:color="auto"/>
              <w:right w:val="single" w:sz="8" w:space="0" w:color="auto"/>
            </w:tcBorders>
            <w:shd w:val="clear" w:color="auto" w:fill="C0C0C0"/>
            <w:tcMar>
              <w:top w:w="0" w:type="dxa"/>
              <w:left w:w="70" w:type="dxa"/>
              <w:bottom w:w="0" w:type="dxa"/>
              <w:right w:w="70" w:type="dxa"/>
            </w:tcMar>
            <w:vAlign w:val="center"/>
            <w:hideMark/>
          </w:tcPr>
          <w:p w:rsidR="00534FA2" w:rsidRPr="00B10210" w:rsidRDefault="00534FA2" w:rsidP="00FC66D4">
            <w:pPr>
              <w:jc w:val="right"/>
              <w:rPr>
                <w:rFonts w:ascii="Arial Narrow" w:hAnsi="Arial Narrow"/>
                <w:b/>
                <w:bCs/>
              </w:rPr>
            </w:pPr>
            <w:r w:rsidRPr="00B10210">
              <w:rPr>
                <w:b/>
                <w:bCs/>
                <w:sz w:val="20"/>
                <w:szCs w:val="20"/>
              </w:rPr>
              <w:t>254 695 000</w:t>
            </w:r>
          </w:p>
        </w:tc>
      </w:tr>
      <w:tr w:rsidR="00534FA2" w:rsidRPr="00B10210" w:rsidTr="00FC66D4">
        <w:trPr>
          <w:trHeight w:val="132"/>
          <w:jc w:val="center"/>
        </w:trPr>
        <w:tc>
          <w:tcPr>
            <w:tcW w:w="46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rPr>
                <w:rFonts w:ascii="Arial Narrow" w:hAnsi="Arial Narrow"/>
              </w:rPr>
            </w:pPr>
            <w:r w:rsidRPr="00B10210">
              <w:rPr>
                <w:rFonts w:ascii="Arial Narrow" w:hAnsi="Arial Narrow"/>
              </w:rPr>
              <w:t>v tom: za každý subjekt verejnej správy zvlášť</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534FA2" w:rsidRPr="00B10210" w:rsidRDefault="00534FA2" w:rsidP="00FC66D4">
            <w:pPr>
              <w:rPr>
                <w:rFonts w:ascii="Arial Narrow" w:hAnsi="Arial Narrow"/>
              </w:rPr>
            </w:pP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534FA2" w:rsidRPr="00B10210" w:rsidRDefault="00534FA2" w:rsidP="00FC66D4">
            <w:pPr>
              <w:jc w:val="right"/>
              <w:rPr>
                <w:rFonts w:ascii="Arial Narrow" w:hAnsi="Arial Narrow"/>
              </w:rPr>
            </w:pPr>
            <w:r w:rsidRPr="00B10210">
              <w:rPr>
                <w:sz w:val="20"/>
                <w:szCs w:val="20"/>
              </w:rPr>
              <w:t>102 124 000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534FA2" w:rsidRPr="00B10210" w:rsidRDefault="00534FA2" w:rsidP="00FC66D4">
            <w:pPr>
              <w:jc w:val="right"/>
              <w:rPr>
                <w:rFonts w:ascii="Arial Narrow" w:hAnsi="Arial Narrow"/>
              </w:rPr>
            </w:pPr>
            <w:r w:rsidRPr="00B10210">
              <w:rPr>
                <w:bCs/>
                <w:sz w:val="20"/>
                <w:szCs w:val="20"/>
              </w:rPr>
              <w:t>187 571 000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534FA2" w:rsidRPr="00B10210" w:rsidRDefault="00534FA2" w:rsidP="00FC66D4">
            <w:pPr>
              <w:jc w:val="right"/>
              <w:rPr>
                <w:rFonts w:ascii="Arial Narrow" w:hAnsi="Arial Narrow"/>
              </w:rPr>
            </w:pPr>
            <w:r w:rsidRPr="00B10210">
              <w:rPr>
                <w:bCs/>
                <w:sz w:val="20"/>
                <w:szCs w:val="20"/>
              </w:rPr>
              <w:t>254 695 000</w:t>
            </w:r>
          </w:p>
        </w:tc>
      </w:tr>
      <w:tr w:rsidR="00534FA2" w:rsidRPr="00B10210" w:rsidTr="00FC66D4">
        <w:trPr>
          <w:trHeight w:val="70"/>
          <w:jc w:val="center"/>
        </w:trPr>
        <w:tc>
          <w:tcPr>
            <w:tcW w:w="46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rPr>
                <w:rFonts w:ascii="Arial Narrow" w:hAnsi="Arial Narrow"/>
                <w:b/>
                <w:bCs/>
                <w:i/>
                <w:iCs/>
              </w:rPr>
            </w:pPr>
            <w:r w:rsidRPr="00B10210">
              <w:rPr>
                <w:rFonts w:ascii="Arial Narrow" w:hAnsi="Arial Narrow"/>
                <w:b/>
                <w:bCs/>
                <w:i/>
                <w:iCs/>
              </w:rPr>
              <w:t xml:space="preserve">z toho:  </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534FA2" w:rsidRPr="00B10210" w:rsidRDefault="00534FA2" w:rsidP="00FC66D4">
            <w:pPr>
              <w:rPr>
                <w:rFonts w:ascii="Arial Narrow" w:hAnsi="Arial Narrow"/>
                <w:b/>
                <w:bCs/>
              </w:rPr>
            </w:pP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534FA2" w:rsidRPr="00B10210" w:rsidRDefault="00534FA2" w:rsidP="00FC66D4">
            <w:pPr>
              <w:jc w:val="right"/>
              <w:rPr>
                <w:rFonts w:ascii="Arial Narrow" w:hAnsi="Arial Narrow"/>
                <w:b/>
                <w:bCs/>
              </w:rPr>
            </w:pP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534FA2" w:rsidRPr="00B10210" w:rsidRDefault="00534FA2" w:rsidP="00FC66D4">
            <w:pPr>
              <w:jc w:val="right"/>
              <w:rPr>
                <w:rFonts w:ascii="Arial Narrow" w:hAnsi="Arial Narrow"/>
                <w:b/>
                <w:bCs/>
              </w:rPr>
            </w:pP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534FA2" w:rsidRPr="00B10210" w:rsidRDefault="00534FA2" w:rsidP="00FC66D4">
            <w:pPr>
              <w:jc w:val="right"/>
              <w:rPr>
                <w:rFonts w:ascii="Arial Narrow" w:hAnsi="Arial Narrow"/>
                <w:b/>
                <w:bCs/>
              </w:rPr>
            </w:pPr>
          </w:p>
        </w:tc>
      </w:tr>
      <w:tr w:rsidR="00534FA2" w:rsidRPr="00B10210" w:rsidTr="00FC66D4">
        <w:trPr>
          <w:trHeight w:val="125"/>
          <w:jc w:val="center"/>
        </w:trPr>
        <w:tc>
          <w:tcPr>
            <w:tcW w:w="46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rPr>
                <w:rFonts w:ascii="Arial Narrow" w:hAnsi="Arial Narrow"/>
                <w:b/>
                <w:bCs/>
                <w:i/>
                <w:iCs/>
              </w:rPr>
            </w:pPr>
            <w:r w:rsidRPr="00B10210">
              <w:rPr>
                <w:rFonts w:ascii="Arial Narrow" w:hAnsi="Arial Narrow"/>
                <w:b/>
                <w:bCs/>
                <w:i/>
                <w:iCs/>
              </w:rPr>
              <w:t>- vplyv na ŠR</w:t>
            </w:r>
          </w:p>
        </w:tc>
        <w:tc>
          <w:tcPr>
            <w:tcW w:w="1267"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534FA2" w:rsidRPr="00B10210" w:rsidRDefault="00534FA2" w:rsidP="00FC66D4">
            <w:pPr>
              <w:rPr>
                <w:rFonts w:ascii="Arial Narrow" w:hAnsi="Arial Narrow"/>
                <w:b/>
                <w:bCs/>
              </w:rPr>
            </w:pPr>
            <w:r w:rsidRPr="00B10210">
              <w:rPr>
                <w:rFonts w:ascii="Arial Narrow" w:hAnsi="Arial Narrow"/>
                <w:b/>
                <w:bCs/>
              </w:rPr>
              <w:t>-</w:t>
            </w:r>
          </w:p>
        </w:tc>
        <w:tc>
          <w:tcPr>
            <w:tcW w:w="1267"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534FA2" w:rsidRPr="00B10210" w:rsidRDefault="00534FA2" w:rsidP="00FC66D4">
            <w:pPr>
              <w:jc w:val="right"/>
              <w:rPr>
                <w:rFonts w:ascii="Arial Narrow" w:hAnsi="Arial Narrow"/>
                <w:b/>
                <w:bCs/>
              </w:rPr>
            </w:pPr>
            <w:r w:rsidRPr="00B10210">
              <w:rPr>
                <w:b/>
                <w:sz w:val="20"/>
                <w:szCs w:val="20"/>
              </w:rPr>
              <w:t>102 124 000</w:t>
            </w:r>
          </w:p>
        </w:tc>
        <w:tc>
          <w:tcPr>
            <w:tcW w:w="1267" w:type="dxa"/>
            <w:tcBorders>
              <w:top w:val="nil"/>
              <w:left w:val="nil"/>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534FA2" w:rsidRPr="00B10210" w:rsidRDefault="00534FA2" w:rsidP="00FC66D4">
            <w:pPr>
              <w:jc w:val="right"/>
              <w:rPr>
                <w:rFonts w:ascii="Arial Narrow" w:hAnsi="Arial Narrow"/>
                <w:b/>
                <w:bCs/>
              </w:rPr>
            </w:pPr>
            <w:r w:rsidRPr="00B10210">
              <w:rPr>
                <w:b/>
                <w:bCs/>
                <w:sz w:val="20"/>
                <w:szCs w:val="20"/>
              </w:rPr>
              <w:t>187 571 000</w:t>
            </w:r>
          </w:p>
        </w:tc>
        <w:tc>
          <w:tcPr>
            <w:tcW w:w="1267" w:type="dxa"/>
            <w:tcBorders>
              <w:top w:val="nil"/>
              <w:left w:val="nil"/>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534FA2" w:rsidRPr="00B10210" w:rsidRDefault="00534FA2" w:rsidP="00FC66D4">
            <w:pPr>
              <w:jc w:val="right"/>
              <w:rPr>
                <w:rFonts w:ascii="Arial Narrow" w:hAnsi="Arial Narrow"/>
                <w:b/>
                <w:bCs/>
              </w:rPr>
            </w:pPr>
            <w:r w:rsidRPr="00B10210">
              <w:rPr>
                <w:b/>
                <w:bCs/>
                <w:sz w:val="20"/>
                <w:szCs w:val="20"/>
              </w:rPr>
              <w:t>254 695 000</w:t>
            </w:r>
          </w:p>
        </w:tc>
      </w:tr>
      <w:tr w:rsidR="00534FA2" w:rsidRPr="00B10210" w:rsidTr="00FC66D4">
        <w:trPr>
          <w:trHeight w:val="125"/>
          <w:jc w:val="center"/>
        </w:trPr>
        <w:tc>
          <w:tcPr>
            <w:tcW w:w="46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rPr>
                <w:rFonts w:ascii="Arial Narrow" w:hAnsi="Arial Narrow"/>
                <w:b/>
                <w:bCs/>
                <w:i/>
                <w:iCs/>
              </w:rPr>
            </w:pPr>
            <w:r w:rsidRPr="00B10210">
              <w:rPr>
                <w:rFonts w:ascii="Arial Narrow" w:hAnsi="Arial Narrow"/>
                <w:i/>
                <w:iCs/>
              </w:rPr>
              <w:t>Rozpočtové prostriedky (kapitola VPS FR SR)</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534FA2" w:rsidRPr="00B10210" w:rsidRDefault="00534FA2" w:rsidP="00FC66D4">
            <w:pPr>
              <w:rPr>
                <w:rFonts w:ascii="Arial Narrow" w:hAnsi="Arial Narrow"/>
                <w:b/>
                <w:bCs/>
              </w:rPr>
            </w:pP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534FA2" w:rsidRPr="00B10210" w:rsidRDefault="00534FA2" w:rsidP="00FC66D4">
            <w:pPr>
              <w:rPr>
                <w:rFonts w:ascii="Arial Narrow" w:hAnsi="Arial Narrow"/>
                <w:b/>
                <w:bCs/>
              </w:rPr>
            </w:pP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534FA2" w:rsidRPr="00B10210" w:rsidRDefault="00534FA2" w:rsidP="00FC66D4">
            <w:pPr>
              <w:rPr>
                <w:rFonts w:ascii="Arial Narrow" w:hAnsi="Arial Narrow"/>
                <w:b/>
                <w:bCs/>
              </w:rPr>
            </w:pP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534FA2" w:rsidRPr="00B10210" w:rsidRDefault="00534FA2" w:rsidP="00FC66D4">
            <w:pPr>
              <w:rPr>
                <w:rFonts w:ascii="Arial Narrow" w:hAnsi="Arial Narrow"/>
                <w:b/>
                <w:bCs/>
              </w:rPr>
            </w:pPr>
          </w:p>
        </w:tc>
      </w:tr>
      <w:tr w:rsidR="00534FA2" w:rsidRPr="00B10210" w:rsidTr="00FC66D4">
        <w:trPr>
          <w:trHeight w:val="125"/>
          <w:jc w:val="center"/>
        </w:trPr>
        <w:tc>
          <w:tcPr>
            <w:tcW w:w="46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rPr>
                <w:rFonts w:ascii="Arial Narrow" w:hAnsi="Arial Narrow"/>
                <w:i/>
                <w:iCs/>
              </w:rPr>
            </w:pPr>
            <w:r w:rsidRPr="00B10210">
              <w:rPr>
                <w:rFonts w:ascii="Arial Narrow" w:hAnsi="Arial Narrow"/>
                <w:i/>
                <w:iCs/>
              </w:rPr>
              <w:t>EÚ zdroje</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534FA2" w:rsidRPr="00B10210" w:rsidRDefault="00534FA2" w:rsidP="00FC66D4">
            <w:pPr>
              <w:rPr>
                <w:rFonts w:ascii="Arial Narrow" w:hAnsi="Arial Narrow"/>
              </w:rPr>
            </w:pP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534FA2" w:rsidRPr="00B10210" w:rsidRDefault="00534FA2" w:rsidP="00FC66D4">
            <w:pPr>
              <w:rPr>
                <w:rFonts w:ascii="Arial Narrow" w:hAnsi="Arial Narrow"/>
              </w:rPr>
            </w:pP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534FA2" w:rsidRPr="00B10210" w:rsidRDefault="00534FA2" w:rsidP="00FC66D4">
            <w:pPr>
              <w:rPr>
                <w:rFonts w:ascii="Arial Narrow" w:hAnsi="Arial Narrow"/>
              </w:rPr>
            </w:pP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534FA2" w:rsidRPr="00B10210" w:rsidRDefault="00534FA2" w:rsidP="00FC66D4">
            <w:pPr>
              <w:rPr>
                <w:rFonts w:ascii="Arial Narrow" w:hAnsi="Arial Narrow"/>
              </w:rPr>
            </w:pPr>
          </w:p>
        </w:tc>
      </w:tr>
      <w:tr w:rsidR="00534FA2" w:rsidRPr="00B10210" w:rsidTr="00FC66D4">
        <w:trPr>
          <w:trHeight w:val="125"/>
          <w:jc w:val="center"/>
        </w:trPr>
        <w:tc>
          <w:tcPr>
            <w:tcW w:w="46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rPr>
                <w:rFonts w:ascii="Arial Narrow" w:hAnsi="Arial Narrow"/>
                <w:b/>
                <w:bCs/>
                <w:i/>
                <w:iCs/>
              </w:rPr>
            </w:pPr>
            <w:r w:rsidRPr="00B10210">
              <w:rPr>
                <w:rFonts w:ascii="Arial Narrow" w:hAnsi="Arial Narrow"/>
                <w:b/>
                <w:bCs/>
                <w:i/>
                <w:iCs/>
              </w:rPr>
              <w:t>- vplyv na obce</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534FA2" w:rsidRPr="00B10210" w:rsidRDefault="00534FA2" w:rsidP="00FC66D4">
            <w:pPr>
              <w:rPr>
                <w:rFonts w:ascii="Arial Narrow" w:hAnsi="Arial Narrow"/>
                <w:b/>
                <w:bCs/>
              </w:rPr>
            </w:pP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534FA2" w:rsidRPr="00B10210" w:rsidRDefault="00534FA2" w:rsidP="00FC66D4">
            <w:pPr>
              <w:rPr>
                <w:rFonts w:ascii="Arial Narrow" w:hAnsi="Arial Narrow"/>
                <w:b/>
                <w:bCs/>
              </w:rPr>
            </w:pP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534FA2" w:rsidRPr="00B10210" w:rsidRDefault="00534FA2" w:rsidP="00FC66D4">
            <w:pPr>
              <w:rPr>
                <w:rFonts w:ascii="Arial Narrow" w:hAnsi="Arial Narrow"/>
                <w:b/>
                <w:bCs/>
              </w:rPr>
            </w:pP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534FA2" w:rsidRPr="00B10210" w:rsidRDefault="00534FA2" w:rsidP="00FC66D4">
            <w:pPr>
              <w:rPr>
                <w:rFonts w:ascii="Arial Narrow" w:hAnsi="Arial Narrow"/>
                <w:b/>
                <w:bCs/>
              </w:rPr>
            </w:pPr>
          </w:p>
        </w:tc>
      </w:tr>
      <w:tr w:rsidR="00534FA2" w:rsidRPr="00B10210" w:rsidTr="00FC66D4">
        <w:trPr>
          <w:trHeight w:val="125"/>
          <w:jc w:val="center"/>
        </w:trPr>
        <w:tc>
          <w:tcPr>
            <w:tcW w:w="46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rPr>
                <w:rFonts w:ascii="Arial Narrow" w:hAnsi="Arial Narrow"/>
                <w:b/>
                <w:bCs/>
                <w:i/>
                <w:iCs/>
              </w:rPr>
            </w:pPr>
            <w:r w:rsidRPr="00B10210">
              <w:rPr>
                <w:rFonts w:ascii="Arial Narrow" w:hAnsi="Arial Narrow"/>
                <w:b/>
                <w:bCs/>
                <w:i/>
                <w:iCs/>
              </w:rPr>
              <w:t>- vplyv na vyššie územné celky</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534FA2" w:rsidRPr="00B10210" w:rsidRDefault="00534FA2" w:rsidP="00FC66D4">
            <w:pPr>
              <w:rPr>
                <w:rFonts w:ascii="Arial Narrow" w:hAnsi="Arial Narrow"/>
                <w:b/>
                <w:bCs/>
              </w:rPr>
            </w:pP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534FA2" w:rsidRPr="00B10210" w:rsidRDefault="00534FA2" w:rsidP="00FC66D4">
            <w:pPr>
              <w:rPr>
                <w:rFonts w:ascii="Arial Narrow" w:hAnsi="Arial Narrow"/>
                <w:b/>
                <w:bCs/>
              </w:rPr>
            </w:pP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534FA2" w:rsidRPr="00B10210" w:rsidRDefault="00534FA2" w:rsidP="00FC66D4">
            <w:pPr>
              <w:rPr>
                <w:rFonts w:ascii="Arial Narrow" w:hAnsi="Arial Narrow"/>
                <w:b/>
                <w:bCs/>
              </w:rPr>
            </w:pP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534FA2" w:rsidRPr="00B10210" w:rsidRDefault="00534FA2" w:rsidP="00FC66D4">
            <w:pPr>
              <w:rPr>
                <w:rFonts w:ascii="Arial Narrow" w:hAnsi="Arial Narrow"/>
                <w:b/>
                <w:bCs/>
              </w:rPr>
            </w:pPr>
          </w:p>
        </w:tc>
      </w:tr>
      <w:tr w:rsidR="00534FA2" w:rsidRPr="00B10210" w:rsidTr="00FC66D4">
        <w:trPr>
          <w:trHeight w:val="125"/>
          <w:jc w:val="center"/>
        </w:trPr>
        <w:tc>
          <w:tcPr>
            <w:tcW w:w="46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rPr>
                <w:rFonts w:ascii="Arial Narrow" w:hAnsi="Arial Narrow"/>
                <w:b/>
                <w:bCs/>
                <w:i/>
                <w:iCs/>
              </w:rPr>
            </w:pPr>
            <w:r w:rsidRPr="00B10210">
              <w:rPr>
                <w:rFonts w:ascii="Arial Narrow" w:hAnsi="Arial Narrow"/>
                <w:b/>
                <w:bCs/>
                <w:i/>
                <w:iCs/>
              </w:rPr>
              <w:t>- vplyv na ostatné subjekty verejnej správy</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534FA2" w:rsidRPr="00B10210" w:rsidRDefault="00534FA2" w:rsidP="00FC66D4">
            <w:pPr>
              <w:rPr>
                <w:rFonts w:ascii="Arial Narrow" w:hAnsi="Arial Narrow"/>
                <w:b/>
                <w:bCs/>
              </w:rPr>
            </w:pP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534FA2" w:rsidRPr="00B10210" w:rsidRDefault="00534FA2" w:rsidP="00FC66D4">
            <w:pPr>
              <w:rPr>
                <w:rFonts w:ascii="Arial Narrow" w:hAnsi="Arial Narrow"/>
                <w:b/>
                <w:bCs/>
              </w:rPr>
            </w:pP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534FA2" w:rsidRPr="00B10210" w:rsidRDefault="00534FA2" w:rsidP="00FC66D4">
            <w:pPr>
              <w:rPr>
                <w:rFonts w:ascii="Arial Narrow" w:hAnsi="Arial Narrow"/>
                <w:b/>
                <w:bCs/>
              </w:rPr>
            </w:pP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534FA2" w:rsidRPr="00B10210" w:rsidRDefault="00534FA2" w:rsidP="00FC66D4">
            <w:pPr>
              <w:rPr>
                <w:rFonts w:ascii="Arial Narrow" w:hAnsi="Arial Narrow"/>
                <w:b/>
                <w:bCs/>
              </w:rPr>
            </w:pPr>
          </w:p>
        </w:tc>
      </w:tr>
      <w:tr w:rsidR="00534FA2" w:rsidRPr="00B10210" w:rsidTr="00FC66D4">
        <w:trPr>
          <w:trHeight w:val="125"/>
          <w:jc w:val="center"/>
        </w:trPr>
        <w:tc>
          <w:tcPr>
            <w:tcW w:w="4661" w:type="dxa"/>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534FA2" w:rsidRPr="00B10210" w:rsidRDefault="00534FA2" w:rsidP="00FC66D4">
            <w:pPr>
              <w:rPr>
                <w:rFonts w:ascii="Arial Narrow" w:hAnsi="Arial Narrow"/>
                <w:b/>
                <w:bCs/>
              </w:rPr>
            </w:pPr>
            <w:r w:rsidRPr="00B10210">
              <w:rPr>
                <w:rFonts w:ascii="Arial Narrow" w:hAnsi="Arial Narrow"/>
                <w:b/>
                <w:bCs/>
              </w:rPr>
              <w:t>Výdavky verejnej správy celkom</w:t>
            </w:r>
          </w:p>
        </w:tc>
        <w:tc>
          <w:tcPr>
            <w:tcW w:w="1267" w:type="dxa"/>
            <w:tcBorders>
              <w:top w:val="nil"/>
              <w:left w:val="nil"/>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534FA2" w:rsidRPr="00B10210" w:rsidRDefault="00534FA2" w:rsidP="00FC66D4">
            <w:pPr>
              <w:jc w:val="right"/>
              <w:rPr>
                <w:b/>
                <w:bCs/>
                <w:sz w:val="20"/>
                <w:szCs w:val="20"/>
              </w:rPr>
            </w:pPr>
            <w:r w:rsidRPr="00B10210">
              <w:rPr>
                <w:b/>
                <w:bCs/>
                <w:sz w:val="20"/>
                <w:szCs w:val="20"/>
              </w:rPr>
              <w:t>326 040,00</w:t>
            </w:r>
          </w:p>
        </w:tc>
        <w:tc>
          <w:tcPr>
            <w:tcW w:w="1267" w:type="dxa"/>
            <w:tcBorders>
              <w:top w:val="nil"/>
              <w:left w:val="nil"/>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534FA2" w:rsidRPr="00B10210" w:rsidRDefault="00534FA2" w:rsidP="00FC66D4">
            <w:pPr>
              <w:jc w:val="right"/>
              <w:rPr>
                <w:b/>
                <w:bCs/>
                <w:sz w:val="20"/>
                <w:szCs w:val="20"/>
              </w:rPr>
            </w:pPr>
            <w:r w:rsidRPr="00B10210">
              <w:rPr>
                <w:b/>
                <w:sz w:val="20"/>
                <w:szCs w:val="20"/>
              </w:rPr>
              <w:t>102 828,00</w:t>
            </w:r>
          </w:p>
        </w:tc>
        <w:tc>
          <w:tcPr>
            <w:tcW w:w="1267" w:type="dxa"/>
            <w:tcBorders>
              <w:top w:val="nil"/>
              <w:left w:val="nil"/>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534FA2" w:rsidRPr="00B10210" w:rsidRDefault="00534FA2" w:rsidP="00FC66D4">
            <w:pPr>
              <w:jc w:val="right"/>
              <w:rPr>
                <w:b/>
                <w:bCs/>
                <w:sz w:val="20"/>
                <w:szCs w:val="20"/>
              </w:rPr>
            </w:pPr>
            <w:r w:rsidRPr="00B10210">
              <w:rPr>
                <w:b/>
                <w:bCs/>
                <w:sz w:val="20"/>
                <w:szCs w:val="20"/>
              </w:rPr>
              <w:t>0,00</w:t>
            </w:r>
          </w:p>
        </w:tc>
        <w:tc>
          <w:tcPr>
            <w:tcW w:w="1267" w:type="dxa"/>
            <w:tcBorders>
              <w:top w:val="nil"/>
              <w:left w:val="nil"/>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534FA2" w:rsidRPr="00B10210" w:rsidRDefault="00534FA2" w:rsidP="00FC66D4">
            <w:pPr>
              <w:jc w:val="right"/>
              <w:rPr>
                <w:b/>
                <w:bCs/>
                <w:sz w:val="20"/>
                <w:szCs w:val="20"/>
              </w:rPr>
            </w:pPr>
            <w:r w:rsidRPr="00B10210">
              <w:rPr>
                <w:b/>
                <w:bCs/>
                <w:sz w:val="20"/>
                <w:szCs w:val="20"/>
              </w:rPr>
              <w:t>0,00</w:t>
            </w:r>
          </w:p>
        </w:tc>
      </w:tr>
      <w:tr w:rsidR="00534FA2" w:rsidRPr="00B10210" w:rsidTr="00FC66D4">
        <w:trPr>
          <w:trHeight w:val="70"/>
          <w:jc w:val="center"/>
        </w:trPr>
        <w:tc>
          <w:tcPr>
            <w:tcW w:w="46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ind w:left="544" w:hanging="544"/>
              <w:rPr>
                <w:rFonts w:ascii="Arial Narrow" w:hAnsi="Arial Narrow"/>
              </w:rPr>
            </w:pPr>
            <w:r w:rsidRPr="00B10210">
              <w:rPr>
                <w:rFonts w:ascii="Arial Narrow" w:hAnsi="Arial Narrow"/>
              </w:rPr>
              <w:t>v tom: kapitola MF SR/0EK 0D IT financované zo ŠR – MF SR (</w:t>
            </w:r>
            <w:proofErr w:type="spellStart"/>
            <w:r w:rsidRPr="00B10210">
              <w:rPr>
                <w:rFonts w:ascii="Arial Narrow" w:hAnsi="Arial Narrow"/>
              </w:rPr>
              <w:t>org</w:t>
            </w:r>
            <w:proofErr w:type="spellEnd"/>
            <w:r w:rsidRPr="00B10210">
              <w:rPr>
                <w:rFonts w:ascii="Arial Narrow" w:hAnsi="Arial Narrow"/>
              </w:rPr>
              <w:t>. MF SR – úrad)</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sz w:val="20"/>
                <w:szCs w:val="20"/>
              </w:rPr>
            </w:pPr>
            <w:r w:rsidRPr="00B10210">
              <w:rPr>
                <w:bCs/>
                <w:sz w:val="20"/>
                <w:szCs w:val="20"/>
              </w:rPr>
              <w:t>105 336,00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bCs/>
                <w:sz w:val="20"/>
                <w:szCs w:val="20"/>
              </w:rPr>
            </w:pPr>
            <w:r w:rsidRPr="00B10210">
              <w:rPr>
                <w:bCs/>
                <w:sz w:val="20"/>
                <w:szCs w:val="20"/>
              </w:rPr>
              <w:t>0,00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bCs/>
                <w:sz w:val="20"/>
                <w:szCs w:val="20"/>
              </w:rPr>
            </w:pPr>
            <w:r w:rsidRPr="00B10210">
              <w:rPr>
                <w:bCs/>
                <w:sz w:val="20"/>
                <w:szCs w:val="20"/>
              </w:rPr>
              <w:t>0,00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bCs/>
                <w:sz w:val="20"/>
                <w:szCs w:val="20"/>
              </w:rPr>
            </w:pPr>
            <w:r w:rsidRPr="00B10210">
              <w:rPr>
                <w:bCs/>
                <w:sz w:val="20"/>
                <w:szCs w:val="20"/>
              </w:rPr>
              <w:t>0,00</w:t>
            </w:r>
          </w:p>
        </w:tc>
      </w:tr>
      <w:tr w:rsidR="00534FA2" w:rsidRPr="00B10210" w:rsidTr="00FC66D4">
        <w:trPr>
          <w:trHeight w:val="70"/>
          <w:jc w:val="center"/>
        </w:trPr>
        <w:tc>
          <w:tcPr>
            <w:tcW w:w="46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ind w:left="544"/>
              <w:rPr>
                <w:rFonts w:ascii="Arial Narrow" w:hAnsi="Arial Narrow"/>
              </w:rPr>
            </w:pPr>
            <w:r w:rsidRPr="00B10210">
              <w:rPr>
                <w:rFonts w:ascii="Arial Narrow" w:hAnsi="Arial Narrow"/>
              </w:rPr>
              <w:t>kapitola MF SR/0EK 0D IT financované zo ŠR – MF SR (</w:t>
            </w:r>
            <w:proofErr w:type="spellStart"/>
            <w:r w:rsidRPr="00B10210">
              <w:rPr>
                <w:rFonts w:ascii="Arial Narrow" w:hAnsi="Arial Narrow"/>
              </w:rPr>
              <w:t>org</w:t>
            </w:r>
            <w:proofErr w:type="spellEnd"/>
            <w:r w:rsidRPr="00B10210">
              <w:rPr>
                <w:rFonts w:ascii="Arial Narrow" w:hAnsi="Arial Narrow"/>
              </w:rPr>
              <w:t>. FR SR – úrad)</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bCs/>
                <w:sz w:val="20"/>
                <w:szCs w:val="20"/>
              </w:rPr>
            </w:pPr>
            <w:r w:rsidRPr="00B10210">
              <w:rPr>
                <w:bCs/>
                <w:sz w:val="20"/>
                <w:szCs w:val="20"/>
              </w:rPr>
              <w:t>220 704,00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sz w:val="20"/>
                <w:szCs w:val="20"/>
              </w:rPr>
            </w:pPr>
            <w:r w:rsidRPr="00B10210">
              <w:rPr>
                <w:sz w:val="20"/>
                <w:szCs w:val="20"/>
              </w:rPr>
              <w:t>102 828,00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sz w:val="20"/>
                <w:szCs w:val="20"/>
              </w:rPr>
            </w:pPr>
            <w:r w:rsidRPr="00B10210">
              <w:rPr>
                <w:sz w:val="20"/>
                <w:szCs w:val="20"/>
              </w:rPr>
              <w:t>0,00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sz w:val="20"/>
                <w:szCs w:val="20"/>
              </w:rPr>
            </w:pPr>
            <w:r w:rsidRPr="00B10210">
              <w:rPr>
                <w:sz w:val="20"/>
                <w:szCs w:val="20"/>
              </w:rPr>
              <w:t>0,00</w:t>
            </w:r>
          </w:p>
        </w:tc>
      </w:tr>
      <w:tr w:rsidR="00534FA2" w:rsidRPr="00B10210" w:rsidTr="00FC66D4">
        <w:trPr>
          <w:trHeight w:val="70"/>
          <w:jc w:val="center"/>
        </w:trPr>
        <w:tc>
          <w:tcPr>
            <w:tcW w:w="46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rPr>
                <w:rFonts w:ascii="Arial Narrow" w:hAnsi="Arial Narrow"/>
                <w:b/>
                <w:bCs/>
                <w:i/>
                <w:iCs/>
              </w:rPr>
            </w:pPr>
            <w:r w:rsidRPr="00B10210">
              <w:rPr>
                <w:rFonts w:ascii="Arial Narrow" w:hAnsi="Arial Narrow"/>
                <w:b/>
                <w:bCs/>
                <w:i/>
                <w:iCs/>
              </w:rPr>
              <w:t xml:space="preserve">z toho: </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534FA2" w:rsidRPr="00B10210" w:rsidRDefault="00534FA2" w:rsidP="00FC66D4">
            <w:pPr>
              <w:jc w:val="right"/>
              <w:rPr>
                <w:b/>
                <w:bCs/>
                <w:sz w:val="20"/>
                <w:szCs w:val="20"/>
              </w:rPr>
            </w:pP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534FA2" w:rsidRPr="00B10210" w:rsidRDefault="00534FA2" w:rsidP="00FC66D4">
            <w:pPr>
              <w:jc w:val="right"/>
              <w:rPr>
                <w:b/>
                <w:bCs/>
                <w:sz w:val="20"/>
                <w:szCs w:val="20"/>
              </w:rPr>
            </w:pP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534FA2" w:rsidRPr="00B10210" w:rsidRDefault="00534FA2" w:rsidP="00FC66D4">
            <w:pPr>
              <w:jc w:val="right"/>
              <w:rPr>
                <w:b/>
                <w:bCs/>
                <w:sz w:val="20"/>
                <w:szCs w:val="20"/>
              </w:rPr>
            </w:pP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534FA2" w:rsidRPr="00B10210" w:rsidRDefault="00534FA2" w:rsidP="00FC66D4">
            <w:pPr>
              <w:jc w:val="right"/>
              <w:rPr>
                <w:b/>
                <w:bCs/>
                <w:sz w:val="20"/>
                <w:szCs w:val="20"/>
              </w:rPr>
            </w:pPr>
          </w:p>
        </w:tc>
      </w:tr>
      <w:tr w:rsidR="00534FA2" w:rsidRPr="00B10210" w:rsidTr="00FC66D4">
        <w:trPr>
          <w:trHeight w:val="70"/>
          <w:jc w:val="center"/>
        </w:trPr>
        <w:tc>
          <w:tcPr>
            <w:tcW w:w="46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rPr>
                <w:rFonts w:ascii="Arial Narrow" w:hAnsi="Arial Narrow"/>
                <w:b/>
                <w:bCs/>
                <w:i/>
                <w:iCs/>
              </w:rPr>
            </w:pPr>
            <w:r w:rsidRPr="00B10210">
              <w:rPr>
                <w:rFonts w:ascii="Arial Narrow" w:hAnsi="Arial Narrow"/>
                <w:b/>
                <w:bCs/>
                <w:i/>
                <w:iCs/>
              </w:rPr>
              <w:t>- vplyv na ŠR</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b/>
                <w:bCs/>
                <w:sz w:val="20"/>
                <w:szCs w:val="20"/>
              </w:rPr>
            </w:pPr>
            <w:r w:rsidRPr="00B10210">
              <w:rPr>
                <w:b/>
                <w:bCs/>
                <w:sz w:val="20"/>
                <w:szCs w:val="20"/>
              </w:rPr>
              <w:t>326 040,00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b/>
                <w:bCs/>
                <w:sz w:val="20"/>
                <w:szCs w:val="20"/>
              </w:rPr>
            </w:pPr>
            <w:r w:rsidRPr="00B10210">
              <w:rPr>
                <w:b/>
                <w:sz w:val="20"/>
                <w:szCs w:val="20"/>
              </w:rPr>
              <w:t>102 828,00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b/>
                <w:bCs/>
                <w:sz w:val="20"/>
                <w:szCs w:val="20"/>
              </w:rPr>
            </w:pPr>
            <w:r w:rsidRPr="00B10210">
              <w:rPr>
                <w:b/>
                <w:bCs/>
                <w:sz w:val="20"/>
                <w:szCs w:val="20"/>
              </w:rPr>
              <w:t>0,00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b/>
                <w:bCs/>
                <w:sz w:val="20"/>
                <w:szCs w:val="20"/>
              </w:rPr>
            </w:pPr>
            <w:r w:rsidRPr="00B10210">
              <w:rPr>
                <w:b/>
                <w:bCs/>
                <w:sz w:val="20"/>
                <w:szCs w:val="20"/>
              </w:rPr>
              <w:t>0,00</w:t>
            </w:r>
          </w:p>
        </w:tc>
      </w:tr>
      <w:tr w:rsidR="00534FA2" w:rsidRPr="00B10210" w:rsidTr="00FC66D4">
        <w:trPr>
          <w:trHeight w:val="70"/>
          <w:jc w:val="center"/>
        </w:trPr>
        <w:tc>
          <w:tcPr>
            <w:tcW w:w="46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rPr>
                <w:rFonts w:ascii="Arial Narrow" w:hAnsi="Arial Narrow"/>
                <w:b/>
                <w:bCs/>
                <w:i/>
                <w:iCs/>
              </w:rPr>
            </w:pPr>
            <w:r w:rsidRPr="00B10210">
              <w:rPr>
                <w:rFonts w:ascii="Arial Narrow" w:hAnsi="Arial Narrow"/>
                <w:i/>
                <w:iCs/>
              </w:rPr>
              <w:t>    Rozpočtové prostriedky</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bCs/>
                <w:sz w:val="20"/>
                <w:szCs w:val="20"/>
              </w:rPr>
            </w:pPr>
            <w:r w:rsidRPr="00B10210">
              <w:rPr>
                <w:bCs/>
                <w:sz w:val="20"/>
                <w:szCs w:val="20"/>
              </w:rPr>
              <w:t>326 040,00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bCs/>
                <w:sz w:val="20"/>
                <w:szCs w:val="20"/>
              </w:rPr>
            </w:pPr>
            <w:r w:rsidRPr="00B10210">
              <w:rPr>
                <w:sz w:val="20"/>
                <w:szCs w:val="20"/>
              </w:rPr>
              <w:t>102 828,00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bCs/>
                <w:sz w:val="20"/>
                <w:szCs w:val="20"/>
              </w:rPr>
            </w:pPr>
            <w:r w:rsidRPr="00B10210">
              <w:rPr>
                <w:bCs/>
                <w:sz w:val="20"/>
                <w:szCs w:val="20"/>
              </w:rPr>
              <w:t>0,00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b/>
                <w:bCs/>
                <w:sz w:val="20"/>
                <w:szCs w:val="20"/>
              </w:rPr>
            </w:pPr>
            <w:r w:rsidRPr="00B10210">
              <w:rPr>
                <w:bCs/>
                <w:sz w:val="20"/>
                <w:szCs w:val="20"/>
              </w:rPr>
              <w:t>0,00</w:t>
            </w:r>
          </w:p>
        </w:tc>
      </w:tr>
      <w:tr w:rsidR="00534FA2" w:rsidRPr="00B10210" w:rsidTr="00FC66D4">
        <w:trPr>
          <w:trHeight w:val="70"/>
          <w:jc w:val="center"/>
        </w:trPr>
        <w:tc>
          <w:tcPr>
            <w:tcW w:w="46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rPr>
                <w:rFonts w:ascii="Arial Narrow" w:hAnsi="Arial Narrow"/>
                <w:i/>
                <w:iCs/>
              </w:rPr>
            </w:pPr>
            <w:r w:rsidRPr="00B10210">
              <w:rPr>
                <w:rFonts w:ascii="Arial Narrow" w:hAnsi="Arial Narrow"/>
                <w:i/>
                <w:iCs/>
              </w:rPr>
              <w:t>    EÚ zdroje</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sz w:val="20"/>
                <w:szCs w:val="20"/>
              </w:rPr>
            </w:pPr>
            <w:r w:rsidRPr="00B10210">
              <w:rPr>
                <w:bCs/>
                <w:sz w:val="20"/>
                <w:szCs w:val="20"/>
              </w:rPr>
              <w:t>0,00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b/>
                <w:bCs/>
                <w:sz w:val="20"/>
                <w:szCs w:val="20"/>
              </w:rPr>
            </w:pPr>
            <w:r w:rsidRPr="00B10210">
              <w:rPr>
                <w:bCs/>
                <w:sz w:val="20"/>
                <w:szCs w:val="20"/>
              </w:rPr>
              <w:t>0,00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b/>
                <w:bCs/>
                <w:sz w:val="20"/>
                <w:szCs w:val="20"/>
              </w:rPr>
            </w:pPr>
            <w:r w:rsidRPr="00B10210">
              <w:rPr>
                <w:bCs/>
                <w:sz w:val="20"/>
                <w:szCs w:val="20"/>
              </w:rPr>
              <w:t>0,00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b/>
                <w:bCs/>
                <w:sz w:val="20"/>
                <w:szCs w:val="20"/>
              </w:rPr>
            </w:pPr>
            <w:r w:rsidRPr="00B10210">
              <w:rPr>
                <w:bCs/>
                <w:sz w:val="20"/>
                <w:szCs w:val="20"/>
              </w:rPr>
              <w:t>0,00</w:t>
            </w:r>
          </w:p>
        </w:tc>
      </w:tr>
      <w:tr w:rsidR="00534FA2" w:rsidRPr="00B10210" w:rsidTr="00FC66D4">
        <w:trPr>
          <w:trHeight w:val="70"/>
          <w:jc w:val="center"/>
        </w:trPr>
        <w:tc>
          <w:tcPr>
            <w:tcW w:w="46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rPr>
                <w:rFonts w:ascii="Arial Narrow" w:hAnsi="Arial Narrow"/>
                <w:i/>
                <w:iCs/>
              </w:rPr>
            </w:pPr>
            <w:r w:rsidRPr="00B10210">
              <w:rPr>
                <w:rFonts w:ascii="Arial Narrow" w:hAnsi="Arial Narrow"/>
                <w:i/>
                <w:iCs/>
              </w:rPr>
              <w:t>    spolufinancovanie</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sz w:val="20"/>
                <w:szCs w:val="20"/>
              </w:rPr>
            </w:pPr>
            <w:r w:rsidRPr="00B10210">
              <w:rPr>
                <w:bCs/>
                <w:sz w:val="20"/>
                <w:szCs w:val="20"/>
              </w:rPr>
              <w:t>0,00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b/>
                <w:bCs/>
                <w:sz w:val="20"/>
                <w:szCs w:val="20"/>
              </w:rPr>
            </w:pPr>
            <w:r w:rsidRPr="00B10210">
              <w:rPr>
                <w:bCs/>
                <w:sz w:val="20"/>
                <w:szCs w:val="20"/>
              </w:rPr>
              <w:t>0,00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b/>
                <w:bCs/>
                <w:sz w:val="20"/>
                <w:szCs w:val="20"/>
              </w:rPr>
            </w:pPr>
            <w:r w:rsidRPr="00B10210">
              <w:rPr>
                <w:bCs/>
                <w:sz w:val="20"/>
                <w:szCs w:val="20"/>
              </w:rPr>
              <w:t>0,00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b/>
                <w:bCs/>
                <w:sz w:val="20"/>
                <w:szCs w:val="20"/>
              </w:rPr>
            </w:pPr>
            <w:r w:rsidRPr="00B10210">
              <w:rPr>
                <w:bCs/>
                <w:sz w:val="20"/>
                <w:szCs w:val="20"/>
              </w:rPr>
              <w:t>0,00</w:t>
            </w:r>
          </w:p>
        </w:tc>
      </w:tr>
      <w:tr w:rsidR="00534FA2" w:rsidRPr="00B10210" w:rsidTr="00FC66D4">
        <w:trPr>
          <w:trHeight w:val="125"/>
          <w:jc w:val="center"/>
        </w:trPr>
        <w:tc>
          <w:tcPr>
            <w:tcW w:w="46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rPr>
                <w:rFonts w:ascii="Arial Narrow" w:hAnsi="Arial Narrow"/>
                <w:b/>
                <w:bCs/>
                <w:i/>
                <w:iCs/>
              </w:rPr>
            </w:pPr>
            <w:r w:rsidRPr="00B10210">
              <w:rPr>
                <w:rFonts w:ascii="Arial Narrow" w:hAnsi="Arial Narrow"/>
                <w:b/>
                <w:bCs/>
                <w:i/>
                <w:iCs/>
              </w:rPr>
              <w:t>- vplyv na obce</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b/>
                <w:bCs/>
                <w:sz w:val="20"/>
                <w:szCs w:val="20"/>
              </w:rPr>
            </w:pPr>
            <w:r w:rsidRPr="00B10210">
              <w:rPr>
                <w:b/>
                <w:bCs/>
                <w:sz w:val="20"/>
                <w:szCs w:val="20"/>
              </w:rPr>
              <w:t>0,00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b/>
                <w:bCs/>
                <w:sz w:val="20"/>
                <w:szCs w:val="20"/>
              </w:rPr>
            </w:pPr>
            <w:r w:rsidRPr="00B10210">
              <w:rPr>
                <w:b/>
                <w:bCs/>
                <w:sz w:val="20"/>
                <w:szCs w:val="20"/>
              </w:rPr>
              <w:t>0,00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b/>
                <w:bCs/>
                <w:sz w:val="20"/>
                <w:szCs w:val="20"/>
              </w:rPr>
            </w:pPr>
            <w:r w:rsidRPr="00B10210">
              <w:rPr>
                <w:b/>
                <w:bCs/>
                <w:sz w:val="20"/>
                <w:szCs w:val="20"/>
              </w:rPr>
              <w:t>0,00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b/>
                <w:bCs/>
                <w:sz w:val="20"/>
                <w:szCs w:val="20"/>
              </w:rPr>
            </w:pPr>
            <w:r w:rsidRPr="00B10210">
              <w:rPr>
                <w:b/>
                <w:bCs/>
                <w:sz w:val="20"/>
                <w:szCs w:val="20"/>
              </w:rPr>
              <w:t>0,00</w:t>
            </w:r>
          </w:p>
        </w:tc>
      </w:tr>
      <w:tr w:rsidR="00534FA2" w:rsidRPr="00B10210" w:rsidTr="00FC66D4">
        <w:trPr>
          <w:trHeight w:val="125"/>
          <w:jc w:val="center"/>
        </w:trPr>
        <w:tc>
          <w:tcPr>
            <w:tcW w:w="46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rPr>
                <w:rFonts w:ascii="Arial Narrow" w:hAnsi="Arial Narrow"/>
                <w:b/>
                <w:bCs/>
                <w:i/>
                <w:iCs/>
              </w:rPr>
            </w:pPr>
            <w:r w:rsidRPr="00B10210">
              <w:rPr>
                <w:rFonts w:ascii="Arial Narrow" w:hAnsi="Arial Narrow"/>
                <w:b/>
                <w:bCs/>
                <w:i/>
                <w:iCs/>
              </w:rPr>
              <w:t>- vplyv na vyššie územné celky</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b/>
                <w:bCs/>
                <w:sz w:val="20"/>
                <w:szCs w:val="20"/>
              </w:rPr>
            </w:pPr>
            <w:r w:rsidRPr="00B10210">
              <w:rPr>
                <w:b/>
                <w:bCs/>
                <w:sz w:val="20"/>
                <w:szCs w:val="20"/>
              </w:rPr>
              <w:t>0,00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b/>
                <w:bCs/>
                <w:sz w:val="20"/>
                <w:szCs w:val="20"/>
              </w:rPr>
            </w:pPr>
            <w:r w:rsidRPr="00B10210">
              <w:rPr>
                <w:b/>
                <w:bCs/>
                <w:sz w:val="20"/>
                <w:szCs w:val="20"/>
              </w:rPr>
              <w:t>0,00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b/>
                <w:bCs/>
                <w:sz w:val="20"/>
                <w:szCs w:val="20"/>
              </w:rPr>
            </w:pPr>
            <w:r w:rsidRPr="00B10210">
              <w:rPr>
                <w:b/>
                <w:bCs/>
                <w:sz w:val="20"/>
                <w:szCs w:val="20"/>
              </w:rPr>
              <w:t>0,00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b/>
                <w:bCs/>
                <w:sz w:val="20"/>
                <w:szCs w:val="20"/>
              </w:rPr>
            </w:pPr>
            <w:r w:rsidRPr="00B10210">
              <w:rPr>
                <w:b/>
                <w:bCs/>
                <w:sz w:val="20"/>
                <w:szCs w:val="20"/>
              </w:rPr>
              <w:t>0,00</w:t>
            </w:r>
          </w:p>
        </w:tc>
      </w:tr>
      <w:tr w:rsidR="00534FA2" w:rsidRPr="00B10210" w:rsidTr="00FC66D4">
        <w:trPr>
          <w:trHeight w:val="70"/>
          <w:jc w:val="center"/>
        </w:trPr>
        <w:tc>
          <w:tcPr>
            <w:tcW w:w="46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rPr>
                <w:rFonts w:ascii="Arial Narrow" w:hAnsi="Arial Narrow"/>
                <w:b/>
                <w:bCs/>
              </w:rPr>
            </w:pPr>
            <w:r w:rsidRPr="00B10210">
              <w:rPr>
                <w:rFonts w:ascii="Arial Narrow" w:hAnsi="Arial Narrow"/>
                <w:b/>
                <w:bCs/>
                <w:i/>
                <w:iCs/>
              </w:rPr>
              <w:t>- vplyv na ostatné subjekty verejnej správy</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b/>
                <w:bCs/>
                <w:sz w:val="20"/>
                <w:szCs w:val="20"/>
              </w:rPr>
            </w:pPr>
            <w:r w:rsidRPr="00B10210">
              <w:rPr>
                <w:b/>
                <w:bCs/>
                <w:sz w:val="20"/>
                <w:szCs w:val="20"/>
              </w:rPr>
              <w:t>0,00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b/>
                <w:bCs/>
                <w:sz w:val="20"/>
                <w:szCs w:val="20"/>
              </w:rPr>
            </w:pPr>
            <w:r w:rsidRPr="00B10210">
              <w:rPr>
                <w:b/>
                <w:bCs/>
                <w:sz w:val="20"/>
                <w:szCs w:val="20"/>
              </w:rPr>
              <w:t>0,00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b/>
                <w:bCs/>
                <w:sz w:val="20"/>
                <w:szCs w:val="20"/>
              </w:rPr>
            </w:pPr>
            <w:r w:rsidRPr="00B10210">
              <w:rPr>
                <w:b/>
                <w:bCs/>
                <w:sz w:val="20"/>
                <w:szCs w:val="20"/>
              </w:rPr>
              <w:t>0,00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b/>
                <w:bCs/>
                <w:sz w:val="20"/>
                <w:szCs w:val="20"/>
              </w:rPr>
            </w:pPr>
            <w:r w:rsidRPr="00B10210">
              <w:rPr>
                <w:b/>
                <w:bCs/>
                <w:sz w:val="20"/>
                <w:szCs w:val="20"/>
              </w:rPr>
              <w:t>0,00</w:t>
            </w:r>
          </w:p>
        </w:tc>
      </w:tr>
      <w:tr w:rsidR="00534FA2" w:rsidRPr="00B10210" w:rsidTr="00FC66D4">
        <w:trPr>
          <w:trHeight w:val="70"/>
          <w:jc w:val="center"/>
        </w:trPr>
        <w:tc>
          <w:tcPr>
            <w:tcW w:w="4661" w:type="dxa"/>
            <w:tcBorders>
              <w:top w:val="nil"/>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534FA2" w:rsidRPr="00B10210" w:rsidRDefault="00534FA2" w:rsidP="00FC66D4">
            <w:pPr>
              <w:rPr>
                <w:rFonts w:ascii="Arial Narrow" w:hAnsi="Arial Narrow"/>
                <w:b/>
                <w:bCs/>
              </w:rPr>
            </w:pPr>
            <w:r w:rsidRPr="00B10210">
              <w:rPr>
                <w:rFonts w:ascii="Arial Narrow" w:hAnsi="Arial Narrow"/>
                <w:b/>
                <w:bCs/>
              </w:rPr>
              <w:t xml:space="preserve">Vplyv na počet zamestnancov </w:t>
            </w:r>
          </w:p>
        </w:tc>
        <w:tc>
          <w:tcPr>
            <w:tcW w:w="1267"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534FA2" w:rsidRPr="00B10210" w:rsidRDefault="00534FA2" w:rsidP="00FC66D4">
            <w:pPr>
              <w:jc w:val="right"/>
              <w:rPr>
                <w:b/>
                <w:bCs/>
                <w:sz w:val="20"/>
                <w:szCs w:val="20"/>
              </w:rPr>
            </w:pPr>
            <w:r w:rsidRPr="00B10210">
              <w:rPr>
                <w:b/>
                <w:bCs/>
                <w:sz w:val="20"/>
                <w:szCs w:val="20"/>
              </w:rPr>
              <w:t>0</w:t>
            </w:r>
          </w:p>
        </w:tc>
        <w:tc>
          <w:tcPr>
            <w:tcW w:w="1267"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534FA2" w:rsidRPr="00B10210" w:rsidRDefault="00534FA2" w:rsidP="00FC66D4">
            <w:pPr>
              <w:jc w:val="right"/>
              <w:rPr>
                <w:b/>
                <w:bCs/>
                <w:sz w:val="20"/>
                <w:szCs w:val="20"/>
              </w:rPr>
            </w:pPr>
            <w:r w:rsidRPr="00B10210">
              <w:rPr>
                <w:b/>
                <w:bCs/>
                <w:sz w:val="20"/>
                <w:szCs w:val="20"/>
              </w:rPr>
              <w:t>0</w:t>
            </w:r>
          </w:p>
        </w:tc>
        <w:tc>
          <w:tcPr>
            <w:tcW w:w="1267"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534FA2" w:rsidRPr="00B10210" w:rsidRDefault="00534FA2" w:rsidP="00FC66D4">
            <w:pPr>
              <w:jc w:val="right"/>
              <w:rPr>
                <w:b/>
                <w:bCs/>
                <w:sz w:val="20"/>
                <w:szCs w:val="20"/>
              </w:rPr>
            </w:pPr>
            <w:r w:rsidRPr="00B10210">
              <w:rPr>
                <w:b/>
                <w:bCs/>
                <w:sz w:val="20"/>
                <w:szCs w:val="20"/>
              </w:rPr>
              <w:t>0</w:t>
            </w:r>
          </w:p>
        </w:tc>
        <w:tc>
          <w:tcPr>
            <w:tcW w:w="1267"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534FA2" w:rsidRPr="00B10210" w:rsidRDefault="00534FA2" w:rsidP="00FC66D4">
            <w:pPr>
              <w:jc w:val="right"/>
              <w:rPr>
                <w:b/>
                <w:bCs/>
                <w:sz w:val="20"/>
                <w:szCs w:val="20"/>
              </w:rPr>
            </w:pPr>
            <w:r w:rsidRPr="00B10210">
              <w:rPr>
                <w:b/>
                <w:bCs/>
                <w:sz w:val="20"/>
                <w:szCs w:val="20"/>
              </w:rPr>
              <w:t>0</w:t>
            </w:r>
          </w:p>
        </w:tc>
      </w:tr>
      <w:tr w:rsidR="00534FA2" w:rsidRPr="00B10210" w:rsidTr="00FC66D4">
        <w:trPr>
          <w:trHeight w:val="70"/>
          <w:jc w:val="center"/>
        </w:trPr>
        <w:tc>
          <w:tcPr>
            <w:tcW w:w="46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rPr>
                <w:rFonts w:ascii="Arial Narrow" w:hAnsi="Arial Narrow"/>
                <w:b/>
                <w:bCs/>
                <w:i/>
                <w:iCs/>
              </w:rPr>
            </w:pPr>
            <w:r w:rsidRPr="00B10210">
              <w:rPr>
                <w:rFonts w:ascii="Arial Narrow" w:hAnsi="Arial Narrow"/>
                <w:b/>
                <w:bCs/>
                <w:i/>
                <w:iCs/>
              </w:rPr>
              <w:t>- vplyv na ŠR</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bCs/>
                <w:sz w:val="20"/>
                <w:szCs w:val="20"/>
              </w:rPr>
            </w:pPr>
            <w:r w:rsidRPr="00B10210">
              <w:rPr>
                <w:bCs/>
                <w:sz w:val="20"/>
                <w:szCs w:val="20"/>
              </w:rPr>
              <w:t>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bCs/>
                <w:sz w:val="20"/>
                <w:szCs w:val="20"/>
              </w:rPr>
            </w:pPr>
            <w:r w:rsidRPr="00B10210">
              <w:rPr>
                <w:bCs/>
                <w:sz w:val="20"/>
                <w:szCs w:val="20"/>
              </w:rPr>
              <w:t>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bCs/>
                <w:sz w:val="20"/>
                <w:szCs w:val="20"/>
              </w:rPr>
            </w:pPr>
            <w:r w:rsidRPr="00B10210">
              <w:rPr>
                <w:bCs/>
                <w:sz w:val="20"/>
                <w:szCs w:val="20"/>
              </w:rPr>
              <w:t>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bCs/>
                <w:sz w:val="20"/>
                <w:szCs w:val="20"/>
              </w:rPr>
            </w:pPr>
            <w:r w:rsidRPr="00B10210">
              <w:rPr>
                <w:bCs/>
                <w:sz w:val="20"/>
                <w:szCs w:val="20"/>
              </w:rPr>
              <w:t>0</w:t>
            </w:r>
          </w:p>
        </w:tc>
      </w:tr>
      <w:tr w:rsidR="00534FA2" w:rsidRPr="00B10210" w:rsidTr="00FC66D4">
        <w:trPr>
          <w:trHeight w:val="70"/>
          <w:jc w:val="center"/>
        </w:trPr>
        <w:tc>
          <w:tcPr>
            <w:tcW w:w="46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rPr>
                <w:rFonts w:ascii="Arial Narrow" w:hAnsi="Arial Narrow"/>
                <w:b/>
                <w:bCs/>
                <w:i/>
                <w:iCs/>
              </w:rPr>
            </w:pPr>
            <w:r w:rsidRPr="00B10210">
              <w:rPr>
                <w:rFonts w:ascii="Arial Narrow" w:hAnsi="Arial Narrow"/>
                <w:b/>
                <w:bCs/>
                <w:i/>
                <w:iCs/>
              </w:rPr>
              <w:t>- vplyv na obce</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bCs/>
                <w:sz w:val="20"/>
                <w:szCs w:val="20"/>
              </w:rPr>
            </w:pPr>
            <w:r w:rsidRPr="00B10210">
              <w:rPr>
                <w:bCs/>
                <w:sz w:val="20"/>
                <w:szCs w:val="20"/>
              </w:rPr>
              <w:t>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bCs/>
                <w:sz w:val="20"/>
                <w:szCs w:val="20"/>
              </w:rPr>
            </w:pPr>
            <w:r w:rsidRPr="00B10210">
              <w:rPr>
                <w:bCs/>
                <w:sz w:val="20"/>
                <w:szCs w:val="20"/>
              </w:rPr>
              <w:t>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bCs/>
                <w:sz w:val="20"/>
                <w:szCs w:val="20"/>
              </w:rPr>
            </w:pPr>
            <w:r w:rsidRPr="00B10210">
              <w:rPr>
                <w:bCs/>
                <w:sz w:val="20"/>
                <w:szCs w:val="20"/>
              </w:rPr>
              <w:t>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bCs/>
                <w:sz w:val="20"/>
                <w:szCs w:val="20"/>
              </w:rPr>
            </w:pPr>
            <w:r w:rsidRPr="00B10210">
              <w:rPr>
                <w:bCs/>
                <w:sz w:val="20"/>
                <w:szCs w:val="20"/>
              </w:rPr>
              <w:t>0</w:t>
            </w:r>
          </w:p>
        </w:tc>
      </w:tr>
      <w:tr w:rsidR="00534FA2" w:rsidRPr="00B10210" w:rsidTr="00FC66D4">
        <w:trPr>
          <w:trHeight w:val="70"/>
          <w:jc w:val="center"/>
        </w:trPr>
        <w:tc>
          <w:tcPr>
            <w:tcW w:w="46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rPr>
                <w:rFonts w:ascii="Arial Narrow" w:hAnsi="Arial Narrow"/>
                <w:b/>
                <w:bCs/>
                <w:i/>
                <w:iCs/>
              </w:rPr>
            </w:pPr>
            <w:r w:rsidRPr="00B10210">
              <w:rPr>
                <w:rFonts w:ascii="Arial Narrow" w:hAnsi="Arial Narrow"/>
                <w:b/>
                <w:bCs/>
                <w:i/>
                <w:iCs/>
              </w:rPr>
              <w:t>- vplyv na vyššie územné celky</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bCs/>
                <w:sz w:val="20"/>
                <w:szCs w:val="20"/>
              </w:rPr>
            </w:pPr>
            <w:r w:rsidRPr="00B10210">
              <w:rPr>
                <w:bCs/>
                <w:sz w:val="20"/>
                <w:szCs w:val="20"/>
              </w:rPr>
              <w:t>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bCs/>
                <w:sz w:val="20"/>
                <w:szCs w:val="20"/>
              </w:rPr>
            </w:pPr>
            <w:r w:rsidRPr="00B10210">
              <w:rPr>
                <w:bCs/>
                <w:sz w:val="20"/>
                <w:szCs w:val="20"/>
              </w:rPr>
              <w:t>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bCs/>
                <w:sz w:val="20"/>
                <w:szCs w:val="20"/>
              </w:rPr>
            </w:pPr>
            <w:r w:rsidRPr="00B10210">
              <w:rPr>
                <w:bCs/>
                <w:sz w:val="20"/>
                <w:szCs w:val="20"/>
              </w:rPr>
              <w:t>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bCs/>
                <w:sz w:val="20"/>
                <w:szCs w:val="20"/>
              </w:rPr>
            </w:pPr>
            <w:r w:rsidRPr="00B10210">
              <w:rPr>
                <w:bCs/>
                <w:sz w:val="20"/>
                <w:szCs w:val="20"/>
              </w:rPr>
              <w:t>0</w:t>
            </w:r>
          </w:p>
        </w:tc>
      </w:tr>
      <w:tr w:rsidR="00534FA2" w:rsidRPr="00B10210" w:rsidTr="00FC66D4">
        <w:trPr>
          <w:trHeight w:val="70"/>
          <w:jc w:val="center"/>
        </w:trPr>
        <w:tc>
          <w:tcPr>
            <w:tcW w:w="46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rPr>
                <w:rFonts w:ascii="Arial Narrow" w:hAnsi="Arial Narrow"/>
                <w:b/>
                <w:bCs/>
                <w:i/>
                <w:iCs/>
              </w:rPr>
            </w:pPr>
            <w:r w:rsidRPr="00B10210">
              <w:rPr>
                <w:rFonts w:ascii="Arial Narrow" w:hAnsi="Arial Narrow"/>
                <w:b/>
                <w:bCs/>
                <w:i/>
                <w:iCs/>
              </w:rPr>
              <w:t>- vplyv na ostatné subjekty verejnej správy</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bCs/>
                <w:sz w:val="20"/>
                <w:szCs w:val="20"/>
              </w:rPr>
            </w:pPr>
            <w:r w:rsidRPr="00B10210">
              <w:rPr>
                <w:bCs/>
                <w:sz w:val="20"/>
                <w:szCs w:val="20"/>
              </w:rPr>
              <w:t>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bCs/>
                <w:sz w:val="20"/>
                <w:szCs w:val="20"/>
              </w:rPr>
            </w:pPr>
            <w:r w:rsidRPr="00B10210">
              <w:rPr>
                <w:bCs/>
                <w:sz w:val="20"/>
                <w:szCs w:val="20"/>
              </w:rPr>
              <w:t>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bCs/>
                <w:sz w:val="20"/>
                <w:szCs w:val="20"/>
              </w:rPr>
            </w:pPr>
            <w:r w:rsidRPr="00B10210">
              <w:rPr>
                <w:bCs/>
                <w:sz w:val="20"/>
                <w:szCs w:val="20"/>
              </w:rPr>
              <w:t>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bCs/>
                <w:sz w:val="20"/>
                <w:szCs w:val="20"/>
              </w:rPr>
            </w:pPr>
            <w:r w:rsidRPr="00B10210">
              <w:rPr>
                <w:bCs/>
                <w:sz w:val="20"/>
                <w:szCs w:val="20"/>
              </w:rPr>
              <w:t>0</w:t>
            </w:r>
          </w:p>
        </w:tc>
      </w:tr>
      <w:tr w:rsidR="00534FA2" w:rsidRPr="00B10210" w:rsidTr="00FC66D4">
        <w:trPr>
          <w:trHeight w:val="70"/>
          <w:jc w:val="center"/>
        </w:trPr>
        <w:tc>
          <w:tcPr>
            <w:tcW w:w="4661" w:type="dxa"/>
            <w:tcBorders>
              <w:top w:val="nil"/>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534FA2" w:rsidRPr="00B10210" w:rsidRDefault="00534FA2" w:rsidP="00FC66D4">
            <w:pPr>
              <w:rPr>
                <w:rFonts w:ascii="Arial Narrow" w:hAnsi="Arial Narrow"/>
                <w:b/>
                <w:bCs/>
              </w:rPr>
            </w:pPr>
            <w:r w:rsidRPr="00B10210">
              <w:rPr>
                <w:rFonts w:ascii="Arial Narrow" w:hAnsi="Arial Narrow"/>
                <w:b/>
                <w:bCs/>
              </w:rPr>
              <w:t>Vplyv na mzdové výdavky</w:t>
            </w:r>
          </w:p>
        </w:tc>
        <w:tc>
          <w:tcPr>
            <w:tcW w:w="1267"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534FA2" w:rsidRPr="00B10210" w:rsidRDefault="00534FA2" w:rsidP="00FC66D4">
            <w:pPr>
              <w:jc w:val="right"/>
              <w:rPr>
                <w:b/>
                <w:bCs/>
                <w:sz w:val="20"/>
                <w:szCs w:val="20"/>
              </w:rPr>
            </w:pPr>
            <w:r w:rsidRPr="00B10210">
              <w:rPr>
                <w:b/>
                <w:bCs/>
                <w:sz w:val="20"/>
                <w:szCs w:val="20"/>
              </w:rPr>
              <w:t>0,00</w:t>
            </w:r>
          </w:p>
        </w:tc>
        <w:tc>
          <w:tcPr>
            <w:tcW w:w="1267"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534FA2" w:rsidRPr="00B10210" w:rsidRDefault="00534FA2" w:rsidP="00FC66D4">
            <w:pPr>
              <w:jc w:val="right"/>
              <w:rPr>
                <w:b/>
                <w:bCs/>
                <w:sz w:val="20"/>
                <w:szCs w:val="20"/>
              </w:rPr>
            </w:pPr>
            <w:r w:rsidRPr="00B10210">
              <w:rPr>
                <w:b/>
                <w:bCs/>
                <w:sz w:val="20"/>
                <w:szCs w:val="20"/>
              </w:rPr>
              <w:t>0,00</w:t>
            </w:r>
          </w:p>
        </w:tc>
        <w:tc>
          <w:tcPr>
            <w:tcW w:w="1267"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534FA2" w:rsidRPr="00B10210" w:rsidRDefault="00534FA2" w:rsidP="00FC66D4">
            <w:pPr>
              <w:jc w:val="right"/>
              <w:rPr>
                <w:b/>
                <w:bCs/>
                <w:sz w:val="20"/>
                <w:szCs w:val="20"/>
              </w:rPr>
            </w:pPr>
            <w:r w:rsidRPr="00B10210">
              <w:rPr>
                <w:b/>
                <w:bCs/>
                <w:sz w:val="20"/>
                <w:szCs w:val="20"/>
              </w:rPr>
              <w:t>0,00</w:t>
            </w:r>
          </w:p>
        </w:tc>
        <w:tc>
          <w:tcPr>
            <w:tcW w:w="1267"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534FA2" w:rsidRPr="00B10210" w:rsidRDefault="00534FA2" w:rsidP="00FC66D4">
            <w:pPr>
              <w:jc w:val="right"/>
              <w:rPr>
                <w:b/>
                <w:bCs/>
                <w:sz w:val="20"/>
                <w:szCs w:val="20"/>
              </w:rPr>
            </w:pPr>
            <w:r w:rsidRPr="00B10210">
              <w:rPr>
                <w:b/>
                <w:bCs/>
                <w:sz w:val="20"/>
                <w:szCs w:val="20"/>
              </w:rPr>
              <w:t>0,00</w:t>
            </w:r>
          </w:p>
        </w:tc>
      </w:tr>
      <w:tr w:rsidR="00534FA2" w:rsidRPr="00B10210" w:rsidTr="00FC66D4">
        <w:trPr>
          <w:trHeight w:val="70"/>
          <w:jc w:val="center"/>
        </w:trPr>
        <w:tc>
          <w:tcPr>
            <w:tcW w:w="46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rPr>
                <w:rFonts w:ascii="Arial Narrow" w:hAnsi="Arial Narrow"/>
                <w:b/>
                <w:bCs/>
                <w:i/>
                <w:iCs/>
              </w:rPr>
            </w:pPr>
            <w:r w:rsidRPr="00B10210">
              <w:rPr>
                <w:rFonts w:ascii="Arial Narrow" w:hAnsi="Arial Narrow"/>
                <w:b/>
                <w:bCs/>
                <w:i/>
                <w:iCs/>
              </w:rPr>
              <w:t>- vplyv na ŠR</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b/>
                <w:bCs/>
                <w:sz w:val="20"/>
                <w:szCs w:val="20"/>
              </w:rPr>
            </w:pPr>
            <w:r w:rsidRPr="00B10210">
              <w:rPr>
                <w:bCs/>
                <w:sz w:val="20"/>
                <w:szCs w:val="20"/>
              </w:rPr>
              <w:t>0,00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b/>
                <w:bCs/>
                <w:sz w:val="20"/>
                <w:szCs w:val="20"/>
              </w:rPr>
            </w:pPr>
            <w:r w:rsidRPr="00B10210">
              <w:rPr>
                <w:bCs/>
                <w:sz w:val="20"/>
                <w:szCs w:val="20"/>
              </w:rPr>
              <w:t>0,00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b/>
                <w:bCs/>
                <w:sz w:val="20"/>
                <w:szCs w:val="20"/>
              </w:rPr>
            </w:pPr>
            <w:r w:rsidRPr="00B10210">
              <w:rPr>
                <w:bCs/>
                <w:sz w:val="20"/>
                <w:szCs w:val="20"/>
              </w:rPr>
              <w:t>0,00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b/>
                <w:bCs/>
                <w:sz w:val="20"/>
                <w:szCs w:val="20"/>
              </w:rPr>
            </w:pPr>
            <w:r w:rsidRPr="00B10210">
              <w:rPr>
                <w:bCs/>
                <w:sz w:val="20"/>
                <w:szCs w:val="20"/>
              </w:rPr>
              <w:t>0,00</w:t>
            </w:r>
          </w:p>
        </w:tc>
      </w:tr>
      <w:tr w:rsidR="00534FA2" w:rsidRPr="00B10210" w:rsidTr="00FC66D4">
        <w:trPr>
          <w:trHeight w:val="70"/>
          <w:jc w:val="center"/>
        </w:trPr>
        <w:tc>
          <w:tcPr>
            <w:tcW w:w="46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rPr>
                <w:rFonts w:ascii="Arial Narrow" w:hAnsi="Arial Narrow"/>
                <w:b/>
                <w:bCs/>
                <w:i/>
                <w:iCs/>
              </w:rPr>
            </w:pPr>
            <w:r w:rsidRPr="00B10210">
              <w:rPr>
                <w:rFonts w:ascii="Arial Narrow" w:hAnsi="Arial Narrow"/>
                <w:b/>
                <w:bCs/>
                <w:i/>
                <w:iCs/>
              </w:rPr>
              <w:t>- vplyv na obce</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b/>
                <w:bCs/>
                <w:sz w:val="20"/>
                <w:szCs w:val="20"/>
              </w:rPr>
            </w:pPr>
            <w:r w:rsidRPr="00B10210">
              <w:rPr>
                <w:bCs/>
                <w:sz w:val="20"/>
                <w:szCs w:val="20"/>
              </w:rPr>
              <w:t>0,00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b/>
                <w:bCs/>
                <w:sz w:val="20"/>
                <w:szCs w:val="20"/>
              </w:rPr>
            </w:pPr>
            <w:r w:rsidRPr="00B10210">
              <w:rPr>
                <w:bCs/>
                <w:sz w:val="20"/>
                <w:szCs w:val="20"/>
              </w:rPr>
              <w:t>0,00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b/>
                <w:bCs/>
                <w:sz w:val="20"/>
                <w:szCs w:val="20"/>
              </w:rPr>
            </w:pPr>
            <w:r w:rsidRPr="00B10210">
              <w:rPr>
                <w:bCs/>
                <w:sz w:val="20"/>
                <w:szCs w:val="20"/>
              </w:rPr>
              <w:t>0,00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b/>
                <w:bCs/>
                <w:sz w:val="20"/>
                <w:szCs w:val="20"/>
              </w:rPr>
            </w:pPr>
            <w:r w:rsidRPr="00B10210">
              <w:rPr>
                <w:bCs/>
                <w:sz w:val="20"/>
                <w:szCs w:val="20"/>
              </w:rPr>
              <w:t>0,00</w:t>
            </w:r>
          </w:p>
        </w:tc>
      </w:tr>
      <w:tr w:rsidR="00534FA2" w:rsidRPr="00B10210" w:rsidTr="00FC66D4">
        <w:trPr>
          <w:trHeight w:val="70"/>
          <w:jc w:val="center"/>
        </w:trPr>
        <w:tc>
          <w:tcPr>
            <w:tcW w:w="46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rPr>
                <w:rFonts w:ascii="Arial Narrow" w:hAnsi="Arial Narrow"/>
                <w:b/>
                <w:bCs/>
                <w:i/>
                <w:iCs/>
              </w:rPr>
            </w:pPr>
            <w:r w:rsidRPr="00B10210">
              <w:rPr>
                <w:rFonts w:ascii="Arial Narrow" w:hAnsi="Arial Narrow"/>
                <w:b/>
                <w:bCs/>
                <w:i/>
                <w:iCs/>
              </w:rPr>
              <w:t>- vplyv na vyššie územné celky</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b/>
                <w:bCs/>
                <w:sz w:val="20"/>
                <w:szCs w:val="20"/>
              </w:rPr>
            </w:pPr>
            <w:r w:rsidRPr="00B10210">
              <w:rPr>
                <w:bCs/>
                <w:sz w:val="20"/>
                <w:szCs w:val="20"/>
              </w:rPr>
              <w:t>0,00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b/>
                <w:bCs/>
                <w:sz w:val="20"/>
                <w:szCs w:val="20"/>
              </w:rPr>
            </w:pPr>
            <w:r w:rsidRPr="00B10210">
              <w:rPr>
                <w:bCs/>
                <w:sz w:val="20"/>
                <w:szCs w:val="20"/>
              </w:rPr>
              <w:t>0,00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b/>
                <w:bCs/>
                <w:sz w:val="20"/>
                <w:szCs w:val="20"/>
              </w:rPr>
            </w:pPr>
            <w:r w:rsidRPr="00B10210">
              <w:rPr>
                <w:bCs/>
                <w:sz w:val="20"/>
                <w:szCs w:val="20"/>
              </w:rPr>
              <w:t>0,00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b/>
                <w:bCs/>
                <w:sz w:val="20"/>
                <w:szCs w:val="20"/>
              </w:rPr>
            </w:pPr>
            <w:r w:rsidRPr="00B10210">
              <w:rPr>
                <w:bCs/>
                <w:sz w:val="20"/>
                <w:szCs w:val="20"/>
              </w:rPr>
              <w:t>0,00</w:t>
            </w:r>
          </w:p>
        </w:tc>
      </w:tr>
      <w:tr w:rsidR="00534FA2" w:rsidRPr="00B10210" w:rsidTr="00FC66D4">
        <w:trPr>
          <w:trHeight w:val="70"/>
          <w:jc w:val="center"/>
        </w:trPr>
        <w:tc>
          <w:tcPr>
            <w:tcW w:w="46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rPr>
                <w:rFonts w:ascii="Arial Narrow" w:hAnsi="Arial Narrow"/>
                <w:b/>
                <w:bCs/>
              </w:rPr>
            </w:pPr>
            <w:r w:rsidRPr="00B10210">
              <w:rPr>
                <w:rFonts w:ascii="Arial Narrow" w:hAnsi="Arial Narrow"/>
                <w:b/>
                <w:bCs/>
                <w:i/>
                <w:iCs/>
              </w:rPr>
              <w:t>- vplyv na ostatné subjekty verejnej správy</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b/>
                <w:bCs/>
                <w:sz w:val="20"/>
                <w:szCs w:val="20"/>
              </w:rPr>
            </w:pPr>
            <w:r w:rsidRPr="00B10210">
              <w:rPr>
                <w:bCs/>
                <w:sz w:val="20"/>
                <w:szCs w:val="20"/>
              </w:rPr>
              <w:t>0,00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b/>
                <w:bCs/>
                <w:sz w:val="20"/>
                <w:szCs w:val="20"/>
              </w:rPr>
            </w:pPr>
            <w:r w:rsidRPr="00B10210">
              <w:rPr>
                <w:bCs/>
                <w:sz w:val="20"/>
                <w:szCs w:val="20"/>
              </w:rPr>
              <w:t>0,00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b/>
                <w:bCs/>
                <w:sz w:val="20"/>
                <w:szCs w:val="20"/>
              </w:rPr>
            </w:pPr>
            <w:r w:rsidRPr="00B10210">
              <w:rPr>
                <w:bCs/>
                <w:sz w:val="20"/>
                <w:szCs w:val="20"/>
              </w:rPr>
              <w:t>0,00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b/>
                <w:bCs/>
                <w:sz w:val="20"/>
                <w:szCs w:val="20"/>
              </w:rPr>
            </w:pPr>
            <w:r w:rsidRPr="00B10210">
              <w:rPr>
                <w:bCs/>
                <w:sz w:val="20"/>
                <w:szCs w:val="20"/>
              </w:rPr>
              <w:t>0,00</w:t>
            </w:r>
          </w:p>
        </w:tc>
      </w:tr>
      <w:tr w:rsidR="00534FA2" w:rsidRPr="00B10210" w:rsidTr="00FC66D4">
        <w:trPr>
          <w:trHeight w:val="70"/>
          <w:jc w:val="center"/>
        </w:trPr>
        <w:tc>
          <w:tcPr>
            <w:tcW w:w="4661" w:type="dxa"/>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534FA2" w:rsidRPr="00B10210" w:rsidRDefault="00534FA2" w:rsidP="00FC66D4">
            <w:pPr>
              <w:rPr>
                <w:rFonts w:ascii="Arial Narrow" w:hAnsi="Arial Narrow"/>
                <w:b/>
                <w:bCs/>
              </w:rPr>
            </w:pPr>
            <w:r w:rsidRPr="00B10210">
              <w:rPr>
                <w:rFonts w:ascii="Arial Narrow" w:hAnsi="Arial Narrow"/>
                <w:b/>
                <w:bCs/>
              </w:rPr>
              <w:t>Financovanie zabezpečené v rozpočte</w:t>
            </w:r>
          </w:p>
        </w:tc>
        <w:tc>
          <w:tcPr>
            <w:tcW w:w="1267" w:type="dxa"/>
            <w:tcBorders>
              <w:top w:val="nil"/>
              <w:left w:val="nil"/>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534FA2" w:rsidRPr="00B10210" w:rsidRDefault="00534FA2" w:rsidP="00FC66D4">
            <w:pPr>
              <w:jc w:val="right"/>
              <w:rPr>
                <w:b/>
                <w:bCs/>
                <w:sz w:val="20"/>
                <w:szCs w:val="20"/>
              </w:rPr>
            </w:pPr>
            <w:r w:rsidRPr="00B10210">
              <w:rPr>
                <w:b/>
                <w:bCs/>
                <w:sz w:val="20"/>
                <w:szCs w:val="20"/>
              </w:rPr>
              <w:t>326 040,00</w:t>
            </w:r>
          </w:p>
        </w:tc>
        <w:tc>
          <w:tcPr>
            <w:tcW w:w="1267" w:type="dxa"/>
            <w:tcBorders>
              <w:top w:val="nil"/>
              <w:left w:val="nil"/>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534FA2" w:rsidRPr="00B10210" w:rsidRDefault="00534FA2" w:rsidP="00FC66D4">
            <w:pPr>
              <w:jc w:val="right"/>
              <w:rPr>
                <w:b/>
                <w:bCs/>
                <w:sz w:val="20"/>
                <w:szCs w:val="20"/>
              </w:rPr>
            </w:pPr>
            <w:r w:rsidRPr="00B10210">
              <w:rPr>
                <w:b/>
                <w:sz w:val="20"/>
                <w:szCs w:val="20"/>
              </w:rPr>
              <w:t>102 828,00</w:t>
            </w:r>
          </w:p>
        </w:tc>
        <w:tc>
          <w:tcPr>
            <w:tcW w:w="1267" w:type="dxa"/>
            <w:tcBorders>
              <w:top w:val="nil"/>
              <w:left w:val="nil"/>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534FA2" w:rsidRPr="00B10210" w:rsidRDefault="00534FA2" w:rsidP="00FC66D4">
            <w:pPr>
              <w:jc w:val="right"/>
              <w:rPr>
                <w:b/>
                <w:bCs/>
                <w:sz w:val="20"/>
                <w:szCs w:val="20"/>
              </w:rPr>
            </w:pPr>
            <w:r w:rsidRPr="00B10210">
              <w:rPr>
                <w:b/>
                <w:bCs/>
                <w:sz w:val="20"/>
                <w:szCs w:val="20"/>
              </w:rPr>
              <w:t>0,00</w:t>
            </w:r>
          </w:p>
        </w:tc>
        <w:tc>
          <w:tcPr>
            <w:tcW w:w="1267" w:type="dxa"/>
            <w:tcBorders>
              <w:top w:val="nil"/>
              <w:left w:val="nil"/>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534FA2" w:rsidRPr="00B10210" w:rsidRDefault="00534FA2" w:rsidP="00FC66D4">
            <w:pPr>
              <w:jc w:val="right"/>
              <w:rPr>
                <w:b/>
                <w:bCs/>
                <w:sz w:val="20"/>
                <w:szCs w:val="20"/>
              </w:rPr>
            </w:pPr>
            <w:r w:rsidRPr="00B10210">
              <w:rPr>
                <w:b/>
                <w:bCs/>
                <w:sz w:val="20"/>
                <w:szCs w:val="20"/>
              </w:rPr>
              <w:t>0,00</w:t>
            </w:r>
          </w:p>
        </w:tc>
      </w:tr>
      <w:tr w:rsidR="00534FA2" w:rsidRPr="00B10210" w:rsidTr="00FC66D4">
        <w:trPr>
          <w:trHeight w:val="70"/>
          <w:jc w:val="center"/>
        </w:trPr>
        <w:tc>
          <w:tcPr>
            <w:tcW w:w="46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ind w:left="544" w:hanging="544"/>
              <w:rPr>
                <w:rFonts w:ascii="Arial Narrow" w:hAnsi="Arial Narrow"/>
              </w:rPr>
            </w:pPr>
            <w:r w:rsidRPr="00B10210">
              <w:rPr>
                <w:rFonts w:ascii="Arial Narrow" w:hAnsi="Arial Narrow"/>
              </w:rPr>
              <w:t>v tom: kapitola MF SR/0EK 0D IT financované zo ŠR – MF SR (</w:t>
            </w:r>
            <w:proofErr w:type="spellStart"/>
            <w:r w:rsidRPr="00B10210">
              <w:rPr>
                <w:rFonts w:ascii="Arial Narrow" w:hAnsi="Arial Narrow"/>
              </w:rPr>
              <w:t>org</w:t>
            </w:r>
            <w:proofErr w:type="spellEnd"/>
            <w:r w:rsidRPr="00B10210">
              <w:rPr>
                <w:rFonts w:ascii="Arial Narrow" w:hAnsi="Arial Narrow"/>
              </w:rPr>
              <w:t>. MF SR – úrad)</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sz w:val="20"/>
                <w:szCs w:val="20"/>
              </w:rPr>
            </w:pPr>
            <w:r w:rsidRPr="00B10210">
              <w:rPr>
                <w:bCs/>
                <w:sz w:val="20"/>
                <w:szCs w:val="20"/>
              </w:rPr>
              <w:t>105 336,00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sz w:val="20"/>
                <w:szCs w:val="20"/>
              </w:rPr>
            </w:pPr>
            <w:r w:rsidRPr="00B10210">
              <w:rPr>
                <w:bCs/>
                <w:sz w:val="20"/>
                <w:szCs w:val="20"/>
              </w:rPr>
              <w:t>0,00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sz w:val="20"/>
                <w:szCs w:val="20"/>
              </w:rPr>
            </w:pPr>
            <w:r w:rsidRPr="00B10210">
              <w:rPr>
                <w:bCs/>
                <w:sz w:val="20"/>
                <w:szCs w:val="20"/>
              </w:rPr>
              <w:t>0,00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sz w:val="20"/>
                <w:szCs w:val="20"/>
              </w:rPr>
            </w:pPr>
            <w:r w:rsidRPr="00B10210">
              <w:rPr>
                <w:bCs/>
                <w:sz w:val="20"/>
                <w:szCs w:val="20"/>
              </w:rPr>
              <w:t>0,00</w:t>
            </w:r>
          </w:p>
        </w:tc>
      </w:tr>
      <w:tr w:rsidR="00534FA2" w:rsidRPr="00B10210" w:rsidTr="00FC66D4">
        <w:trPr>
          <w:trHeight w:val="70"/>
          <w:jc w:val="center"/>
        </w:trPr>
        <w:tc>
          <w:tcPr>
            <w:tcW w:w="46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ind w:left="544"/>
              <w:rPr>
                <w:rFonts w:ascii="Arial Narrow" w:hAnsi="Arial Narrow"/>
              </w:rPr>
            </w:pPr>
            <w:r w:rsidRPr="00B10210">
              <w:rPr>
                <w:rFonts w:ascii="Arial Narrow" w:hAnsi="Arial Narrow"/>
              </w:rPr>
              <w:t>kapitola MF SR/0EK 0D IT financované zo ŠR – MF SR (</w:t>
            </w:r>
            <w:proofErr w:type="spellStart"/>
            <w:r w:rsidRPr="00B10210">
              <w:rPr>
                <w:rFonts w:ascii="Arial Narrow" w:hAnsi="Arial Narrow"/>
              </w:rPr>
              <w:t>org</w:t>
            </w:r>
            <w:proofErr w:type="spellEnd"/>
            <w:r w:rsidRPr="00B10210">
              <w:rPr>
                <w:rFonts w:ascii="Arial Narrow" w:hAnsi="Arial Narrow"/>
              </w:rPr>
              <w:t>. FR SR – úrad)</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sz w:val="20"/>
                <w:szCs w:val="20"/>
              </w:rPr>
            </w:pPr>
            <w:r w:rsidRPr="00B10210">
              <w:rPr>
                <w:bCs/>
                <w:sz w:val="20"/>
                <w:szCs w:val="20"/>
              </w:rPr>
              <w:t>220 704,00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sz w:val="20"/>
                <w:szCs w:val="20"/>
              </w:rPr>
            </w:pPr>
            <w:r w:rsidRPr="00B10210">
              <w:rPr>
                <w:sz w:val="20"/>
                <w:szCs w:val="20"/>
              </w:rPr>
              <w:t>102 828,00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sz w:val="20"/>
                <w:szCs w:val="20"/>
              </w:rPr>
            </w:pPr>
            <w:r w:rsidRPr="00B10210">
              <w:rPr>
                <w:bCs/>
                <w:sz w:val="20"/>
                <w:szCs w:val="20"/>
              </w:rPr>
              <w:t>0,00</w:t>
            </w:r>
          </w:p>
        </w:tc>
        <w:tc>
          <w:tcPr>
            <w:tcW w:w="12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34FA2" w:rsidRPr="00B10210" w:rsidRDefault="00534FA2" w:rsidP="00FC66D4">
            <w:pPr>
              <w:jc w:val="right"/>
              <w:rPr>
                <w:sz w:val="20"/>
                <w:szCs w:val="20"/>
              </w:rPr>
            </w:pPr>
            <w:r w:rsidRPr="00B10210">
              <w:rPr>
                <w:bCs/>
                <w:sz w:val="20"/>
                <w:szCs w:val="20"/>
              </w:rPr>
              <w:t>0,00</w:t>
            </w:r>
          </w:p>
        </w:tc>
      </w:tr>
      <w:tr w:rsidR="00534FA2" w:rsidRPr="00B10210" w:rsidTr="00FC66D4">
        <w:trPr>
          <w:trHeight w:val="70"/>
          <w:jc w:val="center"/>
        </w:trPr>
        <w:tc>
          <w:tcPr>
            <w:tcW w:w="4661" w:type="dxa"/>
            <w:tcBorders>
              <w:top w:val="nil"/>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534FA2" w:rsidRPr="00B10210" w:rsidRDefault="00534FA2" w:rsidP="00FC66D4">
            <w:pPr>
              <w:rPr>
                <w:rFonts w:ascii="Arial Narrow" w:hAnsi="Arial Narrow"/>
                <w:b/>
                <w:bCs/>
              </w:rPr>
            </w:pPr>
            <w:r w:rsidRPr="00B10210">
              <w:rPr>
                <w:rFonts w:ascii="Arial Narrow" w:hAnsi="Arial Narrow"/>
                <w:b/>
                <w:bCs/>
              </w:rPr>
              <w:t>Iné ako rozpočtové zdroje</w:t>
            </w:r>
          </w:p>
        </w:tc>
        <w:tc>
          <w:tcPr>
            <w:tcW w:w="1267"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534FA2" w:rsidRPr="00B10210" w:rsidRDefault="00534FA2" w:rsidP="00FC66D4">
            <w:pPr>
              <w:jc w:val="right"/>
              <w:rPr>
                <w:b/>
                <w:bCs/>
                <w:sz w:val="20"/>
                <w:szCs w:val="20"/>
              </w:rPr>
            </w:pPr>
            <w:r w:rsidRPr="00B10210">
              <w:rPr>
                <w:b/>
                <w:bCs/>
                <w:sz w:val="20"/>
                <w:szCs w:val="20"/>
              </w:rPr>
              <w:t>0,00</w:t>
            </w:r>
          </w:p>
        </w:tc>
        <w:tc>
          <w:tcPr>
            <w:tcW w:w="1267"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534FA2" w:rsidRPr="00B10210" w:rsidRDefault="00534FA2" w:rsidP="00FC66D4">
            <w:pPr>
              <w:jc w:val="right"/>
              <w:rPr>
                <w:b/>
                <w:bCs/>
                <w:sz w:val="20"/>
                <w:szCs w:val="20"/>
              </w:rPr>
            </w:pPr>
            <w:r w:rsidRPr="00B10210">
              <w:rPr>
                <w:b/>
                <w:bCs/>
                <w:sz w:val="20"/>
                <w:szCs w:val="20"/>
              </w:rPr>
              <w:t>0,00</w:t>
            </w:r>
          </w:p>
        </w:tc>
        <w:tc>
          <w:tcPr>
            <w:tcW w:w="1267"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534FA2" w:rsidRPr="00B10210" w:rsidRDefault="00534FA2" w:rsidP="00FC66D4">
            <w:pPr>
              <w:jc w:val="right"/>
              <w:rPr>
                <w:b/>
                <w:bCs/>
                <w:sz w:val="20"/>
                <w:szCs w:val="20"/>
              </w:rPr>
            </w:pPr>
            <w:r w:rsidRPr="00B10210">
              <w:rPr>
                <w:b/>
                <w:bCs/>
                <w:sz w:val="20"/>
                <w:szCs w:val="20"/>
              </w:rPr>
              <w:t>0,00</w:t>
            </w:r>
          </w:p>
        </w:tc>
        <w:tc>
          <w:tcPr>
            <w:tcW w:w="1267"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534FA2" w:rsidRPr="00B10210" w:rsidRDefault="00534FA2" w:rsidP="00FC66D4">
            <w:pPr>
              <w:jc w:val="right"/>
              <w:rPr>
                <w:b/>
                <w:bCs/>
                <w:sz w:val="20"/>
                <w:szCs w:val="20"/>
              </w:rPr>
            </w:pPr>
            <w:r w:rsidRPr="00B10210">
              <w:rPr>
                <w:b/>
                <w:bCs/>
                <w:sz w:val="20"/>
                <w:szCs w:val="20"/>
              </w:rPr>
              <w:t>0,00</w:t>
            </w:r>
          </w:p>
        </w:tc>
      </w:tr>
      <w:tr w:rsidR="00534FA2" w:rsidRPr="00B10210" w:rsidTr="00FC66D4">
        <w:trPr>
          <w:trHeight w:val="70"/>
          <w:jc w:val="center"/>
        </w:trPr>
        <w:tc>
          <w:tcPr>
            <w:tcW w:w="4661" w:type="dxa"/>
            <w:tcBorders>
              <w:top w:val="nil"/>
              <w:left w:val="single" w:sz="8" w:space="0" w:color="auto"/>
              <w:bottom w:val="single" w:sz="8" w:space="0" w:color="auto"/>
              <w:right w:val="single" w:sz="8" w:space="0" w:color="auto"/>
            </w:tcBorders>
            <w:shd w:val="clear" w:color="auto" w:fill="A6A6A6"/>
            <w:noWrap/>
            <w:tcMar>
              <w:top w:w="0" w:type="dxa"/>
              <w:left w:w="70" w:type="dxa"/>
              <w:bottom w:w="0" w:type="dxa"/>
              <w:right w:w="70" w:type="dxa"/>
            </w:tcMar>
            <w:vAlign w:val="center"/>
            <w:hideMark/>
          </w:tcPr>
          <w:p w:rsidR="00534FA2" w:rsidRPr="00B10210" w:rsidRDefault="00534FA2" w:rsidP="00FC66D4">
            <w:pPr>
              <w:rPr>
                <w:rFonts w:ascii="Arial Narrow" w:hAnsi="Arial Narrow"/>
                <w:b/>
                <w:bCs/>
              </w:rPr>
            </w:pPr>
            <w:r w:rsidRPr="00B10210">
              <w:rPr>
                <w:rFonts w:ascii="Arial Narrow" w:hAnsi="Arial Narrow"/>
                <w:b/>
                <w:bCs/>
              </w:rPr>
              <w:t>Rozpočtovo nekrytý vplyv / úspora</w:t>
            </w:r>
          </w:p>
        </w:tc>
        <w:tc>
          <w:tcPr>
            <w:tcW w:w="1267" w:type="dxa"/>
            <w:tcBorders>
              <w:top w:val="nil"/>
              <w:left w:val="nil"/>
              <w:bottom w:val="single" w:sz="8" w:space="0" w:color="auto"/>
              <w:right w:val="single" w:sz="8" w:space="0" w:color="auto"/>
            </w:tcBorders>
            <w:shd w:val="clear" w:color="auto" w:fill="A6A6A6"/>
            <w:noWrap/>
            <w:tcMar>
              <w:top w:w="0" w:type="dxa"/>
              <w:left w:w="70" w:type="dxa"/>
              <w:bottom w:w="0" w:type="dxa"/>
              <w:right w:w="70" w:type="dxa"/>
            </w:tcMar>
            <w:vAlign w:val="center"/>
            <w:hideMark/>
          </w:tcPr>
          <w:p w:rsidR="00534FA2" w:rsidRPr="00B10210" w:rsidRDefault="00534FA2" w:rsidP="00FC66D4">
            <w:pPr>
              <w:jc w:val="right"/>
              <w:rPr>
                <w:b/>
                <w:bCs/>
                <w:sz w:val="20"/>
                <w:szCs w:val="20"/>
              </w:rPr>
            </w:pPr>
            <w:r w:rsidRPr="00B10210">
              <w:rPr>
                <w:b/>
                <w:bCs/>
                <w:sz w:val="20"/>
                <w:szCs w:val="20"/>
              </w:rPr>
              <w:t>0,00</w:t>
            </w:r>
          </w:p>
        </w:tc>
        <w:tc>
          <w:tcPr>
            <w:tcW w:w="1267" w:type="dxa"/>
            <w:tcBorders>
              <w:top w:val="nil"/>
              <w:left w:val="nil"/>
              <w:bottom w:val="single" w:sz="8" w:space="0" w:color="auto"/>
              <w:right w:val="single" w:sz="8" w:space="0" w:color="auto"/>
            </w:tcBorders>
            <w:shd w:val="clear" w:color="auto" w:fill="A6A6A6"/>
            <w:noWrap/>
            <w:tcMar>
              <w:top w:w="0" w:type="dxa"/>
              <w:left w:w="70" w:type="dxa"/>
              <w:bottom w:w="0" w:type="dxa"/>
              <w:right w:w="70" w:type="dxa"/>
            </w:tcMar>
            <w:vAlign w:val="center"/>
            <w:hideMark/>
          </w:tcPr>
          <w:p w:rsidR="00534FA2" w:rsidRPr="00B10210" w:rsidRDefault="00534FA2" w:rsidP="00FC66D4">
            <w:pPr>
              <w:jc w:val="right"/>
              <w:rPr>
                <w:b/>
                <w:bCs/>
                <w:sz w:val="20"/>
                <w:szCs w:val="20"/>
              </w:rPr>
            </w:pPr>
            <w:r w:rsidRPr="00B10210">
              <w:rPr>
                <w:b/>
                <w:sz w:val="20"/>
                <w:szCs w:val="20"/>
              </w:rPr>
              <w:t>0,00</w:t>
            </w:r>
          </w:p>
        </w:tc>
        <w:tc>
          <w:tcPr>
            <w:tcW w:w="1267" w:type="dxa"/>
            <w:tcBorders>
              <w:top w:val="nil"/>
              <w:left w:val="nil"/>
              <w:bottom w:val="single" w:sz="8" w:space="0" w:color="auto"/>
              <w:right w:val="single" w:sz="8" w:space="0" w:color="auto"/>
            </w:tcBorders>
            <w:shd w:val="clear" w:color="auto" w:fill="A6A6A6"/>
            <w:noWrap/>
            <w:tcMar>
              <w:top w:w="0" w:type="dxa"/>
              <w:left w:w="70" w:type="dxa"/>
              <w:bottom w:w="0" w:type="dxa"/>
              <w:right w:w="70" w:type="dxa"/>
            </w:tcMar>
            <w:vAlign w:val="center"/>
            <w:hideMark/>
          </w:tcPr>
          <w:p w:rsidR="00534FA2" w:rsidRPr="00B10210" w:rsidRDefault="00534FA2" w:rsidP="00FC66D4">
            <w:pPr>
              <w:jc w:val="right"/>
              <w:rPr>
                <w:b/>
                <w:bCs/>
                <w:sz w:val="20"/>
                <w:szCs w:val="20"/>
              </w:rPr>
            </w:pPr>
            <w:r w:rsidRPr="00B10210">
              <w:rPr>
                <w:b/>
                <w:bCs/>
                <w:sz w:val="20"/>
                <w:szCs w:val="20"/>
              </w:rPr>
              <w:t>0,00</w:t>
            </w:r>
          </w:p>
        </w:tc>
        <w:tc>
          <w:tcPr>
            <w:tcW w:w="1267" w:type="dxa"/>
            <w:tcBorders>
              <w:top w:val="nil"/>
              <w:left w:val="nil"/>
              <w:bottom w:val="single" w:sz="8" w:space="0" w:color="auto"/>
              <w:right w:val="single" w:sz="8" w:space="0" w:color="auto"/>
            </w:tcBorders>
            <w:shd w:val="clear" w:color="auto" w:fill="A6A6A6"/>
            <w:noWrap/>
            <w:tcMar>
              <w:top w:w="0" w:type="dxa"/>
              <w:left w:w="70" w:type="dxa"/>
              <w:bottom w:w="0" w:type="dxa"/>
              <w:right w:w="70" w:type="dxa"/>
            </w:tcMar>
            <w:vAlign w:val="center"/>
            <w:hideMark/>
          </w:tcPr>
          <w:p w:rsidR="00534FA2" w:rsidRPr="00B10210" w:rsidRDefault="00534FA2" w:rsidP="00FC66D4">
            <w:pPr>
              <w:jc w:val="right"/>
              <w:rPr>
                <w:b/>
                <w:bCs/>
                <w:sz w:val="20"/>
                <w:szCs w:val="20"/>
              </w:rPr>
            </w:pPr>
            <w:r w:rsidRPr="00B10210">
              <w:rPr>
                <w:b/>
                <w:bCs/>
                <w:sz w:val="20"/>
                <w:szCs w:val="20"/>
              </w:rPr>
              <w:t>0,00</w:t>
            </w:r>
          </w:p>
        </w:tc>
      </w:tr>
    </w:tbl>
    <w:p w:rsidR="00534FA2" w:rsidRPr="00B10210" w:rsidRDefault="00534FA2" w:rsidP="00534FA2">
      <w:pPr>
        <w:rPr>
          <w:b/>
          <w:bCs/>
        </w:rPr>
      </w:pPr>
    </w:p>
    <w:p w:rsidR="00534FA2" w:rsidRPr="00B10210" w:rsidRDefault="00534FA2" w:rsidP="00534FA2">
      <w:pPr>
        <w:rPr>
          <w:b/>
          <w:bCs/>
        </w:rPr>
      </w:pPr>
    </w:p>
    <w:p w:rsidR="00534FA2" w:rsidRPr="00B10210" w:rsidRDefault="00534FA2" w:rsidP="00534FA2">
      <w:pPr>
        <w:rPr>
          <w:b/>
          <w:bCs/>
        </w:rPr>
      </w:pPr>
    </w:p>
    <w:p w:rsidR="00534FA2" w:rsidRPr="00B10210" w:rsidRDefault="00534FA2" w:rsidP="00534FA2">
      <w:pPr>
        <w:rPr>
          <w:b/>
          <w:bCs/>
        </w:rPr>
      </w:pPr>
      <w:r w:rsidRPr="00B10210">
        <w:rPr>
          <w:b/>
          <w:bCs/>
        </w:rPr>
        <w:lastRenderedPageBreak/>
        <w:t>2.1.1. Financovanie návrhu - Návrh na riešenie úbytku príjmov alebo zvýšených výdavkov podľa § 33 ods. 1 zákona č. 523/2004 Z. z. o rozpočtových pravidlách verejnej správy:</w:t>
      </w:r>
    </w:p>
    <w:p w:rsidR="00534FA2" w:rsidRPr="00B10210" w:rsidRDefault="00534FA2" w:rsidP="00534FA2">
      <w:pPr>
        <w:pBdr>
          <w:top w:val="single" w:sz="4" w:space="1" w:color="auto"/>
          <w:left w:val="single" w:sz="4" w:space="4" w:color="auto"/>
          <w:bottom w:val="single" w:sz="4" w:space="0" w:color="auto"/>
          <w:right w:val="single" w:sz="4" w:space="4" w:color="auto"/>
        </w:pBdr>
        <w:jc w:val="both"/>
        <w:rPr>
          <w:b/>
          <w:bCs/>
        </w:rPr>
      </w:pPr>
    </w:p>
    <w:p w:rsidR="00534FA2" w:rsidRPr="00B10210" w:rsidRDefault="00534FA2" w:rsidP="00534FA2">
      <w:pPr>
        <w:pBdr>
          <w:top w:val="single" w:sz="4" w:space="1" w:color="auto"/>
          <w:left w:val="single" w:sz="4" w:space="4" w:color="auto"/>
          <w:bottom w:val="single" w:sz="4" w:space="0" w:color="auto"/>
          <w:right w:val="single" w:sz="4" w:space="4" w:color="auto"/>
        </w:pBdr>
        <w:jc w:val="both"/>
        <w:rPr>
          <w:color w:val="000000"/>
        </w:rPr>
      </w:pPr>
      <w:r w:rsidRPr="00B10210">
        <w:t xml:space="preserve">Návrh zákona predpokladá negatívny vplyv na rozpočet súvisiaci s úpravou informačných systémov finančnej správy vo výške </w:t>
      </w:r>
      <w:r w:rsidRPr="00B10210">
        <w:rPr>
          <w:b/>
          <w:bCs/>
        </w:rPr>
        <w:t>428 868 eur s DPH,</w:t>
      </w:r>
      <w:r w:rsidRPr="00B10210">
        <w:t xml:space="preserve"> a to:</w:t>
      </w:r>
    </w:p>
    <w:p w:rsidR="00534FA2" w:rsidRPr="00B10210" w:rsidRDefault="00534FA2" w:rsidP="00534FA2">
      <w:pPr>
        <w:pBdr>
          <w:top w:val="single" w:sz="4" w:space="1" w:color="auto"/>
          <w:left w:val="single" w:sz="4" w:space="4" w:color="auto"/>
          <w:bottom w:val="single" w:sz="4" w:space="0" w:color="auto"/>
          <w:right w:val="single" w:sz="4" w:space="4" w:color="auto"/>
        </w:pBdr>
        <w:jc w:val="both"/>
        <w:rPr>
          <w:color w:val="000000"/>
        </w:rPr>
      </w:pPr>
    </w:p>
    <w:p w:rsidR="00534FA2" w:rsidRPr="00B10210" w:rsidRDefault="00534FA2" w:rsidP="00534FA2">
      <w:pPr>
        <w:pBdr>
          <w:top w:val="single" w:sz="4" w:space="1" w:color="auto"/>
          <w:left w:val="single" w:sz="4" w:space="4" w:color="auto"/>
          <w:bottom w:val="single" w:sz="4" w:space="0" w:color="auto"/>
          <w:right w:val="single" w:sz="4" w:space="4" w:color="auto"/>
        </w:pBdr>
        <w:jc w:val="both"/>
        <w:rPr>
          <w:color w:val="000000"/>
        </w:rPr>
      </w:pPr>
      <w:r w:rsidRPr="00B10210">
        <w:rPr>
          <w:color w:val="000000"/>
        </w:rPr>
        <w:t xml:space="preserve">a/ APV </w:t>
      </w:r>
      <w:proofErr w:type="spellStart"/>
      <w:r w:rsidRPr="00B10210">
        <w:rPr>
          <w:color w:val="000000"/>
        </w:rPr>
        <w:t>SysNeD</w:t>
      </w:r>
      <w:proofErr w:type="spellEnd"/>
      <w:r w:rsidRPr="00B10210">
        <w:rPr>
          <w:color w:val="000000"/>
        </w:rPr>
        <w:tab/>
      </w:r>
      <w:r w:rsidRPr="00B10210">
        <w:rPr>
          <w:color w:val="000000"/>
        </w:rPr>
        <w:tab/>
      </w:r>
      <w:r w:rsidRPr="00B10210">
        <w:rPr>
          <w:color w:val="000000"/>
        </w:rPr>
        <w:tab/>
      </w:r>
      <w:r w:rsidRPr="00B10210">
        <w:rPr>
          <w:color w:val="000000"/>
        </w:rPr>
        <w:tab/>
        <w:t>323 532 eur s DPH</w:t>
      </w:r>
    </w:p>
    <w:p w:rsidR="00534FA2" w:rsidRPr="00B10210" w:rsidRDefault="00534FA2" w:rsidP="00534FA2">
      <w:pPr>
        <w:pBdr>
          <w:top w:val="single" w:sz="4" w:space="1" w:color="auto"/>
          <w:left w:val="single" w:sz="4" w:space="4" w:color="auto"/>
          <w:bottom w:val="single" w:sz="4" w:space="0" w:color="auto"/>
          <w:right w:val="single" w:sz="4" w:space="4" w:color="auto"/>
        </w:pBdr>
        <w:jc w:val="both"/>
        <w:rPr>
          <w:color w:val="000000"/>
        </w:rPr>
      </w:pPr>
      <w:r w:rsidRPr="00B10210">
        <w:rPr>
          <w:color w:val="000000"/>
        </w:rPr>
        <w:t>b/ PFS</w:t>
      </w:r>
      <w:r w:rsidRPr="00B10210">
        <w:rPr>
          <w:color w:val="000000"/>
        </w:rPr>
        <w:tab/>
        <w:t>(portál finančnej správy)</w:t>
      </w:r>
      <w:r w:rsidRPr="00B10210">
        <w:rPr>
          <w:color w:val="000000"/>
        </w:rPr>
        <w:tab/>
      </w:r>
      <w:r w:rsidRPr="00B10210">
        <w:rPr>
          <w:color w:val="000000"/>
        </w:rPr>
        <w:tab/>
        <w:t>105 336 eur s DPH</w:t>
      </w:r>
    </w:p>
    <w:p w:rsidR="00534FA2" w:rsidRPr="00B10210" w:rsidRDefault="00534FA2" w:rsidP="00534FA2">
      <w:pPr>
        <w:pBdr>
          <w:top w:val="single" w:sz="4" w:space="1" w:color="auto"/>
          <w:left w:val="single" w:sz="4" w:space="4" w:color="auto"/>
          <w:bottom w:val="single" w:sz="4" w:space="0" w:color="auto"/>
          <w:right w:val="single" w:sz="4" w:space="4" w:color="auto"/>
        </w:pBdr>
        <w:jc w:val="both"/>
        <w:rPr>
          <w:color w:val="000000"/>
        </w:rPr>
      </w:pPr>
    </w:p>
    <w:p w:rsidR="00534FA2" w:rsidRPr="00B10210" w:rsidRDefault="00534FA2" w:rsidP="00534FA2">
      <w:pPr>
        <w:pBdr>
          <w:top w:val="single" w:sz="4" w:space="1" w:color="auto"/>
          <w:left w:val="single" w:sz="4" w:space="4" w:color="auto"/>
          <w:bottom w:val="single" w:sz="4" w:space="0" w:color="auto"/>
          <w:right w:val="single" w:sz="4" w:space="4" w:color="auto"/>
        </w:pBdr>
        <w:jc w:val="both"/>
        <w:rPr>
          <w:color w:val="000000"/>
        </w:rPr>
      </w:pPr>
      <w:r w:rsidRPr="00B10210">
        <w:rPr>
          <w:color w:val="000000"/>
        </w:rPr>
        <w:t>Do informačných systémov je potrebné zapracovať:</w:t>
      </w:r>
    </w:p>
    <w:p w:rsidR="00534FA2" w:rsidRPr="00B10210" w:rsidRDefault="00534FA2" w:rsidP="00534FA2">
      <w:pPr>
        <w:pBdr>
          <w:top w:val="single" w:sz="4" w:space="1" w:color="auto"/>
          <w:left w:val="single" w:sz="4" w:space="4" w:color="auto"/>
          <w:bottom w:val="single" w:sz="4" w:space="0" w:color="auto"/>
          <w:right w:val="single" w:sz="4" w:space="4" w:color="auto"/>
        </w:pBdr>
        <w:jc w:val="both"/>
        <w:rPr>
          <w:color w:val="000000"/>
        </w:rPr>
      </w:pPr>
      <w:r w:rsidRPr="00B10210">
        <w:rPr>
          <w:color w:val="000000"/>
        </w:rPr>
        <w:t>-</w:t>
      </w:r>
      <w:r w:rsidRPr="00B10210">
        <w:rPr>
          <w:color w:val="000000"/>
        </w:rPr>
        <w:tab/>
        <w:t>nové typy daňových subjektov</w:t>
      </w:r>
    </w:p>
    <w:p w:rsidR="00534FA2" w:rsidRPr="00B10210" w:rsidRDefault="00534FA2" w:rsidP="00534FA2">
      <w:pPr>
        <w:pBdr>
          <w:top w:val="single" w:sz="4" w:space="1" w:color="auto"/>
          <w:left w:val="single" w:sz="4" w:space="4" w:color="auto"/>
          <w:bottom w:val="single" w:sz="4" w:space="0" w:color="auto"/>
          <w:right w:val="single" w:sz="4" w:space="4" w:color="auto"/>
        </w:pBdr>
        <w:jc w:val="both"/>
        <w:rPr>
          <w:color w:val="000000"/>
        </w:rPr>
      </w:pPr>
      <w:r w:rsidRPr="00B10210">
        <w:rPr>
          <w:color w:val="000000"/>
        </w:rPr>
        <w:t>-</w:t>
      </w:r>
      <w:r w:rsidRPr="00B10210">
        <w:rPr>
          <w:color w:val="000000"/>
        </w:rPr>
        <w:tab/>
        <w:t>nový typ prepravy v rámci elektronického systému EMCS</w:t>
      </w:r>
    </w:p>
    <w:p w:rsidR="00534FA2" w:rsidRPr="00B10210" w:rsidRDefault="00534FA2" w:rsidP="00534FA2">
      <w:pPr>
        <w:pBdr>
          <w:top w:val="single" w:sz="4" w:space="1" w:color="auto"/>
          <w:left w:val="single" w:sz="4" w:space="4" w:color="auto"/>
          <w:bottom w:val="single" w:sz="4" w:space="0" w:color="auto"/>
          <w:right w:val="single" w:sz="4" w:space="4" w:color="auto"/>
        </w:pBdr>
        <w:jc w:val="both"/>
        <w:rPr>
          <w:color w:val="000000"/>
        </w:rPr>
      </w:pPr>
      <w:r w:rsidRPr="00B10210">
        <w:rPr>
          <w:color w:val="000000"/>
        </w:rPr>
        <w:t>-</w:t>
      </w:r>
      <w:r w:rsidRPr="00B10210">
        <w:rPr>
          <w:color w:val="000000"/>
        </w:rPr>
        <w:tab/>
        <w:t>zmeny sadzby dane</w:t>
      </w:r>
    </w:p>
    <w:p w:rsidR="00534FA2" w:rsidRPr="00B10210" w:rsidRDefault="00534FA2" w:rsidP="00534FA2">
      <w:pPr>
        <w:pBdr>
          <w:top w:val="single" w:sz="4" w:space="1" w:color="auto"/>
          <w:left w:val="single" w:sz="4" w:space="4" w:color="auto"/>
          <w:bottom w:val="single" w:sz="4" w:space="0" w:color="auto"/>
          <w:right w:val="single" w:sz="4" w:space="4" w:color="auto"/>
        </w:pBdr>
        <w:jc w:val="both"/>
        <w:rPr>
          <w:color w:val="000000"/>
        </w:rPr>
      </w:pPr>
      <w:r w:rsidRPr="00B10210">
        <w:rPr>
          <w:color w:val="000000"/>
        </w:rPr>
        <w:t>-</w:t>
      </w:r>
      <w:r w:rsidRPr="00B10210">
        <w:rPr>
          <w:color w:val="000000"/>
        </w:rPr>
        <w:tab/>
        <w:t>zánik 2 existujúcich typov odberateľov KZ</w:t>
      </w:r>
    </w:p>
    <w:p w:rsidR="00534FA2" w:rsidRPr="00B10210" w:rsidRDefault="00534FA2" w:rsidP="00534FA2">
      <w:pPr>
        <w:pBdr>
          <w:top w:val="single" w:sz="4" w:space="1" w:color="auto"/>
          <w:left w:val="single" w:sz="4" w:space="4" w:color="auto"/>
          <w:bottom w:val="single" w:sz="4" w:space="0" w:color="auto"/>
          <w:right w:val="single" w:sz="4" w:space="4" w:color="auto"/>
        </w:pBdr>
        <w:jc w:val="both"/>
        <w:rPr>
          <w:color w:val="000000"/>
        </w:rPr>
      </w:pPr>
    </w:p>
    <w:p w:rsidR="00534FA2" w:rsidRPr="00B10210" w:rsidRDefault="00534FA2" w:rsidP="00534FA2">
      <w:pPr>
        <w:pBdr>
          <w:top w:val="single" w:sz="4" w:space="1" w:color="auto"/>
          <w:left w:val="single" w:sz="4" w:space="4" w:color="auto"/>
          <w:bottom w:val="single" w:sz="4" w:space="0" w:color="auto"/>
          <w:right w:val="single" w:sz="4" w:space="4" w:color="auto"/>
        </w:pBdr>
        <w:jc w:val="both"/>
        <w:rPr>
          <w:color w:val="000000"/>
        </w:rPr>
      </w:pPr>
      <w:r w:rsidRPr="00B10210">
        <w:t>Financovanie predmetných výdavkov bude zabezpečené v rámci limitov rozpočtu verejnej správy na príslušné rozpočtové roky.</w:t>
      </w:r>
    </w:p>
    <w:p w:rsidR="00534FA2" w:rsidRPr="00B10210" w:rsidRDefault="00534FA2" w:rsidP="00534FA2">
      <w:pPr>
        <w:pBdr>
          <w:top w:val="single" w:sz="4" w:space="1" w:color="auto"/>
          <w:left w:val="single" w:sz="4" w:space="4" w:color="auto"/>
          <w:bottom w:val="single" w:sz="4" w:space="0" w:color="auto"/>
          <w:right w:val="single" w:sz="4" w:space="4" w:color="auto"/>
        </w:pBdr>
        <w:jc w:val="both"/>
        <w:rPr>
          <w:color w:val="000000"/>
        </w:rPr>
      </w:pPr>
    </w:p>
    <w:p w:rsidR="006F3EF5" w:rsidRDefault="006F3EF5" w:rsidP="00534FA2">
      <w:pPr>
        <w:rPr>
          <w:b/>
          <w:bCs/>
        </w:rPr>
      </w:pPr>
    </w:p>
    <w:p w:rsidR="00534FA2" w:rsidRPr="00B10210" w:rsidRDefault="00534FA2" w:rsidP="00534FA2">
      <w:pPr>
        <w:rPr>
          <w:b/>
          <w:bCs/>
        </w:rPr>
      </w:pPr>
      <w:r w:rsidRPr="00B10210">
        <w:rPr>
          <w:b/>
          <w:bCs/>
        </w:rPr>
        <w:t>2.2. Popis a charakteristika návrhu</w:t>
      </w:r>
    </w:p>
    <w:p w:rsidR="00534FA2" w:rsidRPr="00B10210" w:rsidRDefault="00534FA2" w:rsidP="00534FA2"/>
    <w:p w:rsidR="00534FA2" w:rsidRPr="00B10210" w:rsidRDefault="00534FA2" w:rsidP="00534FA2">
      <w:pPr>
        <w:jc w:val="both"/>
        <w:rPr>
          <w:b/>
          <w:bCs/>
        </w:rPr>
      </w:pPr>
      <w:r w:rsidRPr="00B10210">
        <w:rPr>
          <w:b/>
          <w:bCs/>
        </w:rPr>
        <w:t>2.2.1. Popis návrhu:</w:t>
      </w:r>
    </w:p>
    <w:p w:rsidR="00534FA2" w:rsidRPr="00B10210" w:rsidRDefault="00534FA2" w:rsidP="00534FA2">
      <w:pPr>
        <w:jc w:val="both"/>
        <w:rPr>
          <w:b/>
          <w:bCs/>
        </w:rPr>
      </w:pPr>
    </w:p>
    <w:p w:rsidR="00534FA2" w:rsidRPr="00B10210" w:rsidRDefault="00534FA2" w:rsidP="00534FA2">
      <w:pPr>
        <w:tabs>
          <w:tab w:val="left" w:pos="426"/>
        </w:tabs>
        <w:jc w:val="both"/>
        <w:rPr>
          <w:bCs/>
        </w:rPr>
      </w:pPr>
      <w:r w:rsidRPr="00B10210">
        <w:rPr>
          <w:bCs/>
        </w:rPr>
        <w:tab/>
        <w:t xml:space="preserve">Návrh zákona transponuje smernicu Rady (EÚ) 2020/262, ktorou sa ustanovuje všeobecný systém spotrebných daní do legislatívy Slovenskej republiky. </w:t>
      </w:r>
    </w:p>
    <w:p w:rsidR="00534FA2" w:rsidRPr="00B10210" w:rsidRDefault="00534FA2" w:rsidP="00534FA2">
      <w:pPr>
        <w:jc w:val="both"/>
        <w:rPr>
          <w:bCs/>
        </w:rPr>
      </w:pPr>
    </w:p>
    <w:p w:rsidR="00534FA2" w:rsidRPr="00B10210" w:rsidRDefault="00534FA2" w:rsidP="00534FA2">
      <w:pPr>
        <w:jc w:val="both"/>
        <w:rPr>
          <w:bCs/>
        </w:rPr>
      </w:pPr>
      <w:r w:rsidRPr="00B10210">
        <w:rPr>
          <w:bCs/>
        </w:rPr>
        <w:t>V súvislosti s transpozíciou tejto smernice sa predovšetkým</w:t>
      </w:r>
    </w:p>
    <w:p w:rsidR="00534FA2" w:rsidRPr="00B10210" w:rsidRDefault="00534FA2" w:rsidP="00534FA2">
      <w:pPr>
        <w:pStyle w:val="Odsekzoznamu"/>
        <w:numPr>
          <w:ilvl w:val="0"/>
          <w:numId w:val="21"/>
        </w:numPr>
        <w:tabs>
          <w:tab w:val="left" w:pos="284"/>
        </w:tabs>
        <w:spacing w:after="0" w:line="240" w:lineRule="auto"/>
        <w:jc w:val="both"/>
        <w:rPr>
          <w:rFonts w:ascii="Times New Roman" w:hAnsi="Times New Roman"/>
          <w:bCs/>
          <w:sz w:val="24"/>
          <w:szCs w:val="24"/>
          <w:lang w:eastAsia="sk-SK"/>
        </w:rPr>
      </w:pPr>
      <w:r w:rsidRPr="00B10210">
        <w:rPr>
          <w:rFonts w:ascii="Times New Roman" w:hAnsi="Times New Roman"/>
          <w:bCs/>
          <w:sz w:val="24"/>
          <w:szCs w:val="24"/>
          <w:lang w:eastAsia="sk-SK"/>
        </w:rPr>
        <w:t>zavádzajú nové typy daňových subjektov, ktorými sú schválený odosielateľ a</w:t>
      </w:r>
      <w:r w:rsidR="00D27E3C" w:rsidRPr="00B10210">
        <w:rPr>
          <w:rFonts w:ascii="Times New Roman" w:hAnsi="Times New Roman"/>
          <w:bCs/>
          <w:sz w:val="24"/>
          <w:szCs w:val="24"/>
          <w:lang w:eastAsia="sk-SK"/>
        </w:rPr>
        <w:t> </w:t>
      </w:r>
      <w:r w:rsidRPr="00B10210">
        <w:rPr>
          <w:rFonts w:ascii="Times New Roman" w:hAnsi="Times New Roman"/>
          <w:bCs/>
          <w:sz w:val="24"/>
          <w:szCs w:val="24"/>
          <w:lang w:eastAsia="sk-SK"/>
        </w:rPr>
        <w:t>schválený príjemca,</w:t>
      </w:r>
    </w:p>
    <w:p w:rsidR="00534FA2" w:rsidRPr="00B10210" w:rsidRDefault="00534FA2" w:rsidP="00534FA2">
      <w:pPr>
        <w:pStyle w:val="Odsekzoznamu"/>
        <w:numPr>
          <w:ilvl w:val="0"/>
          <w:numId w:val="21"/>
        </w:numPr>
        <w:tabs>
          <w:tab w:val="left" w:pos="284"/>
        </w:tabs>
        <w:spacing w:after="0" w:line="240" w:lineRule="auto"/>
        <w:jc w:val="both"/>
        <w:rPr>
          <w:rFonts w:ascii="Times New Roman" w:hAnsi="Times New Roman"/>
          <w:bCs/>
          <w:sz w:val="24"/>
          <w:szCs w:val="24"/>
          <w:lang w:eastAsia="sk-SK"/>
        </w:rPr>
      </w:pPr>
      <w:r w:rsidRPr="00B10210">
        <w:rPr>
          <w:rFonts w:ascii="Times New Roman" w:hAnsi="Times New Roman"/>
          <w:bCs/>
          <w:sz w:val="24"/>
          <w:szCs w:val="24"/>
          <w:lang w:eastAsia="sk-SK"/>
        </w:rPr>
        <w:t>upravuje sa postup pri preprave tabakových výrobkov v daňovom voľnom obehu na podnikateľské účely na základe zjednodušeného elektronického administratívneho dokumentu vyhotoveného prostredníctvom elektronického systému.</w:t>
      </w:r>
    </w:p>
    <w:p w:rsidR="00534FA2" w:rsidRPr="00B10210" w:rsidRDefault="00534FA2" w:rsidP="00534FA2">
      <w:pPr>
        <w:tabs>
          <w:tab w:val="left" w:pos="284"/>
        </w:tabs>
        <w:jc w:val="both"/>
        <w:rPr>
          <w:bCs/>
        </w:rPr>
      </w:pPr>
    </w:p>
    <w:p w:rsidR="00534FA2" w:rsidRPr="00B10210" w:rsidRDefault="00534FA2" w:rsidP="00534FA2">
      <w:pPr>
        <w:tabs>
          <w:tab w:val="left" w:pos="426"/>
        </w:tabs>
        <w:jc w:val="both"/>
        <w:rPr>
          <w:bCs/>
        </w:rPr>
      </w:pPr>
      <w:r w:rsidRPr="00B10210">
        <w:rPr>
          <w:bCs/>
        </w:rPr>
        <w:tab/>
        <w:t>Návrhom zákona sa zosúlaďuje definícia územia Európskej únie so smernicou Rady (EÚ) 2019/475.</w:t>
      </w:r>
    </w:p>
    <w:p w:rsidR="00534FA2" w:rsidRPr="00B10210" w:rsidRDefault="00534FA2" w:rsidP="00534FA2">
      <w:pPr>
        <w:tabs>
          <w:tab w:val="left" w:pos="284"/>
        </w:tabs>
        <w:jc w:val="both"/>
        <w:rPr>
          <w:bCs/>
        </w:rPr>
      </w:pPr>
    </w:p>
    <w:p w:rsidR="00534FA2" w:rsidRPr="00B10210" w:rsidRDefault="00534FA2" w:rsidP="00534FA2">
      <w:pPr>
        <w:tabs>
          <w:tab w:val="left" w:pos="426"/>
        </w:tabs>
        <w:jc w:val="both"/>
        <w:rPr>
          <w:bCs/>
        </w:rPr>
      </w:pPr>
      <w:r w:rsidRPr="00B10210">
        <w:rPr>
          <w:bCs/>
        </w:rPr>
        <w:tab/>
        <w:t>Navrhovanou úpravou sa transponuje zo smernice Rady (EÚ) 2019/2235 oslobodenie od dane pre tabakové výrobky, ktoré boli prepravené na daňové územie v pozastavení dane ozbrojenými silami iných členských štátov na použitie týmito ozbrojenými silami a ich civilnými zamestnancami pri obrannom úsilí v rámci spoločnej bezpečnostnej a obrannej politiky Európskej únie.</w:t>
      </w:r>
    </w:p>
    <w:p w:rsidR="00534FA2" w:rsidRPr="00B10210" w:rsidRDefault="00534FA2" w:rsidP="00534FA2">
      <w:pPr>
        <w:tabs>
          <w:tab w:val="left" w:pos="426"/>
        </w:tabs>
        <w:jc w:val="both"/>
        <w:rPr>
          <w:bCs/>
        </w:rPr>
      </w:pPr>
    </w:p>
    <w:p w:rsidR="00534FA2" w:rsidRPr="00B10210" w:rsidRDefault="00534FA2" w:rsidP="00534FA2">
      <w:pPr>
        <w:tabs>
          <w:tab w:val="left" w:pos="426"/>
        </w:tabs>
        <w:jc w:val="both"/>
        <w:rPr>
          <w:bCs/>
        </w:rPr>
      </w:pPr>
      <w:r w:rsidRPr="00B10210">
        <w:rPr>
          <w:bCs/>
        </w:rPr>
        <w:tab/>
        <w:t>Návrhom zákona sa upravuje výška sadzieb spotrebnej dane z tabakových výrobkov</w:t>
      </w:r>
      <w:r w:rsidR="00D27E3C" w:rsidRPr="00B10210">
        <w:rPr>
          <w:bCs/>
        </w:rPr>
        <w:t xml:space="preserve">   </w:t>
      </w:r>
      <w:r w:rsidR="00011D6C">
        <w:rPr>
          <w:bCs/>
        </w:rPr>
        <w:t xml:space="preserve">    </w:t>
      </w:r>
      <w:r w:rsidRPr="00B10210">
        <w:rPr>
          <w:bCs/>
        </w:rPr>
        <w:t xml:space="preserve"> k 1. februáru 2021, k 1. februáru 2022 a k 1. februáru 2023.</w:t>
      </w:r>
    </w:p>
    <w:p w:rsidR="00534FA2" w:rsidRPr="00B10210" w:rsidRDefault="00534FA2" w:rsidP="00534FA2">
      <w:pPr>
        <w:tabs>
          <w:tab w:val="left" w:pos="284"/>
        </w:tabs>
        <w:jc w:val="both"/>
        <w:rPr>
          <w:bCs/>
        </w:rPr>
      </w:pPr>
    </w:p>
    <w:p w:rsidR="00534FA2" w:rsidRPr="00B10210" w:rsidRDefault="00534FA2" w:rsidP="00534FA2">
      <w:pPr>
        <w:tabs>
          <w:tab w:val="left" w:pos="284"/>
        </w:tabs>
        <w:jc w:val="both"/>
      </w:pPr>
      <w:r w:rsidRPr="00B10210">
        <w:t xml:space="preserve"> V návrhu zákona sa tiež na základe podnetov z aplikačnej praxe:</w:t>
      </w:r>
    </w:p>
    <w:p w:rsidR="00534FA2" w:rsidRPr="00B10210" w:rsidRDefault="00534FA2" w:rsidP="00534FA2">
      <w:pPr>
        <w:pStyle w:val="Odsekzoznamu"/>
        <w:numPr>
          <w:ilvl w:val="0"/>
          <w:numId w:val="26"/>
        </w:numPr>
        <w:tabs>
          <w:tab w:val="left" w:pos="284"/>
        </w:tabs>
        <w:spacing w:after="0" w:line="240" w:lineRule="auto"/>
        <w:jc w:val="both"/>
        <w:rPr>
          <w:rFonts w:ascii="Times New Roman" w:hAnsi="Times New Roman"/>
          <w:sz w:val="24"/>
          <w:szCs w:val="24"/>
        </w:rPr>
      </w:pPr>
      <w:r w:rsidRPr="00B10210">
        <w:rPr>
          <w:rFonts w:ascii="Times New Roman" w:hAnsi="Times New Roman"/>
          <w:sz w:val="24"/>
          <w:szCs w:val="24"/>
        </w:rPr>
        <w:t>upravujú ustanovenia týkajúce sa označovania cigár a stanovuje sa prechodné obdobie pre cigary do vypredania zásob,</w:t>
      </w:r>
    </w:p>
    <w:p w:rsidR="00534FA2" w:rsidRPr="00B10210" w:rsidRDefault="00534FA2" w:rsidP="00534FA2">
      <w:pPr>
        <w:pStyle w:val="Odsekzoznamu"/>
        <w:numPr>
          <w:ilvl w:val="0"/>
          <w:numId w:val="26"/>
        </w:numPr>
        <w:tabs>
          <w:tab w:val="left" w:pos="284"/>
        </w:tabs>
        <w:spacing w:after="0" w:line="240" w:lineRule="auto"/>
        <w:jc w:val="both"/>
        <w:rPr>
          <w:rFonts w:ascii="Times New Roman" w:hAnsi="Times New Roman"/>
          <w:sz w:val="24"/>
          <w:szCs w:val="24"/>
        </w:rPr>
      </w:pPr>
      <w:r w:rsidRPr="00B10210">
        <w:rPr>
          <w:rFonts w:ascii="Times New Roman" w:hAnsi="Times New Roman"/>
          <w:sz w:val="24"/>
          <w:szCs w:val="24"/>
        </w:rPr>
        <w:t xml:space="preserve">navrhuje vypustiť osobitné ustanovenia týkajúce sa označovania spotrebiteľského balenia kontrolnou známkou u cigariet predávaných v tranzitnom priestore medzinárodných letísk a na palubách lietadiel výlučne fyzickým osobám, ktoré </w:t>
      </w:r>
      <w:r w:rsidRPr="00B10210">
        <w:rPr>
          <w:rFonts w:ascii="Times New Roman" w:hAnsi="Times New Roman"/>
          <w:sz w:val="24"/>
          <w:szCs w:val="24"/>
        </w:rPr>
        <w:lastRenderedPageBreak/>
        <w:t>bezprostredne opustia územie únie alebo opustia územie únie s medzipristátím v inom členskom štáte,</w:t>
      </w:r>
    </w:p>
    <w:p w:rsidR="00534FA2" w:rsidRPr="00B10210" w:rsidRDefault="00534FA2" w:rsidP="00534FA2">
      <w:pPr>
        <w:pStyle w:val="Odsekzoznamu"/>
        <w:numPr>
          <w:ilvl w:val="0"/>
          <w:numId w:val="26"/>
        </w:numPr>
        <w:tabs>
          <w:tab w:val="left" w:pos="284"/>
        </w:tabs>
        <w:spacing w:after="0" w:line="240" w:lineRule="auto"/>
        <w:jc w:val="both"/>
        <w:rPr>
          <w:rFonts w:ascii="Times New Roman" w:hAnsi="Times New Roman"/>
          <w:sz w:val="24"/>
          <w:szCs w:val="24"/>
        </w:rPr>
      </w:pPr>
      <w:r w:rsidRPr="00B10210">
        <w:rPr>
          <w:rFonts w:ascii="Times New Roman" w:hAnsi="Times New Roman"/>
          <w:sz w:val="24"/>
          <w:szCs w:val="24"/>
        </w:rPr>
        <w:t>navrhuje spresniť osobitné ustanovenia pre tabakovú surovinu a bezdymový tabakový výrobok.</w:t>
      </w:r>
    </w:p>
    <w:p w:rsidR="00534FA2" w:rsidRPr="00B10210" w:rsidRDefault="00534FA2" w:rsidP="00534FA2">
      <w:pPr>
        <w:jc w:val="both"/>
      </w:pPr>
    </w:p>
    <w:p w:rsidR="00534FA2" w:rsidRPr="00B10210" w:rsidRDefault="00534FA2" w:rsidP="00534FA2">
      <w:pPr>
        <w:rPr>
          <w:b/>
          <w:bCs/>
        </w:rPr>
      </w:pPr>
      <w:r w:rsidRPr="00B10210">
        <w:rPr>
          <w:b/>
          <w:bCs/>
        </w:rPr>
        <w:t>2.2.2. Charakteristika návrhu:</w:t>
      </w:r>
    </w:p>
    <w:p w:rsidR="00534FA2" w:rsidRPr="00B10210" w:rsidRDefault="00534FA2" w:rsidP="00534FA2"/>
    <w:p w:rsidR="00534FA2" w:rsidRPr="00B10210" w:rsidRDefault="00534FA2" w:rsidP="00534FA2">
      <w:r w:rsidRPr="00B10210">
        <w:rPr>
          <w:b/>
          <w:bdr w:val="single" w:sz="4" w:space="0" w:color="auto"/>
        </w:rPr>
        <w:t xml:space="preserve"> X </w:t>
      </w:r>
      <w:r w:rsidRPr="00B10210">
        <w:t>zmena sadzby</w:t>
      </w:r>
    </w:p>
    <w:p w:rsidR="00534FA2" w:rsidRPr="00B10210" w:rsidRDefault="00534FA2" w:rsidP="00534FA2">
      <w:r w:rsidRPr="00B10210">
        <w:rPr>
          <w:bdr w:val="single" w:sz="4" w:space="0" w:color="auto"/>
        </w:rPr>
        <w:t xml:space="preserve">     </w:t>
      </w:r>
      <w:r w:rsidRPr="00B10210">
        <w:t xml:space="preserve"> zmena v nároku</w:t>
      </w:r>
    </w:p>
    <w:p w:rsidR="00534FA2" w:rsidRPr="00B10210" w:rsidRDefault="00534FA2" w:rsidP="00534FA2">
      <w:r w:rsidRPr="00B10210">
        <w:rPr>
          <w:bdr w:val="single" w:sz="4" w:space="0" w:color="auto"/>
        </w:rPr>
        <w:t xml:space="preserve">     </w:t>
      </w:r>
      <w:r w:rsidRPr="00B10210">
        <w:t xml:space="preserve">  nová služba alebo nariadenie (alebo ich zrušenie)</w:t>
      </w:r>
    </w:p>
    <w:p w:rsidR="00534FA2" w:rsidRPr="00B10210" w:rsidRDefault="00534FA2" w:rsidP="00534FA2">
      <w:r w:rsidRPr="00B10210">
        <w:rPr>
          <w:bdr w:val="single" w:sz="4" w:space="0" w:color="auto"/>
        </w:rPr>
        <w:t xml:space="preserve">     </w:t>
      </w:r>
      <w:r w:rsidRPr="00B10210">
        <w:t xml:space="preserve">  kombinovaný návrh</w:t>
      </w:r>
    </w:p>
    <w:p w:rsidR="00534FA2" w:rsidRPr="00B10210" w:rsidRDefault="00534FA2" w:rsidP="00534FA2">
      <w:r w:rsidRPr="00B10210">
        <w:rPr>
          <w:bdr w:val="single" w:sz="4" w:space="0" w:color="auto"/>
        </w:rPr>
        <w:t xml:space="preserve"> </w:t>
      </w:r>
      <w:r w:rsidRPr="00B10210">
        <w:rPr>
          <w:b/>
          <w:bdr w:val="single" w:sz="4" w:space="0" w:color="auto"/>
        </w:rPr>
        <w:t>X</w:t>
      </w:r>
      <w:r w:rsidRPr="00B10210">
        <w:rPr>
          <w:bdr w:val="single" w:sz="4" w:space="0" w:color="auto"/>
        </w:rPr>
        <w:t xml:space="preserve"> </w:t>
      </w:r>
      <w:r w:rsidRPr="00B10210">
        <w:t xml:space="preserve">  iné </w:t>
      </w:r>
    </w:p>
    <w:p w:rsidR="00534FA2" w:rsidRPr="00B10210" w:rsidRDefault="00534FA2" w:rsidP="00534FA2"/>
    <w:p w:rsidR="00534FA2" w:rsidRPr="00B10210" w:rsidRDefault="00534FA2" w:rsidP="00534FA2">
      <w:r w:rsidRPr="00B10210">
        <w:t>Návrh zákona upravuje sadzby spotrebnej dane z tabakových výrobkov k 1. februáru 2021 nasledovne:</w:t>
      </w:r>
    </w:p>
    <w:p w:rsidR="00534FA2" w:rsidRPr="00B10210" w:rsidRDefault="00534FA2" w:rsidP="00534FA2">
      <w:r w:rsidRPr="00B10210">
        <w:t>- sadzba dane z tabaku – 89,30 eura/kg,</w:t>
      </w:r>
    </w:p>
    <w:p w:rsidR="00534FA2" w:rsidRPr="00B10210" w:rsidRDefault="00534FA2" w:rsidP="00534FA2">
      <w:r w:rsidRPr="00B10210">
        <w:t xml:space="preserve">- cigarety: špecifická časť sadzby dane </w:t>
      </w:r>
      <w:r w:rsidRPr="00B10210">
        <w:tab/>
        <w:t>– 74,60 eura/1 000 kusov</w:t>
      </w:r>
    </w:p>
    <w:p w:rsidR="00534FA2" w:rsidRPr="00B10210" w:rsidRDefault="00534FA2" w:rsidP="00534FA2">
      <w:r w:rsidRPr="00B10210">
        <w:tab/>
        <w:t xml:space="preserve">      percentuálna časť sadzby dane </w:t>
      </w:r>
      <w:r w:rsidRPr="00B10210">
        <w:tab/>
        <w:t>– 23 % z ceny cigariet</w:t>
      </w:r>
    </w:p>
    <w:p w:rsidR="00534FA2" w:rsidRPr="00B10210" w:rsidRDefault="00534FA2" w:rsidP="00534FA2">
      <w:r w:rsidRPr="00B10210">
        <w:tab/>
        <w:t xml:space="preserve">      minimálna sadzba dane </w:t>
      </w:r>
      <w:r w:rsidRPr="00B10210">
        <w:tab/>
      </w:r>
      <w:r w:rsidRPr="00B10210">
        <w:tab/>
        <w:t>– 116,50 eura/1 000 kusov</w:t>
      </w:r>
    </w:p>
    <w:p w:rsidR="00534FA2" w:rsidRPr="00B10210" w:rsidRDefault="00534FA2" w:rsidP="00534FA2">
      <w:r w:rsidRPr="00B10210">
        <w:t>- sadzba dane z tabaku v bezdymovom tabakovom výrobku (ďalej len „BTV“) – 132,20 eura/kg.</w:t>
      </w:r>
    </w:p>
    <w:p w:rsidR="00534FA2" w:rsidRPr="00B10210" w:rsidRDefault="00534FA2" w:rsidP="00534FA2"/>
    <w:p w:rsidR="00534FA2" w:rsidRPr="00B10210" w:rsidRDefault="00534FA2" w:rsidP="00534FA2">
      <w:r w:rsidRPr="00B10210">
        <w:t>Návrh zákona upravuje sadzby spotrebnej dane z tabakových výrobkov k 1. februáru 2022 nasledovne:</w:t>
      </w:r>
    </w:p>
    <w:p w:rsidR="00534FA2" w:rsidRPr="00B10210" w:rsidRDefault="00534FA2" w:rsidP="00534FA2">
      <w:r w:rsidRPr="00B10210">
        <w:t>- sadzba dane z tabaku – 95,30 eura/kg,</w:t>
      </w:r>
    </w:p>
    <w:p w:rsidR="00534FA2" w:rsidRPr="00B10210" w:rsidRDefault="00534FA2" w:rsidP="00534FA2">
      <w:r w:rsidRPr="00B10210">
        <w:t xml:space="preserve">- cigarety: špecifická časť sadzby dane </w:t>
      </w:r>
      <w:r w:rsidRPr="00B10210">
        <w:tab/>
        <w:t>– 79,60 eura/1 000 kusov</w:t>
      </w:r>
    </w:p>
    <w:p w:rsidR="00534FA2" w:rsidRPr="00B10210" w:rsidRDefault="00534FA2" w:rsidP="00534FA2">
      <w:r w:rsidRPr="00B10210">
        <w:tab/>
        <w:t xml:space="preserve">      percentuálna časť sadzby dane </w:t>
      </w:r>
      <w:r w:rsidRPr="00B10210">
        <w:tab/>
        <w:t>– 23 % z ceny cigariet</w:t>
      </w:r>
    </w:p>
    <w:p w:rsidR="00534FA2" w:rsidRPr="00B10210" w:rsidRDefault="00534FA2" w:rsidP="00534FA2">
      <w:r w:rsidRPr="00B10210">
        <w:tab/>
        <w:t xml:space="preserve">      minimálna sadzba dane </w:t>
      </w:r>
      <w:r w:rsidRPr="00B10210">
        <w:tab/>
      </w:r>
      <w:r w:rsidRPr="00B10210">
        <w:tab/>
        <w:t>– 124,30 eura/1 000 kusov</w:t>
      </w:r>
    </w:p>
    <w:p w:rsidR="00534FA2" w:rsidRPr="00B10210" w:rsidRDefault="00534FA2" w:rsidP="00534FA2">
      <w:r w:rsidRPr="00B10210">
        <w:t>- sadzba dane z tabaku v bezdymovom tabakovom výrobku (ďalej len „BTV“) – 160 eur/kg.</w:t>
      </w:r>
    </w:p>
    <w:p w:rsidR="00534FA2" w:rsidRPr="00B10210" w:rsidRDefault="00534FA2" w:rsidP="00534FA2"/>
    <w:p w:rsidR="00534FA2" w:rsidRPr="00B10210" w:rsidRDefault="00534FA2" w:rsidP="00534FA2">
      <w:r w:rsidRPr="00B10210">
        <w:t>Návrh zákona upravuje sadzby spotrebnej dane z tabakových výrobkov k 1. februáru 2023 nasledovne:</w:t>
      </w:r>
    </w:p>
    <w:p w:rsidR="00534FA2" w:rsidRPr="00B10210" w:rsidRDefault="00534FA2" w:rsidP="00534FA2">
      <w:r w:rsidRPr="00B10210">
        <w:t xml:space="preserve">- cigary, </w:t>
      </w:r>
      <w:proofErr w:type="spellStart"/>
      <w:r w:rsidRPr="00B10210">
        <w:t>cigarky</w:t>
      </w:r>
      <w:proofErr w:type="spellEnd"/>
      <w:r w:rsidRPr="00B10210">
        <w:t xml:space="preserve"> – 89,30 eura/kg,</w:t>
      </w:r>
    </w:p>
    <w:p w:rsidR="00534FA2" w:rsidRPr="00B10210" w:rsidRDefault="00534FA2" w:rsidP="00534FA2">
      <w:r w:rsidRPr="00B10210">
        <w:t>- sadzba dane z tabaku – 101,30 eura/kg,</w:t>
      </w:r>
    </w:p>
    <w:p w:rsidR="00534FA2" w:rsidRPr="00B10210" w:rsidRDefault="00534FA2" w:rsidP="00534FA2">
      <w:r w:rsidRPr="00B10210">
        <w:t xml:space="preserve">- cigarety: špecifická časť sadzby dane </w:t>
      </w:r>
      <w:r w:rsidRPr="00B10210">
        <w:tab/>
        <w:t>– 84,60 eura/1 000 kusov</w:t>
      </w:r>
    </w:p>
    <w:p w:rsidR="00534FA2" w:rsidRPr="00B10210" w:rsidRDefault="00534FA2" w:rsidP="00534FA2">
      <w:r w:rsidRPr="00B10210">
        <w:tab/>
        <w:t xml:space="preserve">      percentuálna časť sadzby dane </w:t>
      </w:r>
      <w:r w:rsidRPr="00B10210">
        <w:tab/>
        <w:t>– 23 % z ceny cigariet</w:t>
      </w:r>
    </w:p>
    <w:p w:rsidR="00534FA2" w:rsidRPr="00B10210" w:rsidRDefault="00534FA2" w:rsidP="00534FA2">
      <w:r w:rsidRPr="00B10210">
        <w:tab/>
        <w:t xml:space="preserve">      minimálna sadzba dane </w:t>
      </w:r>
      <w:r w:rsidRPr="00B10210">
        <w:tab/>
      </w:r>
      <w:r w:rsidRPr="00B10210">
        <w:tab/>
        <w:t>– 132,10 eura/1 000 kusov</w:t>
      </w:r>
    </w:p>
    <w:p w:rsidR="00534FA2" w:rsidRPr="00B10210" w:rsidRDefault="00534FA2" w:rsidP="00534FA2">
      <w:r w:rsidRPr="00B10210">
        <w:t>- sadzba dane z tabaku v bezdymovom tabakovom výrobku – 187,80 eura/kg.</w:t>
      </w:r>
    </w:p>
    <w:p w:rsidR="00534FA2" w:rsidRPr="00B10210" w:rsidRDefault="00534FA2" w:rsidP="00534FA2"/>
    <w:p w:rsidR="00534FA2" w:rsidRPr="00B10210" w:rsidRDefault="00534FA2" w:rsidP="00534FA2">
      <w:pPr>
        <w:jc w:val="both"/>
      </w:pPr>
      <w:r w:rsidRPr="00B10210">
        <w:t>Predpokladá sa zvýšenie cien cigariet v priemere o 40 centov v roku 2021 a o 20 centov v rokoch 2022 a 2023. Sadzba na tabak sa zvýši rovnakým tempom ako sadzba na cigarety. Dopredávať cigarety bude umožnené 2 mesiace, tabak 6 mesiacov.</w:t>
      </w:r>
    </w:p>
    <w:p w:rsidR="00534FA2" w:rsidRPr="00B10210" w:rsidRDefault="00534FA2" w:rsidP="00534FA2"/>
    <w:p w:rsidR="00534FA2" w:rsidRPr="00B10210" w:rsidRDefault="00534FA2" w:rsidP="00534FA2">
      <w:pPr>
        <w:jc w:val="both"/>
      </w:pPr>
      <w:r w:rsidRPr="00B10210">
        <w:t>Vplyv na daňové príjmy (SD+DPH) je uvedený v nasledovnej tabuľke: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265"/>
        <w:gridCol w:w="2265"/>
        <w:gridCol w:w="2266"/>
      </w:tblGrid>
      <w:tr w:rsidR="00534FA2" w:rsidRPr="00B10210" w:rsidTr="00FC66D4">
        <w:tc>
          <w:tcPr>
            <w:tcW w:w="2265" w:type="dxa"/>
            <w:shd w:val="clear" w:color="auto" w:fill="auto"/>
          </w:tcPr>
          <w:p w:rsidR="00534FA2" w:rsidRPr="00B10210" w:rsidRDefault="00534FA2" w:rsidP="00FC66D4">
            <w:pPr>
              <w:jc w:val="both"/>
            </w:pPr>
            <w:r w:rsidRPr="00B10210">
              <w:t>ESA 2010, v eurách</w:t>
            </w:r>
          </w:p>
        </w:tc>
        <w:tc>
          <w:tcPr>
            <w:tcW w:w="2265" w:type="dxa"/>
            <w:shd w:val="clear" w:color="auto" w:fill="auto"/>
          </w:tcPr>
          <w:p w:rsidR="00534FA2" w:rsidRPr="00B10210" w:rsidRDefault="00534FA2" w:rsidP="00FC66D4">
            <w:pPr>
              <w:jc w:val="center"/>
              <w:rPr>
                <w:b/>
              </w:rPr>
            </w:pPr>
            <w:r w:rsidRPr="00B10210">
              <w:rPr>
                <w:b/>
              </w:rPr>
              <w:t>2021</w:t>
            </w:r>
          </w:p>
        </w:tc>
        <w:tc>
          <w:tcPr>
            <w:tcW w:w="2265" w:type="dxa"/>
            <w:shd w:val="clear" w:color="auto" w:fill="auto"/>
          </w:tcPr>
          <w:p w:rsidR="00534FA2" w:rsidRPr="00B10210" w:rsidRDefault="00534FA2" w:rsidP="00FC66D4">
            <w:pPr>
              <w:jc w:val="center"/>
              <w:rPr>
                <w:b/>
              </w:rPr>
            </w:pPr>
            <w:r w:rsidRPr="00B10210">
              <w:rPr>
                <w:b/>
              </w:rPr>
              <w:t>2022</w:t>
            </w:r>
          </w:p>
        </w:tc>
        <w:tc>
          <w:tcPr>
            <w:tcW w:w="2266" w:type="dxa"/>
            <w:shd w:val="clear" w:color="auto" w:fill="auto"/>
          </w:tcPr>
          <w:p w:rsidR="00534FA2" w:rsidRPr="00B10210" w:rsidRDefault="00534FA2" w:rsidP="00FC66D4">
            <w:pPr>
              <w:jc w:val="center"/>
              <w:rPr>
                <w:b/>
              </w:rPr>
            </w:pPr>
            <w:r w:rsidRPr="00B10210">
              <w:rPr>
                <w:b/>
              </w:rPr>
              <w:t>2023</w:t>
            </w:r>
          </w:p>
        </w:tc>
      </w:tr>
      <w:tr w:rsidR="00534FA2" w:rsidRPr="00B10210" w:rsidTr="00FC66D4">
        <w:tc>
          <w:tcPr>
            <w:tcW w:w="2265" w:type="dxa"/>
            <w:shd w:val="clear" w:color="auto" w:fill="auto"/>
          </w:tcPr>
          <w:p w:rsidR="00534FA2" w:rsidRPr="00B10210" w:rsidRDefault="00534FA2" w:rsidP="00FC66D4">
            <w:pPr>
              <w:jc w:val="both"/>
            </w:pPr>
            <w:r w:rsidRPr="00B10210">
              <w:t xml:space="preserve">   Cigarety</w:t>
            </w:r>
          </w:p>
        </w:tc>
        <w:tc>
          <w:tcPr>
            <w:tcW w:w="2265" w:type="dxa"/>
            <w:shd w:val="clear" w:color="auto" w:fill="auto"/>
          </w:tcPr>
          <w:p w:rsidR="00534FA2" w:rsidRPr="00B10210" w:rsidRDefault="00534FA2" w:rsidP="00FC66D4">
            <w:pPr>
              <w:jc w:val="center"/>
            </w:pPr>
            <w:r w:rsidRPr="00B10210">
              <w:t>96 881 000</w:t>
            </w:r>
          </w:p>
        </w:tc>
        <w:tc>
          <w:tcPr>
            <w:tcW w:w="2265" w:type="dxa"/>
            <w:shd w:val="clear" w:color="auto" w:fill="auto"/>
          </w:tcPr>
          <w:p w:rsidR="00534FA2" w:rsidRPr="00B10210" w:rsidRDefault="00534FA2" w:rsidP="00FC66D4">
            <w:pPr>
              <w:jc w:val="center"/>
            </w:pPr>
            <w:r w:rsidRPr="00B10210">
              <w:t>175 997 000</w:t>
            </w:r>
          </w:p>
        </w:tc>
        <w:tc>
          <w:tcPr>
            <w:tcW w:w="2266" w:type="dxa"/>
            <w:shd w:val="clear" w:color="auto" w:fill="auto"/>
          </w:tcPr>
          <w:p w:rsidR="00534FA2" w:rsidRPr="00B10210" w:rsidRDefault="00534FA2" w:rsidP="00FC66D4">
            <w:pPr>
              <w:jc w:val="center"/>
            </w:pPr>
            <w:r w:rsidRPr="00B10210">
              <w:t>238 427 000</w:t>
            </w:r>
          </w:p>
        </w:tc>
      </w:tr>
      <w:tr w:rsidR="00534FA2" w:rsidRPr="00B10210" w:rsidTr="00FC66D4">
        <w:tc>
          <w:tcPr>
            <w:tcW w:w="2265" w:type="dxa"/>
            <w:shd w:val="clear" w:color="auto" w:fill="auto"/>
          </w:tcPr>
          <w:p w:rsidR="00534FA2" w:rsidRPr="00B10210" w:rsidRDefault="00534FA2" w:rsidP="00FC66D4">
            <w:pPr>
              <w:jc w:val="both"/>
            </w:pPr>
            <w:r w:rsidRPr="00B10210">
              <w:t xml:space="preserve">   Tabak</w:t>
            </w:r>
          </w:p>
        </w:tc>
        <w:tc>
          <w:tcPr>
            <w:tcW w:w="2265" w:type="dxa"/>
            <w:shd w:val="clear" w:color="auto" w:fill="auto"/>
          </w:tcPr>
          <w:p w:rsidR="00534FA2" w:rsidRPr="00B10210" w:rsidRDefault="00534FA2" w:rsidP="00FC66D4">
            <w:pPr>
              <w:jc w:val="center"/>
            </w:pPr>
            <w:r w:rsidRPr="00B10210">
              <w:t xml:space="preserve">  1 022 000</w:t>
            </w:r>
          </w:p>
        </w:tc>
        <w:tc>
          <w:tcPr>
            <w:tcW w:w="2265" w:type="dxa"/>
            <w:shd w:val="clear" w:color="auto" w:fill="auto"/>
          </w:tcPr>
          <w:p w:rsidR="00534FA2" w:rsidRPr="00B10210" w:rsidRDefault="00534FA2" w:rsidP="00FC66D4">
            <w:pPr>
              <w:jc w:val="center"/>
            </w:pPr>
            <w:r w:rsidRPr="00B10210">
              <w:t xml:space="preserve">    2 951 000</w:t>
            </w:r>
          </w:p>
        </w:tc>
        <w:tc>
          <w:tcPr>
            <w:tcW w:w="2266" w:type="dxa"/>
            <w:shd w:val="clear" w:color="auto" w:fill="auto"/>
          </w:tcPr>
          <w:p w:rsidR="00534FA2" w:rsidRPr="00B10210" w:rsidRDefault="00534FA2" w:rsidP="00FC66D4">
            <w:pPr>
              <w:jc w:val="center"/>
            </w:pPr>
            <w:r w:rsidRPr="00B10210">
              <w:t xml:space="preserve">    4 158 000</w:t>
            </w:r>
          </w:p>
        </w:tc>
      </w:tr>
      <w:tr w:rsidR="00534FA2" w:rsidRPr="00B10210" w:rsidTr="00FC66D4">
        <w:tc>
          <w:tcPr>
            <w:tcW w:w="2265" w:type="dxa"/>
            <w:shd w:val="clear" w:color="auto" w:fill="auto"/>
          </w:tcPr>
          <w:p w:rsidR="00534FA2" w:rsidRPr="00B10210" w:rsidRDefault="00534FA2" w:rsidP="00FC66D4">
            <w:pPr>
              <w:jc w:val="both"/>
            </w:pPr>
            <w:r w:rsidRPr="00B10210">
              <w:t>Spolu</w:t>
            </w:r>
          </w:p>
        </w:tc>
        <w:tc>
          <w:tcPr>
            <w:tcW w:w="2265" w:type="dxa"/>
            <w:shd w:val="clear" w:color="auto" w:fill="auto"/>
          </w:tcPr>
          <w:p w:rsidR="00534FA2" w:rsidRPr="00B10210" w:rsidRDefault="00534FA2" w:rsidP="00FC66D4">
            <w:pPr>
              <w:jc w:val="center"/>
            </w:pPr>
            <w:r w:rsidRPr="00B10210">
              <w:t>97 903 000</w:t>
            </w:r>
          </w:p>
        </w:tc>
        <w:tc>
          <w:tcPr>
            <w:tcW w:w="2265" w:type="dxa"/>
            <w:shd w:val="clear" w:color="auto" w:fill="auto"/>
          </w:tcPr>
          <w:p w:rsidR="00534FA2" w:rsidRPr="00B10210" w:rsidRDefault="00534FA2" w:rsidP="00FC66D4">
            <w:pPr>
              <w:jc w:val="center"/>
            </w:pPr>
            <w:r w:rsidRPr="00B10210">
              <w:t>178 948 000</w:t>
            </w:r>
          </w:p>
        </w:tc>
        <w:tc>
          <w:tcPr>
            <w:tcW w:w="2266" w:type="dxa"/>
            <w:shd w:val="clear" w:color="auto" w:fill="auto"/>
          </w:tcPr>
          <w:p w:rsidR="00534FA2" w:rsidRPr="00B10210" w:rsidRDefault="00534FA2" w:rsidP="00FC66D4">
            <w:pPr>
              <w:tabs>
                <w:tab w:val="center" w:pos="1025"/>
                <w:tab w:val="right" w:pos="2050"/>
              </w:tabs>
              <w:jc w:val="center"/>
            </w:pPr>
            <w:r w:rsidRPr="00B10210">
              <w:t>242 585 000</w:t>
            </w:r>
          </w:p>
        </w:tc>
      </w:tr>
    </w:tbl>
    <w:p w:rsidR="00534FA2" w:rsidRPr="00B10210" w:rsidRDefault="00534FA2" w:rsidP="00534FA2"/>
    <w:p w:rsidR="00534FA2" w:rsidRPr="00B10210" w:rsidRDefault="00534FA2" w:rsidP="00534FA2"/>
    <w:p w:rsidR="00534FA2" w:rsidRPr="00B10210" w:rsidRDefault="00534FA2" w:rsidP="00534FA2">
      <w:pPr>
        <w:jc w:val="both"/>
      </w:pPr>
      <w:r w:rsidRPr="00B10210">
        <w:t>V roku 2021 a 2022 sa navrhuje nezvyšovať sadzbu dane na cigary a </w:t>
      </w:r>
      <w:proofErr w:type="spellStart"/>
      <w:r w:rsidRPr="00B10210">
        <w:t>cigarky</w:t>
      </w:r>
      <w:proofErr w:type="spellEnd"/>
      <w:r w:rsidRPr="00B10210">
        <w:t xml:space="preserve"> a v roku 2023 ju zvýšiť na úroveň tabaku zodpovedajúcu hodnote v roku 2021 (89,30 eur/kg). Zároveň sa </w:t>
      </w:r>
      <w:r w:rsidRPr="00B10210">
        <w:lastRenderedPageBreak/>
        <w:t>navrhuje dopredaj v dĺžke 22 mesiacov. Takéto nastavenie dane bude mať na daňové príjmy nulový, resp. zanedbateľný pozitívny vplyv.</w:t>
      </w:r>
    </w:p>
    <w:p w:rsidR="00534FA2" w:rsidRPr="00B10210" w:rsidRDefault="00534FA2" w:rsidP="00534FA2">
      <w:pPr>
        <w:jc w:val="both"/>
      </w:pPr>
    </w:p>
    <w:p w:rsidR="00534FA2" w:rsidRPr="00B10210" w:rsidRDefault="00534FA2" w:rsidP="00534FA2">
      <w:pPr>
        <w:jc w:val="both"/>
      </w:pPr>
      <w:r w:rsidRPr="00B10210">
        <w:t>Súčasná sadzba spotrebnej dane na BTV je 76,70 eur/kg, čo predstavuje 46 centov z ceny výrobku (13 % ceny). Z cigariet v rovnakej cene (3,50 eur) tvorí spotrebná daň až 60 % ceny. Obsah tabaku je v BTV polovičný ako v cigarete.</w:t>
      </w:r>
    </w:p>
    <w:p w:rsidR="00534FA2" w:rsidRPr="00B10210" w:rsidRDefault="00534FA2" w:rsidP="00534FA2">
      <w:pPr>
        <w:jc w:val="both"/>
      </w:pPr>
      <w:r w:rsidRPr="00B10210">
        <w:t>Pri zvýšení sadzby spotrebnej dane na BTV na:</w:t>
      </w:r>
    </w:p>
    <w:p w:rsidR="00534FA2" w:rsidRPr="00B10210" w:rsidRDefault="00534FA2" w:rsidP="00534FA2">
      <w:pPr>
        <w:jc w:val="both"/>
      </w:pPr>
      <w:r w:rsidRPr="00B10210">
        <w:t>- 132,20 eura/kg v roku 2021, bude SD predstavovať 79 centov z ceny výrobku (20 % z ceny),</w:t>
      </w:r>
    </w:p>
    <w:p w:rsidR="00534FA2" w:rsidRPr="00B10210" w:rsidRDefault="00534FA2" w:rsidP="00534FA2">
      <w:pPr>
        <w:jc w:val="both"/>
      </w:pPr>
      <w:r w:rsidRPr="00B10210">
        <w:t>- 160,00 eur/kg v roku 2022, bude SD predstavovať 96 centov z ceny výrobku (23 % z ceny),</w:t>
      </w:r>
    </w:p>
    <w:p w:rsidR="00534FA2" w:rsidRPr="00B10210" w:rsidRDefault="00534FA2" w:rsidP="00534FA2">
      <w:pPr>
        <w:jc w:val="both"/>
      </w:pPr>
      <w:r w:rsidRPr="00B10210">
        <w:t>- 187,80 eura/kg v roku 2023, bude SD predstavovať 1,13 eura z ceny výrobku (26 % z ceny).</w:t>
      </w:r>
    </w:p>
    <w:p w:rsidR="00534FA2" w:rsidRPr="00B10210" w:rsidRDefault="00534FA2" w:rsidP="00534FA2">
      <w:pPr>
        <w:jc w:val="both"/>
      </w:pPr>
    </w:p>
    <w:p w:rsidR="00534FA2" w:rsidRPr="00B10210" w:rsidRDefault="00534FA2" w:rsidP="00534FA2">
      <w:pPr>
        <w:jc w:val="both"/>
      </w:pPr>
      <w:r w:rsidRPr="00B10210">
        <w:t>Pri zvýšení špecifickej časti sadzby dane na cigarety na:</w:t>
      </w:r>
    </w:p>
    <w:p w:rsidR="00534FA2" w:rsidRPr="00B10210" w:rsidRDefault="00534FA2" w:rsidP="00534FA2">
      <w:pPr>
        <w:jc w:val="both"/>
      </w:pPr>
      <w:r w:rsidRPr="00B10210">
        <w:t>- 74,60 eura/1000 kusov v roku 2021, bude SD predstavovať 2,39 eura z ceny výrobku (61 % z ceny),</w:t>
      </w:r>
    </w:p>
    <w:p w:rsidR="00534FA2" w:rsidRPr="00B10210" w:rsidRDefault="00534FA2" w:rsidP="00534FA2">
      <w:pPr>
        <w:jc w:val="both"/>
      </w:pPr>
      <w:r w:rsidRPr="00B10210">
        <w:t>- 79,60 eura/1000 kusov v roku 2022, bude SD predstavovať 2,54 eura z ceny výrobku (62 % z ceny),</w:t>
      </w:r>
    </w:p>
    <w:p w:rsidR="00534FA2" w:rsidRPr="00B10210" w:rsidRDefault="00534FA2" w:rsidP="00534FA2">
      <w:pPr>
        <w:jc w:val="both"/>
      </w:pPr>
      <w:r w:rsidRPr="00B10210">
        <w:t>- 84,60 eura/1000 kusov v roku 2023, bude SD predstavovať 2,68 eura z ceny výrobku (62 % z ceny).</w:t>
      </w:r>
    </w:p>
    <w:p w:rsidR="00534FA2" w:rsidRPr="00B10210" w:rsidRDefault="00534FA2" w:rsidP="00534FA2">
      <w:pPr>
        <w:jc w:val="both"/>
      </w:pPr>
    </w:p>
    <w:p w:rsidR="00534FA2" w:rsidRPr="00B10210" w:rsidRDefault="00534FA2" w:rsidP="00534FA2">
      <w:pPr>
        <w:jc w:val="both"/>
      </w:pPr>
      <w:r w:rsidRPr="00B10210">
        <w:t>V súčasnosti predstavuje zdanenie tabaku v BTV približne iba 44 % zdanenia tabaku v</w:t>
      </w:r>
      <w:r w:rsidR="00C56895" w:rsidRPr="00B10210">
        <w:t> </w:t>
      </w:r>
      <w:r w:rsidRPr="00B10210">
        <w:t>cigaretách, návrh 2021 uvažuje so zvýšením tohto podielu na 66 %.</w:t>
      </w:r>
    </w:p>
    <w:p w:rsidR="00534FA2" w:rsidRPr="00B10210" w:rsidRDefault="00534FA2" w:rsidP="00534FA2">
      <w:pPr>
        <w:jc w:val="both"/>
      </w:pPr>
      <w:r w:rsidRPr="00B10210">
        <w:t>Ak sa zvýšenie spotrebnej dane zohľadní v cene, celková cena balenia BTV by mohla maximálne vzrásť o 40 centov v roku 2021 a o 20 centov v rokoch 2022 a 2023. Dopredaj je navrhnutý na 3 mesiace.</w:t>
      </w:r>
    </w:p>
    <w:p w:rsidR="00534FA2" w:rsidRPr="00B10210" w:rsidRDefault="00534FA2" w:rsidP="00534FA2">
      <w:pPr>
        <w:jc w:val="both"/>
      </w:pPr>
    </w:p>
    <w:p w:rsidR="00534FA2" w:rsidRPr="00B10210" w:rsidRDefault="00534FA2" w:rsidP="00534FA2">
      <w:pPr>
        <w:jc w:val="both"/>
      </w:pPr>
      <w:r w:rsidRPr="00B10210">
        <w:t>Vplyv na daňové príjmy je uvedený v nasledovnej tabuľke:</w:t>
      </w:r>
    </w:p>
    <w:p w:rsidR="00534FA2" w:rsidRPr="00B10210" w:rsidRDefault="00534FA2" w:rsidP="00534FA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265"/>
        <w:gridCol w:w="2265"/>
        <w:gridCol w:w="2266"/>
      </w:tblGrid>
      <w:tr w:rsidR="00534FA2" w:rsidRPr="00B10210" w:rsidTr="00FC66D4">
        <w:tc>
          <w:tcPr>
            <w:tcW w:w="2265" w:type="dxa"/>
            <w:shd w:val="clear" w:color="auto" w:fill="auto"/>
          </w:tcPr>
          <w:p w:rsidR="00534FA2" w:rsidRPr="00B10210" w:rsidRDefault="00534FA2" w:rsidP="00FC66D4">
            <w:pPr>
              <w:jc w:val="both"/>
            </w:pPr>
            <w:r w:rsidRPr="00B10210">
              <w:t>ESA 2010, v eurách</w:t>
            </w:r>
          </w:p>
        </w:tc>
        <w:tc>
          <w:tcPr>
            <w:tcW w:w="2265" w:type="dxa"/>
            <w:shd w:val="clear" w:color="auto" w:fill="auto"/>
          </w:tcPr>
          <w:p w:rsidR="00534FA2" w:rsidRPr="00B10210" w:rsidRDefault="00534FA2" w:rsidP="00FC66D4">
            <w:pPr>
              <w:jc w:val="center"/>
              <w:rPr>
                <w:b/>
              </w:rPr>
            </w:pPr>
            <w:r w:rsidRPr="00B10210">
              <w:rPr>
                <w:b/>
              </w:rPr>
              <w:t>2021</w:t>
            </w:r>
          </w:p>
        </w:tc>
        <w:tc>
          <w:tcPr>
            <w:tcW w:w="2265" w:type="dxa"/>
            <w:shd w:val="clear" w:color="auto" w:fill="auto"/>
          </w:tcPr>
          <w:p w:rsidR="00534FA2" w:rsidRPr="00B10210" w:rsidRDefault="00534FA2" w:rsidP="00FC66D4">
            <w:pPr>
              <w:jc w:val="center"/>
              <w:rPr>
                <w:b/>
              </w:rPr>
            </w:pPr>
            <w:r w:rsidRPr="00B10210">
              <w:rPr>
                <w:b/>
              </w:rPr>
              <w:t>2022</w:t>
            </w:r>
          </w:p>
        </w:tc>
        <w:tc>
          <w:tcPr>
            <w:tcW w:w="2266" w:type="dxa"/>
            <w:shd w:val="clear" w:color="auto" w:fill="auto"/>
          </w:tcPr>
          <w:p w:rsidR="00534FA2" w:rsidRPr="00B10210" w:rsidRDefault="00534FA2" w:rsidP="00FC66D4">
            <w:pPr>
              <w:jc w:val="center"/>
              <w:rPr>
                <w:b/>
              </w:rPr>
            </w:pPr>
            <w:r w:rsidRPr="00B10210">
              <w:rPr>
                <w:b/>
              </w:rPr>
              <w:t>2023</w:t>
            </w:r>
          </w:p>
        </w:tc>
      </w:tr>
      <w:tr w:rsidR="00534FA2" w:rsidRPr="00B10210" w:rsidTr="00FC66D4">
        <w:tc>
          <w:tcPr>
            <w:tcW w:w="2265" w:type="dxa"/>
            <w:shd w:val="clear" w:color="auto" w:fill="auto"/>
          </w:tcPr>
          <w:p w:rsidR="00534FA2" w:rsidRPr="00B10210" w:rsidRDefault="00534FA2" w:rsidP="00FC66D4">
            <w:pPr>
              <w:jc w:val="both"/>
            </w:pPr>
            <w:r w:rsidRPr="00B10210">
              <w:t xml:space="preserve">   BTV</w:t>
            </w:r>
          </w:p>
        </w:tc>
        <w:tc>
          <w:tcPr>
            <w:tcW w:w="2265" w:type="dxa"/>
            <w:shd w:val="clear" w:color="auto" w:fill="auto"/>
          </w:tcPr>
          <w:p w:rsidR="00534FA2" w:rsidRPr="00B10210" w:rsidRDefault="00534FA2" w:rsidP="00FC66D4">
            <w:pPr>
              <w:jc w:val="center"/>
            </w:pPr>
            <w:r w:rsidRPr="00B10210">
              <w:t>4 221 000</w:t>
            </w:r>
          </w:p>
        </w:tc>
        <w:tc>
          <w:tcPr>
            <w:tcW w:w="2265" w:type="dxa"/>
            <w:shd w:val="clear" w:color="auto" w:fill="auto"/>
          </w:tcPr>
          <w:p w:rsidR="00534FA2" w:rsidRPr="00B10210" w:rsidRDefault="00534FA2" w:rsidP="00FC66D4">
            <w:pPr>
              <w:jc w:val="center"/>
            </w:pPr>
            <w:r w:rsidRPr="00B10210">
              <w:t>8 623 000</w:t>
            </w:r>
          </w:p>
        </w:tc>
        <w:tc>
          <w:tcPr>
            <w:tcW w:w="2266" w:type="dxa"/>
            <w:shd w:val="clear" w:color="auto" w:fill="auto"/>
          </w:tcPr>
          <w:p w:rsidR="00534FA2" w:rsidRPr="00B10210" w:rsidRDefault="00534FA2" w:rsidP="00FC66D4">
            <w:pPr>
              <w:jc w:val="center"/>
            </w:pPr>
            <w:r w:rsidRPr="00B10210">
              <w:t>12 110 000</w:t>
            </w:r>
          </w:p>
        </w:tc>
      </w:tr>
    </w:tbl>
    <w:p w:rsidR="00534FA2" w:rsidRPr="00B10210" w:rsidRDefault="00534FA2" w:rsidP="00534FA2"/>
    <w:p w:rsidR="00534FA2" w:rsidRPr="00B10210" w:rsidRDefault="00534FA2" w:rsidP="00534FA2">
      <w:r w:rsidRPr="00B10210">
        <w:t>Celkovo sa daňové príjmy z dôvodu rastu sadzieb spotrebnej dane z tabakových výrobkov zvýšia nasledovne:</w:t>
      </w:r>
    </w:p>
    <w:p w:rsidR="00534FA2" w:rsidRPr="00B10210" w:rsidRDefault="00534FA2" w:rsidP="00534F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265"/>
        <w:gridCol w:w="2265"/>
        <w:gridCol w:w="2266"/>
      </w:tblGrid>
      <w:tr w:rsidR="00534FA2" w:rsidRPr="00B10210" w:rsidTr="00FC66D4">
        <w:tc>
          <w:tcPr>
            <w:tcW w:w="2265" w:type="dxa"/>
            <w:shd w:val="clear" w:color="auto" w:fill="auto"/>
          </w:tcPr>
          <w:p w:rsidR="00534FA2" w:rsidRPr="00B10210" w:rsidRDefault="00534FA2" w:rsidP="00FC66D4">
            <w:pPr>
              <w:jc w:val="both"/>
            </w:pPr>
            <w:r w:rsidRPr="00B10210">
              <w:t>ESA 2010, v eurách</w:t>
            </w:r>
          </w:p>
        </w:tc>
        <w:tc>
          <w:tcPr>
            <w:tcW w:w="2265" w:type="dxa"/>
            <w:shd w:val="clear" w:color="auto" w:fill="auto"/>
          </w:tcPr>
          <w:p w:rsidR="00534FA2" w:rsidRPr="00B10210" w:rsidRDefault="00534FA2" w:rsidP="00FC66D4">
            <w:pPr>
              <w:jc w:val="center"/>
              <w:rPr>
                <w:b/>
              </w:rPr>
            </w:pPr>
            <w:r w:rsidRPr="00B10210">
              <w:rPr>
                <w:b/>
              </w:rPr>
              <w:t>2021</w:t>
            </w:r>
          </w:p>
        </w:tc>
        <w:tc>
          <w:tcPr>
            <w:tcW w:w="2265" w:type="dxa"/>
            <w:shd w:val="clear" w:color="auto" w:fill="auto"/>
          </w:tcPr>
          <w:p w:rsidR="00534FA2" w:rsidRPr="00B10210" w:rsidRDefault="00534FA2" w:rsidP="00FC66D4">
            <w:pPr>
              <w:jc w:val="center"/>
              <w:rPr>
                <w:b/>
              </w:rPr>
            </w:pPr>
            <w:r w:rsidRPr="00B10210">
              <w:rPr>
                <w:b/>
              </w:rPr>
              <w:t>2022</w:t>
            </w:r>
          </w:p>
        </w:tc>
        <w:tc>
          <w:tcPr>
            <w:tcW w:w="2266" w:type="dxa"/>
            <w:shd w:val="clear" w:color="auto" w:fill="auto"/>
          </w:tcPr>
          <w:p w:rsidR="00534FA2" w:rsidRPr="00B10210" w:rsidRDefault="00534FA2" w:rsidP="00FC66D4">
            <w:pPr>
              <w:jc w:val="center"/>
              <w:rPr>
                <w:b/>
              </w:rPr>
            </w:pPr>
            <w:r w:rsidRPr="00B10210">
              <w:rPr>
                <w:b/>
              </w:rPr>
              <w:t>2023</w:t>
            </w:r>
          </w:p>
        </w:tc>
      </w:tr>
      <w:tr w:rsidR="00534FA2" w:rsidRPr="00B10210" w:rsidTr="00FC66D4">
        <w:tc>
          <w:tcPr>
            <w:tcW w:w="2265" w:type="dxa"/>
            <w:shd w:val="clear" w:color="auto" w:fill="auto"/>
          </w:tcPr>
          <w:p w:rsidR="00534FA2" w:rsidRPr="00B10210" w:rsidRDefault="00534FA2" w:rsidP="00FC66D4">
            <w:pPr>
              <w:jc w:val="center"/>
              <w:rPr>
                <w:b/>
              </w:rPr>
            </w:pPr>
            <w:r w:rsidRPr="00B10210">
              <w:rPr>
                <w:b/>
              </w:rPr>
              <w:t>Spolu všetky TV</w:t>
            </w:r>
          </w:p>
        </w:tc>
        <w:tc>
          <w:tcPr>
            <w:tcW w:w="2265" w:type="dxa"/>
            <w:shd w:val="clear" w:color="auto" w:fill="auto"/>
          </w:tcPr>
          <w:p w:rsidR="00534FA2" w:rsidRPr="00B10210" w:rsidRDefault="00534FA2" w:rsidP="00FC66D4">
            <w:pPr>
              <w:jc w:val="center"/>
              <w:rPr>
                <w:b/>
              </w:rPr>
            </w:pPr>
            <w:r w:rsidRPr="00B10210">
              <w:rPr>
                <w:b/>
              </w:rPr>
              <w:t>102 124 000</w:t>
            </w:r>
          </w:p>
        </w:tc>
        <w:tc>
          <w:tcPr>
            <w:tcW w:w="2265" w:type="dxa"/>
            <w:shd w:val="clear" w:color="auto" w:fill="auto"/>
          </w:tcPr>
          <w:p w:rsidR="00534FA2" w:rsidRPr="00B10210" w:rsidRDefault="00534FA2" w:rsidP="00FC66D4">
            <w:pPr>
              <w:jc w:val="center"/>
              <w:rPr>
                <w:b/>
              </w:rPr>
            </w:pPr>
            <w:r w:rsidRPr="00B10210">
              <w:rPr>
                <w:b/>
              </w:rPr>
              <w:t>187 571 000</w:t>
            </w:r>
          </w:p>
        </w:tc>
        <w:tc>
          <w:tcPr>
            <w:tcW w:w="2266" w:type="dxa"/>
            <w:shd w:val="clear" w:color="auto" w:fill="auto"/>
          </w:tcPr>
          <w:p w:rsidR="00534FA2" w:rsidRPr="00B10210" w:rsidRDefault="00534FA2" w:rsidP="00FC66D4">
            <w:pPr>
              <w:jc w:val="center"/>
              <w:rPr>
                <w:b/>
              </w:rPr>
            </w:pPr>
            <w:r w:rsidRPr="00B10210">
              <w:rPr>
                <w:b/>
              </w:rPr>
              <w:t>254 695 000</w:t>
            </w:r>
          </w:p>
        </w:tc>
      </w:tr>
    </w:tbl>
    <w:p w:rsidR="00534FA2" w:rsidRPr="00B10210" w:rsidRDefault="00534FA2" w:rsidP="00534FA2"/>
    <w:p w:rsidR="00534FA2" w:rsidRPr="00B10210" w:rsidRDefault="00534FA2" w:rsidP="00534FA2">
      <w:pPr>
        <w:tabs>
          <w:tab w:val="left" w:pos="709"/>
        </w:tabs>
        <w:jc w:val="both"/>
      </w:pPr>
      <w:r w:rsidRPr="00B10210">
        <w:t xml:space="preserve">V prípade predaja, ponúkania na predaj a skladovania spotrebiteľského balenia cigár </w:t>
      </w:r>
      <w:r w:rsidRPr="00B10210">
        <w:br/>
        <w:t xml:space="preserve">resp. </w:t>
      </w:r>
      <w:proofErr w:type="spellStart"/>
      <w:r w:rsidRPr="00B10210">
        <w:t>cigariek</w:t>
      </w:r>
      <w:proofErr w:type="spellEnd"/>
      <w:r w:rsidRPr="00B10210">
        <w:t xml:space="preserve"> s krycím listom výlučne z prírodného tabaku, označených kontrolnou známkou </w:t>
      </w:r>
      <w:r w:rsidRPr="00B10210">
        <w:br/>
        <w:t>a uvedených do daňového voľného obehu, sa navrhuje dopredaj do vypredania zásob.</w:t>
      </w:r>
    </w:p>
    <w:p w:rsidR="00534FA2" w:rsidRPr="00B10210" w:rsidRDefault="00534FA2" w:rsidP="00534FA2"/>
    <w:p w:rsidR="00534FA2" w:rsidRPr="00B10210" w:rsidRDefault="00534FA2" w:rsidP="00534FA2">
      <w:r w:rsidRPr="00B10210">
        <w:rPr>
          <w:b/>
          <w:bCs/>
        </w:rPr>
        <w:t>2.2.3. Predpoklady vývoja objemu aktivít:</w:t>
      </w:r>
    </w:p>
    <w:p w:rsidR="00534FA2" w:rsidRPr="00B10210" w:rsidRDefault="00534FA2" w:rsidP="00534FA2"/>
    <w:p w:rsidR="00534FA2" w:rsidRPr="00B10210" w:rsidRDefault="00534FA2" w:rsidP="00534FA2">
      <w:pPr>
        <w:ind w:firstLine="708"/>
        <w:jc w:val="both"/>
      </w:pPr>
      <w:r w:rsidRPr="00B10210">
        <w:t>Jasne popíšte, v prípade potreby použite nižšie uvedenú tabuľku. Uveďte aj odhady základov daní a/alebo poplatkov, ak sa ich táto zmena týka.</w:t>
      </w:r>
    </w:p>
    <w:p w:rsidR="00534FA2" w:rsidRPr="00B10210" w:rsidRDefault="00534FA2" w:rsidP="00534FA2">
      <w:pPr>
        <w:jc w:val="right"/>
        <w:rPr>
          <w:sz w:val="20"/>
          <w:szCs w:val="20"/>
        </w:rPr>
      </w:pPr>
      <w:r w:rsidRPr="00B10210">
        <w:rPr>
          <w:sz w:val="20"/>
          <w:szCs w:val="20"/>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534FA2" w:rsidRPr="00B10210" w:rsidTr="00FC66D4">
        <w:trPr>
          <w:cantSplit/>
          <w:trHeight w:val="70"/>
        </w:trPr>
        <w:tc>
          <w:tcPr>
            <w:tcW w:w="4530" w:type="dxa"/>
            <w:vMerge w:val="restart"/>
            <w:shd w:val="clear" w:color="auto" w:fill="BFBFBF"/>
            <w:vAlign w:val="center"/>
          </w:tcPr>
          <w:p w:rsidR="00534FA2" w:rsidRPr="00B10210" w:rsidRDefault="00534FA2" w:rsidP="00FC66D4">
            <w:pPr>
              <w:autoSpaceDE w:val="0"/>
              <w:autoSpaceDN w:val="0"/>
              <w:adjustRightInd w:val="0"/>
              <w:jc w:val="center"/>
              <w:rPr>
                <w:b/>
                <w:bCs/>
              </w:rPr>
            </w:pPr>
            <w:r w:rsidRPr="00B10210">
              <w:rPr>
                <w:b/>
                <w:bCs/>
              </w:rPr>
              <w:t>Objem aktivít</w:t>
            </w:r>
          </w:p>
        </w:tc>
        <w:tc>
          <w:tcPr>
            <w:tcW w:w="4536" w:type="dxa"/>
            <w:gridSpan w:val="4"/>
            <w:shd w:val="clear" w:color="auto" w:fill="BFBFBF"/>
            <w:vAlign w:val="center"/>
          </w:tcPr>
          <w:p w:rsidR="00534FA2" w:rsidRPr="00B10210" w:rsidRDefault="00534FA2" w:rsidP="00FC66D4">
            <w:pPr>
              <w:autoSpaceDE w:val="0"/>
              <w:autoSpaceDN w:val="0"/>
              <w:adjustRightInd w:val="0"/>
              <w:jc w:val="center"/>
              <w:rPr>
                <w:b/>
                <w:bCs/>
              </w:rPr>
            </w:pPr>
            <w:r w:rsidRPr="00B10210">
              <w:rPr>
                <w:b/>
                <w:bCs/>
              </w:rPr>
              <w:t>Odhadované objemy</w:t>
            </w:r>
          </w:p>
        </w:tc>
      </w:tr>
      <w:tr w:rsidR="00534FA2" w:rsidRPr="00B10210" w:rsidTr="00FC66D4">
        <w:trPr>
          <w:cantSplit/>
          <w:trHeight w:val="70"/>
        </w:trPr>
        <w:tc>
          <w:tcPr>
            <w:tcW w:w="4530" w:type="dxa"/>
            <w:vMerge/>
            <w:shd w:val="clear" w:color="auto" w:fill="BFBFBF"/>
          </w:tcPr>
          <w:p w:rsidR="00534FA2" w:rsidRPr="00B10210" w:rsidRDefault="00534FA2" w:rsidP="00FC66D4">
            <w:pPr>
              <w:autoSpaceDE w:val="0"/>
              <w:autoSpaceDN w:val="0"/>
              <w:adjustRightInd w:val="0"/>
              <w:jc w:val="center"/>
              <w:rPr>
                <w:b/>
                <w:bCs/>
              </w:rPr>
            </w:pPr>
          </w:p>
        </w:tc>
        <w:tc>
          <w:tcPr>
            <w:tcW w:w="1134" w:type="dxa"/>
            <w:shd w:val="clear" w:color="auto" w:fill="BFBFBF"/>
          </w:tcPr>
          <w:p w:rsidR="00534FA2" w:rsidRPr="00B10210" w:rsidRDefault="00534FA2" w:rsidP="00FC66D4">
            <w:pPr>
              <w:jc w:val="center"/>
              <w:rPr>
                <w:b/>
                <w:bCs/>
              </w:rPr>
            </w:pPr>
            <w:r w:rsidRPr="00B10210">
              <w:rPr>
                <w:b/>
                <w:bCs/>
              </w:rPr>
              <w:t>2020</w:t>
            </w:r>
          </w:p>
        </w:tc>
        <w:tc>
          <w:tcPr>
            <w:tcW w:w="1134" w:type="dxa"/>
            <w:shd w:val="clear" w:color="auto" w:fill="BFBFBF"/>
          </w:tcPr>
          <w:p w:rsidR="00534FA2" w:rsidRPr="00B10210" w:rsidRDefault="00534FA2" w:rsidP="00FC66D4">
            <w:pPr>
              <w:jc w:val="center"/>
              <w:rPr>
                <w:b/>
                <w:bCs/>
              </w:rPr>
            </w:pPr>
            <w:r w:rsidRPr="00B10210">
              <w:rPr>
                <w:b/>
                <w:bCs/>
              </w:rPr>
              <w:t>2021</w:t>
            </w:r>
          </w:p>
        </w:tc>
        <w:tc>
          <w:tcPr>
            <w:tcW w:w="1134" w:type="dxa"/>
            <w:shd w:val="clear" w:color="auto" w:fill="BFBFBF"/>
          </w:tcPr>
          <w:p w:rsidR="00534FA2" w:rsidRPr="00B10210" w:rsidRDefault="00534FA2" w:rsidP="00FC66D4">
            <w:pPr>
              <w:jc w:val="center"/>
              <w:rPr>
                <w:b/>
                <w:bCs/>
              </w:rPr>
            </w:pPr>
            <w:r w:rsidRPr="00B10210">
              <w:rPr>
                <w:b/>
                <w:bCs/>
              </w:rPr>
              <w:t>2022</w:t>
            </w:r>
          </w:p>
        </w:tc>
        <w:tc>
          <w:tcPr>
            <w:tcW w:w="1134" w:type="dxa"/>
            <w:shd w:val="clear" w:color="auto" w:fill="BFBFBF"/>
          </w:tcPr>
          <w:p w:rsidR="00534FA2" w:rsidRPr="00B10210" w:rsidRDefault="00534FA2" w:rsidP="00FC66D4">
            <w:pPr>
              <w:jc w:val="center"/>
              <w:rPr>
                <w:b/>
                <w:bCs/>
              </w:rPr>
            </w:pPr>
            <w:r w:rsidRPr="00B10210">
              <w:rPr>
                <w:b/>
                <w:bCs/>
              </w:rPr>
              <w:t>2023</w:t>
            </w:r>
          </w:p>
        </w:tc>
      </w:tr>
      <w:tr w:rsidR="00534FA2" w:rsidRPr="00B10210" w:rsidTr="00FC66D4">
        <w:trPr>
          <w:trHeight w:val="70"/>
        </w:trPr>
        <w:tc>
          <w:tcPr>
            <w:tcW w:w="4530" w:type="dxa"/>
          </w:tcPr>
          <w:p w:rsidR="00534FA2" w:rsidRPr="00B10210" w:rsidRDefault="00534FA2" w:rsidP="00FC66D4">
            <w:pPr>
              <w:autoSpaceDE w:val="0"/>
              <w:autoSpaceDN w:val="0"/>
              <w:adjustRightInd w:val="0"/>
              <w:rPr>
                <w:color w:val="000000"/>
              </w:rPr>
            </w:pPr>
            <w:r w:rsidRPr="00B10210">
              <w:rPr>
                <w:color w:val="000000"/>
              </w:rPr>
              <w:t>Indikátor ABC</w:t>
            </w:r>
          </w:p>
        </w:tc>
        <w:tc>
          <w:tcPr>
            <w:tcW w:w="1134" w:type="dxa"/>
          </w:tcPr>
          <w:p w:rsidR="00534FA2" w:rsidRPr="00B10210" w:rsidRDefault="00534FA2" w:rsidP="00FC66D4">
            <w:pPr>
              <w:autoSpaceDE w:val="0"/>
              <w:autoSpaceDN w:val="0"/>
              <w:adjustRightInd w:val="0"/>
              <w:jc w:val="right"/>
              <w:rPr>
                <w:color w:val="000000"/>
              </w:rPr>
            </w:pPr>
          </w:p>
        </w:tc>
        <w:tc>
          <w:tcPr>
            <w:tcW w:w="1134" w:type="dxa"/>
          </w:tcPr>
          <w:p w:rsidR="00534FA2" w:rsidRPr="00B10210" w:rsidRDefault="00534FA2" w:rsidP="00FC66D4">
            <w:pPr>
              <w:autoSpaceDE w:val="0"/>
              <w:autoSpaceDN w:val="0"/>
              <w:adjustRightInd w:val="0"/>
              <w:jc w:val="right"/>
              <w:rPr>
                <w:color w:val="000000"/>
              </w:rPr>
            </w:pPr>
          </w:p>
        </w:tc>
        <w:tc>
          <w:tcPr>
            <w:tcW w:w="1134" w:type="dxa"/>
          </w:tcPr>
          <w:p w:rsidR="00534FA2" w:rsidRPr="00B10210" w:rsidRDefault="00534FA2" w:rsidP="00FC66D4">
            <w:pPr>
              <w:autoSpaceDE w:val="0"/>
              <w:autoSpaceDN w:val="0"/>
              <w:adjustRightInd w:val="0"/>
              <w:jc w:val="right"/>
              <w:rPr>
                <w:color w:val="000000"/>
              </w:rPr>
            </w:pPr>
          </w:p>
        </w:tc>
        <w:tc>
          <w:tcPr>
            <w:tcW w:w="1134" w:type="dxa"/>
          </w:tcPr>
          <w:p w:rsidR="00534FA2" w:rsidRPr="00B10210" w:rsidRDefault="00534FA2" w:rsidP="00FC66D4">
            <w:pPr>
              <w:autoSpaceDE w:val="0"/>
              <w:autoSpaceDN w:val="0"/>
              <w:adjustRightInd w:val="0"/>
              <w:jc w:val="right"/>
              <w:rPr>
                <w:color w:val="000000"/>
              </w:rPr>
            </w:pPr>
          </w:p>
        </w:tc>
      </w:tr>
      <w:tr w:rsidR="00534FA2" w:rsidRPr="00B10210" w:rsidTr="00FC66D4">
        <w:trPr>
          <w:trHeight w:val="70"/>
        </w:trPr>
        <w:tc>
          <w:tcPr>
            <w:tcW w:w="4530" w:type="dxa"/>
          </w:tcPr>
          <w:p w:rsidR="00534FA2" w:rsidRPr="00B10210" w:rsidRDefault="00534FA2" w:rsidP="00FC66D4">
            <w:pPr>
              <w:autoSpaceDE w:val="0"/>
              <w:autoSpaceDN w:val="0"/>
              <w:adjustRightInd w:val="0"/>
              <w:rPr>
                <w:color w:val="000000"/>
              </w:rPr>
            </w:pPr>
            <w:r w:rsidRPr="00B10210">
              <w:rPr>
                <w:color w:val="000000"/>
              </w:rPr>
              <w:t>Indikátor KLM</w:t>
            </w:r>
          </w:p>
        </w:tc>
        <w:tc>
          <w:tcPr>
            <w:tcW w:w="1134" w:type="dxa"/>
          </w:tcPr>
          <w:p w:rsidR="00534FA2" w:rsidRPr="00B10210" w:rsidRDefault="00534FA2" w:rsidP="00FC66D4">
            <w:pPr>
              <w:autoSpaceDE w:val="0"/>
              <w:autoSpaceDN w:val="0"/>
              <w:adjustRightInd w:val="0"/>
              <w:jc w:val="right"/>
              <w:rPr>
                <w:color w:val="000000"/>
              </w:rPr>
            </w:pPr>
          </w:p>
        </w:tc>
        <w:tc>
          <w:tcPr>
            <w:tcW w:w="1134" w:type="dxa"/>
          </w:tcPr>
          <w:p w:rsidR="00534FA2" w:rsidRPr="00B10210" w:rsidRDefault="00534FA2" w:rsidP="00FC66D4">
            <w:pPr>
              <w:autoSpaceDE w:val="0"/>
              <w:autoSpaceDN w:val="0"/>
              <w:adjustRightInd w:val="0"/>
              <w:jc w:val="right"/>
              <w:rPr>
                <w:color w:val="000000"/>
              </w:rPr>
            </w:pPr>
          </w:p>
        </w:tc>
        <w:tc>
          <w:tcPr>
            <w:tcW w:w="1134" w:type="dxa"/>
          </w:tcPr>
          <w:p w:rsidR="00534FA2" w:rsidRPr="00B10210" w:rsidRDefault="00534FA2" w:rsidP="00FC66D4">
            <w:pPr>
              <w:autoSpaceDE w:val="0"/>
              <w:autoSpaceDN w:val="0"/>
              <w:adjustRightInd w:val="0"/>
              <w:jc w:val="right"/>
              <w:rPr>
                <w:color w:val="000000"/>
              </w:rPr>
            </w:pPr>
          </w:p>
        </w:tc>
        <w:tc>
          <w:tcPr>
            <w:tcW w:w="1134" w:type="dxa"/>
          </w:tcPr>
          <w:p w:rsidR="00534FA2" w:rsidRPr="00B10210" w:rsidRDefault="00534FA2" w:rsidP="00FC66D4">
            <w:pPr>
              <w:autoSpaceDE w:val="0"/>
              <w:autoSpaceDN w:val="0"/>
              <w:adjustRightInd w:val="0"/>
              <w:jc w:val="right"/>
              <w:rPr>
                <w:color w:val="000000"/>
              </w:rPr>
            </w:pPr>
          </w:p>
        </w:tc>
      </w:tr>
      <w:tr w:rsidR="00534FA2" w:rsidRPr="00B10210" w:rsidTr="00FC66D4">
        <w:trPr>
          <w:trHeight w:val="70"/>
        </w:trPr>
        <w:tc>
          <w:tcPr>
            <w:tcW w:w="4530" w:type="dxa"/>
          </w:tcPr>
          <w:p w:rsidR="00534FA2" w:rsidRPr="00B10210" w:rsidRDefault="00534FA2" w:rsidP="00FC66D4">
            <w:pPr>
              <w:autoSpaceDE w:val="0"/>
              <w:autoSpaceDN w:val="0"/>
              <w:adjustRightInd w:val="0"/>
              <w:rPr>
                <w:color w:val="000000"/>
              </w:rPr>
            </w:pPr>
            <w:r w:rsidRPr="00B10210">
              <w:rPr>
                <w:color w:val="000000"/>
              </w:rPr>
              <w:t>Indikátor XYZ</w:t>
            </w:r>
          </w:p>
        </w:tc>
        <w:tc>
          <w:tcPr>
            <w:tcW w:w="1134" w:type="dxa"/>
          </w:tcPr>
          <w:p w:rsidR="00534FA2" w:rsidRPr="00B10210" w:rsidRDefault="00534FA2" w:rsidP="00FC66D4">
            <w:pPr>
              <w:autoSpaceDE w:val="0"/>
              <w:autoSpaceDN w:val="0"/>
              <w:adjustRightInd w:val="0"/>
              <w:jc w:val="right"/>
              <w:rPr>
                <w:color w:val="000000"/>
              </w:rPr>
            </w:pPr>
          </w:p>
        </w:tc>
        <w:tc>
          <w:tcPr>
            <w:tcW w:w="1134" w:type="dxa"/>
          </w:tcPr>
          <w:p w:rsidR="00534FA2" w:rsidRPr="00B10210" w:rsidRDefault="00534FA2" w:rsidP="00FC66D4">
            <w:pPr>
              <w:autoSpaceDE w:val="0"/>
              <w:autoSpaceDN w:val="0"/>
              <w:adjustRightInd w:val="0"/>
              <w:jc w:val="right"/>
              <w:rPr>
                <w:color w:val="000000"/>
              </w:rPr>
            </w:pPr>
          </w:p>
        </w:tc>
        <w:tc>
          <w:tcPr>
            <w:tcW w:w="1134" w:type="dxa"/>
          </w:tcPr>
          <w:p w:rsidR="00534FA2" w:rsidRPr="00B10210" w:rsidRDefault="00534FA2" w:rsidP="00FC66D4">
            <w:pPr>
              <w:autoSpaceDE w:val="0"/>
              <w:autoSpaceDN w:val="0"/>
              <w:adjustRightInd w:val="0"/>
              <w:jc w:val="right"/>
              <w:rPr>
                <w:color w:val="000000"/>
              </w:rPr>
            </w:pPr>
          </w:p>
        </w:tc>
        <w:tc>
          <w:tcPr>
            <w:tcW w:w="1134" w:type="dxa"/>
          </w:tcPr>
          <w:p w:rsidR="00534FA2" w:rsidRPr="00B10210" w:rsidRDefault="00534FA2" w:rsidP="00FC66D4">
            <w:pPr>
              <w:autoSpaceDE w:val="0"/>
              <w:autoSpaceDN w:val="0"/>
              <w:adjustRightInd w:val="0"/>
              <w:jc w:val="right"/>
              <w:rPr>
                <w:color w:val="000000"/>
              </w:rPr>
            </w:pPr>
          </w:p>
        </w:tc>
      </w:tr>
    </w:tbl>
    <w:p w:rsidR="00534FA2" w:rsidRDefault="00534FA2" w:rsidP="00534FA2"/>
    <w:p w:rsidR="00011D6C" w:rsidRPr="00B10210" w:rsidRDefault="00011D6C" w:rsidP="00534FA2"/>
    <w:p w:rsidR="00534FA2" w:rsidRPr="00B10210" w:rsidRDefault="00534FA2" w:rsidP="00534FA2">
      <w:pPr>
        <w:rPr>
          <w:b/>
          <w:bCs/>
        </w:rPr>
      </w:pPr>
      <w:r w:rsidRPr="00B10210">
        <w:rPr>
          <w:b/>
          <w:bCs/>
        </w:rPr>
        <w:lastRenderedPageBreak/>
        <w:t>2.2.4. Výpočty vplyvov na verejné financie</w:t>
      </w:r>
    </w:p>
    <w:p w:rsidR="00534FA2" w:rsidRPr="00B10210" w:rsidRDefault="00534FA2" w:rsidP="00534FA2"/>
    <w:p w:rsidR="00534FA2" w:rsidRPr="00B10210" w:rsidRDefault="00534FA2" w:rsidP="00534FA2">
      <w:pPr>
        <w:ind w:firstLine="708"/>
        <w:jc w:val="both"/>
      </w:pPr>
      <w:r w:rsidRPr="00B10210">
        <w:t xml:space="preserve">Uveďte najdôležitejšie výpočty, ktoré boli použité na stanovenie vplyvov na príjmy a výdavky, ako aj predpoklady, z ktorých ste vychádzali. Predkladateľ by mal jasne odlíšiť podklady od kapitol a organizácií, aby bolo jasne vidieť základ použitý na výpočty. </w:t>
      </w:r>
    </w:p>
    <w:p w:rsidR="00534FA2" w:rsidRPr="00B10210" w:rsidRDefault="00534FA2" w:rsidP="00534FA2">
      <w:pPr>
        <w:tabs>
          <w:tab w:val="num" w:pos="1080"/>
        </w:tabs>
        <w:jc w:val="both"/>
        <w:rPr>
          <w:bCs/>
          <w:szCs w:val="20"/>
        </w:rPr>
      </w:pPr>
    </w:p>
    <w:p w:rsidR="00534FA2" w:rsidRPr="00B10210" w:rsidRDefault="00534FA2" w:rsidP="00534FA2">
      <w:pPr>
        <w:tabs>
          <w:tab w:val="num" w:pos="1080"/>
        </w:tabs>
        <w:jc w:val="both"/>
        <w:rPr>
          <w:bCs/>
          <w:szCs w:val="20"/>
        </w:rPr>
      </w:pPr>
    </w:p>
    <w:p w:rsidR="00534FA2" w:rsidRPr="00B10210" w:rsidRDefault="00534FA2" w:rsidP="00534FA2">
      <w:pPr>
        <w:tabs>
          <w:tab w:val="num" w:pos="1080"/>
        </w:tabs>
        <w:jc w:val="both"/>
        <w:rPr>
          <w:bCs/>
          <w:szCs w:val="20"/>
        </w:rPr>
        <w:sectPr w:rsidR="00534FA2" w:rsidRPr="00B10210" w:rsidSect="00FC66D4">
          <w:headerReference w:type="even" r:id="rId8"/>
          <w:footerReference w:type="even" r:id="rId9"/>
          <w:footerReference w:type="default" r:id="rId10"/>
          <w:headerReference w:type="first" r:id="rId11"/>
          <w:footerReference w:type="first" r:id="rId12"/>
          <w:pgSz w:w="11906" w:h="16838"/>
          <w:pgMar w:top="1134" w:right="1418" w:bottom="1134" w:left="1418" w:header="709" w:footer="709" w:gutter="0"/>
          <w:pgNumType w:start="1"/>
          <w:cols w:space="708"/>
          <w:docGrid w:linePitch="360"/>
        </w:sectPr>
      </w:pPr>
    </w:p>
    <w:p w:rsidR="00534FA2" w:rsidRPr="00B10210" w:rsidRDefault="00534FA2" w:rsidP="00534FA2">
      <w:pPr>
        <w:tabs>
          <w:tab w:val="num" w:pos="1080"/>
        </w:tabs>
        <w:jc w:val="right"/>
        <w:rPr>
          <w:bCs/>
        </w:rPr>
      </w:pPr>
      <w:r w:rsidRPr="00B10210">
        <w:rPr>
          <w:bCs/>
        </w:rPr>
        <w:lastRenderedPageBreak/>
        <w:t xml:space="preserve">Tabuľka č. 3 </w:t>
      </w: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534FA2" w:rsidRPr="00B10210" w:rsidTr="00FC66D4">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534FA2" w:rsidRPr="00B10210" w:rsidRDefault="00534FA2" w:rsidP="00FC66D4">
            <w:pPr>
              <w:jc w:val="center"/>
              <w:rPr>
                <w:b/>
                <w:bCs/>
              </w:rPr>
            </w:pPr>
            <w:r w:rsidRPr="00B10210">
              <w:rPr>
                <w:b/>
                <w:bCs/>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cPr>
          <w:p w:rsidR="00534FA2" w:rsidRPr="00B10210" w:rsidRDefault="00534FA2" w:rsidP="00FC66D4">
            <w:pPr>
              <w:jc w:val="center"/>
              <w:rPr>
                <w:b/>
                <w:bCs/>
              </w:rPr>
            </w:pPr>
            <w:r w:rsidRPr="00B10210">
              <w:rPr>
                <w:b/>
                <w:bCs/>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534FA2" w:rsidRPr="00B10210" w:rsidRDefault="00534FA2" w:rsidP="00FC66D4">
            <w:pPr>
              <w:jc w:val="center"/>
              <w:rPr>
                <w:b/>
                <w:bCs/>
              </w:rPr>
            </w:pPr>
            <w:r w:rsidRPr="00B10210">
              <w:rPr>
                <w:b/>
                <w:bCs/>
              </w:rPr>
              <w:t>poznámka</w:t>
            </w:r>
          </w:p>
        </w:tc>
      </w:tr>
      <w:tr w:rsidR="00534FA2" w:rsidRPr="00B10210" w:rsidTr="00FC66D4">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534FA2" w:rsidRPr="00B10210" w:rsidRDefault="00534FA2" w:rsidP="00FC66D4">
            <w:pPr>
              <w:rPr>
                <w:b/>
                <w:bCs/>
                <w:color w:val="FFFFFF"/>
              </w:rPr>
            </w:pPr>
          </w:p>
        </w:tc>
        <w:tc>
          <w:tcPr>
            <w:tcW w:w="1500" w:type="dxa"/>
            <w:tcBorders>
              <w:top w:val="nil"/>
              <w:left w:val="nil"/>
              <w:bottom w:val="single" w:sz="4" w:space="0" w:color="auto"/>
              <w:right w:val="single" w:sz="4" w:space="0" w:color="auto"/>
            </w:tcBorders>
            <w:shd w:val="clear" w:color="auto" w:fill="BFBFBF"/>
          </w:tcPr>
          <w:p w:rsidR="00534FA2" w:rsidRPr="00B10210" w:rsidRDefault="00534FA2" w:rsidP="00FC66D4">
            <w:pPr>
              <w:jc w:val="center"/>
              <w:rPr>
                <w:b/>
                <w:bCs/>
              </w:rPr>
            </w:pPr>
            <w:r w:rsidRPr="00B10210">
              <w:rPr>
                <w:b/>
                <w:bCs/>
              </w:rPr>
              <w:t>2020</w:t>
            </w:r>
          </w:p>
        </w:tc>
        <w:tc>
          <w:tcPr>
            <w:tcW w:w="1500" w:type="dxa"/>
            <w:tcBorders>
              <w:top w:val="nil"/>
              <w:left w:val="nil"/>
              <w:bottom w:val="single" w:sz="4" w:space="0" w:color="auto"/>
              <w:right w:val="single" w:sz="4" w:space="0" w:color="auto"/>
            </w:tcBorders>
            <w:shd w:val="clear" w:color="auto" w:fill="BFBFBF"/>
          </w:tcPr>
          <w:p w:rsidR="00534FA2" w:rsidRPr="00B10210" w:rsidRDefault="00534FA2" w:rsidP="00FC66D4">
            <w:pPr>
              <w:jc w:val="center"/>
              <w:rPr>
                <w:b/>
                <w:bCs/>
              </w:rPr>
            </w:pPr>
            <w:r w:rsidRPr="00B10210">
              <w:rPr>
                <w:b/>
                <w:bCs/>
              </w:rPr>
              <w:t>2021</w:t>
            </w:r>
          </w:p>
        </w:tc>
        <w:tc>
          <w:tcPr>
            <w:tcW w:w="1500" w:type="dxa"/>
            <w:tcBorders>
              <w:top w:val="nil"/>
              <w:left w:val="nil"/>
              <w:bottom w:val="single" w:sz="4" w:space="0" w:color="auto"/>
              <w:right w:val="single" w:sz="4" w:space="0" w:color="auto"/>
            </w:tcBorders>
            <w:shd w:val="clear" w:color="auto" w:fill="BFBFBF"/>
          </w:tcPr>
          <w:p w:rsidR="00534FA2" w:rsidRPr="00B10210" w:rsidRDefault="00534FA2" w:rsidP="00FC66D4">
            <w:pPr>
              <w:jc w:val="center"/>
              <w:rPr>
                <w:b/>
                <w:bCs/>
              </w:rPr>
            </w:pPr>
            <w:r w:rsidRPr="00B10210">
              <w:rPr>
                <w:b/>
                <w:bCs/>
              </w:rPr>
              <w:t>2022</w:t>
            </w:r>
          </w:p>
        </w:tc>
        <w:tc>
          <w:tcPr>
            <w:tcW w:w="1500" w:type="dxa"/>
            <w:tcBorders>
              <w:top w:val="nil"/>
              <w:left w:val="nil"/>
              <w:bottom w:val="single" w:sz="4" w:space="0" w:color="auto"/>
              <w:right w:val="single" w:sz="4" w:space="0" w:color="auto"/>
            </w:tcBorders>
            <w:shd w:val="clear" w:color="auto" w:fill="BFBFBF"/>
          </w:tcPr>
          <w:p w:rsidR="00534FA2" w:rsidRPr="00B10210" w:rsidRDefault="00534FA2" w:rsidP="00FC66D4">
            <w:pPr>
              <w:jc w:val="center"/>
              <w:rPr>
                <w:b/>
                <w:bCs/>
              </w:rPr>
            </w:pPr>
            <w:r w:rsidRPr="00B10210">
              <w:rPr>
                <w:b/>
                <w:bCs/>
              </w:rPr>
              <w:t>2023</w:t>
            </w:r>
          </w:p>
        </w:tc>
        <w:tc>
          <w:tcPr>
            <w:tcW w:w="3000" w:type="dxa"/>
            <w:vMerge/>
            <w:tcBorders>
              <w:top w:val="single" w:sz="4" w:space="0" w:color="auto"/>
              <w:left w:val="single" w:sz="4" w:space="0" w:color="auto"/>
              <w:bottom w:val="single" w:sz="4" w:space="0" w:color="auto"/>
              <w:right w:val="single" w:sz="4" w:space="0" w:color="auto"/>
            </w:tcBorders>
            <w:vAlign w:val="center"/>
          </w:tcPr>
          <w:p w:rsidR="00534FA2" w:rsidRPr="00B10210" w:rsidRDefault="00534FA2" w:rsidP="00FC66D4">
            <w:pPr>
              <w:rPr>
                <w:b/>
                <w:bCs/>
                <w:color w:val="FFFFFF"/>
              </w:rPr>
            </w:pPr>
          </w:p>
        </w:tc>
      </w:tr>
      <w:tr w:rsidR="00534FA2" w:rsidRPr="00B10210" w:rsidTr="00FC66D4">
        <w:trPr>
          <w:trHeight w:val="255"/>
        </w:trPr>
        <w:tc>
          <w:tcPr>
            <w:tcW w:w="4950" w:type="dxa"/>
            <w:tcBorders>
              <w:top w:val="nil"/>
              <w:left w:val="single" w:sz="4" w:space="0" w:color="auto"/>
              <w:bottom w:val="single" w:sz="4" w:space="0" w:color="auto"/>
              <w:right w:val="single" w:sz="4" w:space="0" w:color="auto"/>
            </w:tcBorders>
          </w:tcPr>
          <w:p w:rsidR="00534FA2" w:rsidRPr="00B10210" w:rsidRDefault="00534FA2" w:rsidP="00FC66D4">
            <w:pPr>
              <w:rPr>
                <w:b/>
                <w:bCs/>
                <w:vertAlign w:val="superscript"/>
              </w:rPr>
            </w:pPr>
            <w:r w:rsidRPr="00B10210">
              <w:rPr>
                <w:b/>
                <w:bCs/>
              </w:rPr>
              <w:t>Daňové príjmy (100)</w:t>
            </w:r>
            <w:r w:rsidRPr="00B10210">
              <w:rPr>
                <w:b/>
                <w:bCs/>
                <w:vertAlign w:val="superscript"/>
              </w:rPr>
              <w:t>1</w:t>
            </w:r>
          </w:p>
        </w:tc>
        <w:tc>
          <w:tcPr>
            <w:tcW w:w="1500" w:type="dxa"/>
            <w:tcBorders>
              <w:top w:val="nil"/>
              <w:left w:val="nil"/>
              <w:bottom w:val="single" w:sz="4" w:space="0" w:color="auto"/>
              <w:right w:val="single" w:sz="4" w:space="0" w:color="auto"/>
            </w:tcBorders>
            <w:shd w:val="clear" w:color="auto" w:fill="FFFFFF"/>
            <w:vAlign w:val="center"/>
          </w:tcPr>
          <w:p w:rsidR="00534FA2" w:rsidRPr="00B10210" w:rsidRDefault="00534FA2" w:rsidP="00FC66D4">
            <w:pPr>
              <w:jc w:val="center"/>
              <w:rPr>
                <w:b/>
                <w:bCs/>
                <w:iCs/>
              </w:rPr>
            </w:pPr>
            <w:r w:rsidRPr="00B10210">
              <w:rPr>
                <w:b/>
                <w:bCs/>
              </w:rPr>
              <w:t>0</w:t>
            </w:r>
          </w:p>
        </w:tc>
        <w:tc>
          <w:tcPr>
            <w:tcW w:w="1500" w:type="dxa"/>
            <w:tcBorders>
              <w:top w:val="nil"/>
              <w:left w:val="nil"/>
              <w:bottom w:val="single" w:sz="4" w:space="0" w:color="auto"/>
              <w:right w:val="single" w:sz="4" w:space="0" w:color="auto"/>
            </w:tcBorders>
            <w:vAlign w:val="center"/>
          </w:tcPr>
          <w:p w:rsidR="00534FA2" w:rsidRPr="00B10210" w:rsidRDefault="00534FA2" w:rsidP="00FC66D4">
            <w:pPr>
              <w:jc w:val="center"/>
              <w:rPr>
                <w:b/>
                <w:bCs/>
                <w:iCs/>
                <w:sz w:val="20"/>
                <w:szCs w:val="20"/>
              </w:rPr>
            </w:pPr>
            <w:r w:rsidRPr="00B10210">
              <w:rPr>
                <w:b/>
                <w:sz w:val="20"/>
                <w:szCs w:val="20"/>
              </w:rPr>
              <w:t>102 124 000</w:t>
            </w:r>
          </w:p>
        </w:tc>
        <w:tc>
          <w:tcPr>
            <w:tcW w:w="1500" w:type="dxa"/>
            <w:tcBorders>
              <w:top w:val="nil"/>
              <w:left w:val="nil"/>
              <w:bottom w:val="single" w:sz="4" w:space="0" w:color="auto"/>
              <w:right w:val="single" w:sz="4" w:space="0" w:color="auto"/>
            </w:tcBorders>
            <w:vAlign w:val="center"/>
          </w:tcPr>
          <w:p w:rsidR="00534FA2" w:rsidRPr="00B10210" w:rsidRDefault="00534FA2" w:rsidP="00FC66D4">
            <w:pPr>
              <w:jc w:val="center"/>
              <w:rPr>
                <w:b/>
                <w:bCs/>
                <w:iCs/>
                <w:sz w:val="20"/>
                <w:szCs w:val="20"/>
              </w:rPr>
            </w:pPr>
            <w:r w:rsidRPr="00B10210">
              <w:rPr>
                <w:b/>
                <w:bCs/>
                <w:sz w:val="20"/>
                <w:szCs w:val="20"/>
              </w:rPr>
              <w:t>187 571 000</w:t>
            </w:r>
          </w:p>
        </w:tc>
        <w:tc>
          <w:tcPr>
            <w:tcW w:w="1500" w:type="dxa"/>
            <w:tcBorders>
              <w:top w:val="nil"/>
              <w:left w:val="nil"/>
              <w:bottom w:val="single" w:sz="4" w:space="0" w:color="auto"/>
              <w:right w:val="single" w:sz="4" w:space="0" w:color="auto"/>
            </w:tcBorders>
            <w:vAlign w:val="center"/>
          </w:tcPr>
          <w:p w:rsidR="00534FA2" w:rsidRPr="00B10210" w:rsidRDefault="00534FA2" w:rsidP="00FC66D4">
            <w:pPr>
              <w:jc w:val="center"/>
              <w:rPr>
                <w:b/>
                <w:bCs/>
                <w:iCs/>
                <w:sz w:val="20"/>
                <w:szCs w:val="20"/>
              </w:rPr>
            </w:pPr>
            <w:r w:rsidRPr="00B10210">
              <w:rPr>
                <w:b/>
                <w:bCs/>
                <w:sz w:val="20"/>
                <w:szCs w:val="20"/>
              </w:rPr>
              <w:t>254 695 000</w:t>
            </w:r>
          </w:p>
        </w:tc>
        <w:tc>
          <w:tcPr>
            <w:tcW w:w="3000" w:type="dxa"/>
            <w:tcBorders>
              <w:top w:val="nil"/>
              <w:left w:val="nil"/>
              <w:bottom w:val="single" w:sz="4" w:space="0" w:color="auto"/>
              <w:right w:val="single" w:sz="4" w:space="0" w:color="auto"/>
            </w:tcBorders>
            <w:noWrap/>
            <w:vAlign w:val="bottom"/>
          </w:tcPr>
          <w:p w:rsidR="00534FA2" w:rsidRPr="00B10210" w:rsidRDefault="00534FA2" w:rsidP="00FC66D4">
            <w:r w:rsidRPr="00B10210">
              <w:t> </w:t>
            </w:r>
          </w:p>
        </w:tc>
      </w:tr>
      <w:tr w:rsidR="00534FA2" w:rsidRPr="00B10210" w:rsidTr="00FC66D4">
        <w:trPr>
          <w:trHeight w:val="255"/>
        </w:trPr>
        <w:tc>
          <w:tcPr>
            <w:tcW w:w="4950" w:type="dxa"/>
            <w:tcBorders>
              <w:top w:val="nil"/>
              <w:left w:val="single" w:sz="4" w:space="0" w:color="auto"/>
              <w:bottom w:val="single" w:sz="4" w:space="0" w:color="auto"/>
              <w:right w:val="single" w:sz="4" w:space="0" w:color="auto"/>
            </w:tcBorders>
          </w:tcPr>
          <w:p w:rsidR="00534FA2" w:rsidRPr="00B10210" w:rsidRDefault="00534FA2" w:rsidP="00FC66D4">
            <w:pPr>
              <w:rPr>
                <w:b/>
                <w:bCs/>
              </w:rPr>
            </w:pPr>
            <w:r w:rsidRPr="00B10210">
              <w:rPr>
                <w:b/>
                <w:bCs/>
              </w:rPr>
              <w:t>Nedaňové príjmy (200)</w:t>
            </w:r>
            <w:r w:rsidRPr="00B10210">
              <w:rPr>
                <w:b/>
                <w:bCs/>
                <w:vertAlign w:val="superscript"/>
              </w:rPr>
              <w:t>1</w:t>
            </w:r>
          </w:p>
        </w:tc>
        <w:tc>
          <w:tcPr>
            <w:tcW w:w="1500" w:type="dxa"/>
            <w:tcBorders>
              <w:top w:val="nil"/>
              <w:left w:val="nil"/>
              <w:bottom w:val="single" w:sz="4" w:space="0" w:color="auto"/>
              <w:right w:val="single" w:sz="4" w:space="0" w:color="auto"/>
            </w:tcBorders>
          </w:tcPr>
          <w:p w:rsidR="00534FA2" w:rsidRPr="00B10210" w:rsidRDefault="00534FA2" w:rsidP="00FC66D4">
            <w:pPr>
              <w:jc w:val="center"/>
              <w:rPr>
                <w:b/>
                <w:bCs/>
              </w:rPr>
            </w:pPr>
          </w:p>
        </w:tc>
        <w:tc>
          <w:tcPr>
            <w:tcW w:w="1500" w:type="dxa"/>
            <w:tcBorders>
              <w:top w:val="nil"/>
              <w:left w:val="nil"/>
              <w:bottom w:val="single" w:sz="4" w:space="0" w:color="auto"/>
              <w:right w:val="single" w:sz="4" w:space="0" w:color="auto"/>
            </w:tcBorders>
          </w:tcPr>
          <w:p w:rsidR="00534FA2" w:rsidRPr="00B10210" w:rsidRDefault="00534FA2" w:rsidP="00FC66D4">
            <w:pPr>
              <w:jc w:val="center"/>
              <w:rPr>
                <w:b/>
                <w:bCs/>
              </w:rPr>
            </w:pPr>
          </w:p>
        </w:tc>
        <w:tc>
          <w:tcPr>
            <w:tcW w:w="1500" w:type="dxa"/>
            <w:tcBorders>
              <w:top w:val="nil"/>
              <w:left w:val="nil"/>
              <w:bottom w:val="single" w:sz="4" w:space="0" w:color="auto"/>
              <w:right w:val="single" w:sz="4" w:space="0" w:color="auto"/>
            </w:tcBorders>
          </w:tcPr>
          <w:p w:rsidR="00534FA2" w:rsidRPr="00B10210" w:rsidRDefault="00534FA2" w:rsidP="00FC66D4">
            <w:pPr>
              <w:jc w:val="center"/>
              <w:rPr>
                <w:b/>
                <w:bCs/>
              </w:rPr>
            </w:pPr>
          </w:p>
        </w:tc>
        <w:tc>
          <w:tcPr>
            <w:tcW w:w="1500" w:type="dxa"/>
            <w:tcBorders>
              <w:top w:val="nil"/>
              <w:left w:val="nil"/>
              <w:bottom w:val="single" w:sz="4" w:space="0" w:color="auto"/>
              <w:right w:val="single" w:sz="4" w:space="0" w:color="auto"/>
            </w:tcBorders>
          </w:tcPr>
          <w:p w:rsidR="00534FA2" w:rsidRPr="00B10210" w:rsidRDefault="00534FA2" w:rsidP="00FC66D4">
            <w:pPr>
              <w:jc w:val="center"/>
              <w:rPr>
                <w:b/>
                <w:bCs/>
              </w:rPr>
            </w:pPr>
          </w:p>
        </w:tc>
        <w:tc>
          <w:tcPr>
            <w:tcW w:w="3000" w:type="dxa"/>
            <w:tcBorders>
              <w:top w:val="nil"/>
              <w:left w:val="nil"/>
              <w:bottom w:val="single" w:sz="4" w:space="0" w:color="auto"/>
              <w:right w:val="single" w:sz="4" w:space="0" w:color="auto"/>
            </w:tcBorders>
            <w:noWrap/>
            <w:vAlign w:val="bottom"/>
          </w:tcPr>
          <w:p w:rsidR="00534FA2" w:rsidRPr="00B10210" w:rsidRDefault="00534FA2" w:rsidP="00FC66D4">
            <w:r w:rsidRPr="00B10210">
              <w:t> </w:t>
            </w:r>
          </w:p>
        </w:tc>
      </w:tr>
      <w:tr w:rsidR="00534FA2" w:rsidRPr="00B10210" w:rsidTr="00FC66D4">
        <w:trPr>
          <w:trHeight w:val="255"/>
        </w:trPr>
        <w:tc>
          <w:tcPr>
            <w:tcW w:w="4950" w:type="dxa"/>
            <w:tcBorders>
              <w:top w:val="nil"/>
              <w:left w:val="single" w:sz="4" w:space="0" w:color="auto"/>
              <w:bottom w:val="single" w:sz="4" w:space="0" w:color="auto"/>
              <w:right w:val="single" w:sz="4" w:space="0" w:color="auto"/>
            </w:tcBorders>
          </w:tcPr>
          <w:p w:rsidR="00534FA2" w:rsidRPr="00B10210" w:rsidRDefault="00534FA2" w:rsidP="00FC66D4">
            <w:pPr>
              <w:rPr>
                <w:b/>
                <w:bCs/>
              </w:rPr>
            </w:pPr>
            <w:r w:rsidRPr="00B10210">
              <w:rPr>
                <w:b/>
                <w:bCs/>
              </w:rPr>
              <w:t>Granty a transfery (300)</w:t>
            </w:r>
            <w:r w:rsidRPr="00B10210">
              <w:rPr>
                <w:b/>
                <w:bCs/>
                <w:vertAlign w:val="superscript"/>
              </w:rPr>
              <w:t>1</w:t>
            </w:r>
          </w:p>
        </w:tc>
        <w:tc>
          <w:tcPr>
            <w:tcW w:w="1500" w:type="dxa"/>
            <w:tcBorders>
              <w:top w:val="nil"/>
              <w:left w:val="nil"/>
              <w:bottom w:val="single" w:sz="4" w:space="0" w:color="auto"/>
              <w:right w:val="single" w:sz="4" w:space="0" w:color="auto"/>
            </w:tcBorders>
          </w:tcPr>
          <w:p w:rsidR="00534FA2" w:rsidRPr="00B10210" w:rsidRDefault="00534FA2" w:rsidP="00FC66D4">
            <w:pPr>
              <w:jc w:val="center"/>
              <w:rPr>
                <w:b/>
                <w:bCs/>
              </w:rPr>
            </w:pPr>
          </w:p>
        </w:tc>
        <w:tc>
          <w:tcPr>
            <w:tcW w:w="1500" w:type="dxa"/>
            <w:tcBorders>
              <w:top w:val="nil"/>
              <w:left w:val="nil"/>
              <w:bottom w:val="single" w:sz="4" w:space="0" w:color="auto"/>
              <w:right w:val="single" w:sz="4" w:space="0" w:color="auto"/>
            </w:tcBorders>
          </w:tcPr>
          <w:p w:rsidR="00534FA2" w:rsidRPr="00B10210" w:rsidRDefault="00534FA2" w:rsidP="00FC66D4">
            <w:pPr>
              <w:jc w:val="center"/>
              <w:rPr>
                <w:b/>
                <w:bCs/>
              </w:rPr>
            </w:pPr>
          </w:p>
        </w:tc>
        <w:tc>
          <w:tcPr>
            <w:tcW w:w="1500" w:type="dxa"/>
            <w:tcBorders>
              <w:top w:val="nil"/>
              <w:left w:val="nil"/>
              <w:bottom w:val="single" w:sz="4" w:space="0" w:color="auto"/>
              <w:right w:val="single" w:sz="4" w:space="0" w:color="auto"/>
            </w:tcBorders>
          </w:tcPr>
          <w:p w:rsidR="00534FA2" w:rsidRPr="00B10210" w:rsidRDefault="00534FA2" w:rsidP="00FC66D4">
            <w:pPr>
              <w:jc w:val="center"/>
              <w:rPr>
                <w:b/>
                <w:bCs/>
              </w:rPr>
            </w:pPr>
          </w:p>
        </w:tc>
        <w:tc>
          <w:tcPr>
            <w:tcW w:w="1500" w:type="dxa"/>
            <w:tcBorders>
              <w:top w:val="nil"/>
              <w:left w:val="nil"/>
              <w:bottom w:val="single" w:sz="4" w:space="0" w:color="auto"/>
              <w:right w:val="single" w:sz="4" w:space="0" w:color="auto"/>
            </w:tcBorders>
          </w:tcPr>
          <w:p w:rsidR="00534FA2" w:rsidRPr="00B10210" w:rsidRDefault="00534FA2" w:rsidP="00FC66D4">
            <w:pPr>
              <w:jc w:val="center"/>
              <w:rPr>
                <w:b/>
                <w:bCs/>
              </w:rPr>
            </w:pPr>
          </w:p>
        </w:tc>
        <w:tc>
          <w:tcPr>
            <w:tcW w:w="3000" w:type="dxa"/>
            <w:tcBorders>
              <w:top w:val="nil"/>
              <w:left w:val="nil"/>
              <w:bottom w:val="single" w:sz="4" w:space="0" w:color="auto"/>
              <w:right w:val="single" w:sz="4" w:space="0" w:color="auto"/>
            </w:tcBorders>
            <w:noWrap/>
            <w:vAlign w:val="bottom"/>
          </w:tcPr>
          <w:p w:rsidR="00534FA2" w:rsidRPr="00B10210" w:rsidRDefault="00534FA2" w:rsidP="00FC66D4">
            <w:r w:rsidRPr="00B10210">
              <w:t> </w:t>
            </w:r>
          </w:p>
        </w:tc>
      </w:tr>
      <w:tr w:rsidR="00534FA2" w:rsidRPr="00B10210" w:rsidTr="00FC66D4">
        <w:trPr>
          <w:trHeight w:val="255"/>
        </w:trPr>
        <w:tc>
          <w:tcPr>
            <w:tcW w:w="4950" w:type="dxa"/>
            <w:tcBorders>
              <w:top w:val="nil"/>
              <w:left w:val="single" w:sz="4" w:space="0" w:color="auto"/>
              <w:bottom w:val="single" w:sz="4" w:space="0" w:color="auto"/>
              <w:right w:val="single" w:sz="4" w:space="0" w:color="auto"/>
            </w:tcBorders>
          </w:tcPr>
          <w:p w:rsidR="00534FA2" w:rsidRPr="00B10210" w:rsidRDefault="00534FA2" w:rsidP="00FC66D4">
            <w:pPr>
              <w:rPr>
                <w:b/>
                <w:bCs/>
              </w:rPr>
            </w:pPr>
            <w:r w:rsidRPr="00B10210">
              <w:rPr>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FF"/>
          </w:tcPr>
          <w:p w:rsidR="00534FA2" w:rsidRPr="00B10210" w:rsidRDefault="00534FA2" w:rsidP="00FC66D4">
            <w:pPr>
              <w:jc w:val="center"/>
              <w:rPr>
                <w:b/>
                <w:bCs/>
              </w:rPr>
            </w:pPr>
            <w:r w:rsidRPr="00B10210">
              <w:rPr>
                <w:b/>
                <w:bCs/>
              </w:rPr>
              <w:t> </w:t>
            </w:r>
          </w:p>
        </w:tc>
        <w:tc>
          <w:tcPr>
            <w:tcW w:w="1500" w:type="dxa"/>
            <w:tcBorders>
              <w:top w:val="nil"/>
              <w:left w:val="nil"/>
              <w:bottom w:val="single" w:sz="4" w:space="0" w:color="auto"/>
              <w:right w:val="single" w:sz="4" w:space="0" w:color="auto"/>
            </w:tcBorders>
            <w:shd w:val="clear" w:color="auto" w:fill="FFFFFF"/>
          </w:tcPr>
          <w:p w:rsidR="00534FA2" w:rsidRPr="00B10210" w:rsidRDefault="00534FA2" w:rsidP="00FC66D4">
            <w:pPr>
              <w:jc w:val="center"/>
              <w:rPr>
                <w:b/>
                <w:bCs/>
              </w:rPr>
            </w:pPr>
            <w:r w:rsidRPr="00B10210">
              <w:rPr>
                <w:b/>
                <w:bCs/>
              </w:rPr>
              <w:t> </w:t>
            </w:r>
          </w:p>
        </w:tc>
        <w:tc>
          <w:tcPr>
            <w:tcW w:w="1500" w:type="dxa"/>
            <w:tcBorders>
              <w:top w:val="nil"/>
              <w:left w:val="nil"/>
              <w:bottom w:val="single" w:sz="4" w:space="0" w:color="auto"/>
              <w:right w:val="single" w:sz="4" w:space="0" w:color="auto"/>
            </w:tcBorders>
            <w:shd w:val="clear" w:color="auto" w:fill="FFFFFF"/>
          </w:tcPr>
          <w:p w:rsidR="00534FA2" w:rsidRPr="00B10210" w:rsidRDefault="00534FA2" w:rsidP="00FC66D4">
            <w:pPr>
              <w:jc w:val="center"/>
              <w:rPr>
                <w:b/>
                <w:bCs/>
              </w:rPr>
            </w:pPr>
            <w:r w:rsidRPr="00B10210">
              <w:rPr>
                <w:b/>
                <w:bCs/>
              </w:rPr>
              <w:t> </w:t>
            </w:r>
          </w:p>
        </w:tc>
        <w:tc>
          <w:tcPr>
            <w:tcW w:w="1500" w:type="dxa"/>
            <w:tcBorders>
              <w:top w:val="nil"/>
              <w:left w:val="nil"/>
              <w:bottom w:val="single" w:sz="4" w:space="0" w:color="auto"/>
              <w:right w:val="single" w:sz="4" w:space="0" w:color="auto"/>
            </w:tcBorders>
            <w:shd w:val="clear" w:color="auto" w:fill="FFFFFF"/>
          </w:tcPr>
          <w:p w:rsidR="00534FA2" w:rsidRPr="00B10210" w:rsidRDefault="00534FA2" w:rsidP="00FC66D4">
            <w:pPr>
              <w:jc w:val="center"/>
              <w:rPr>
                <w:b/>
                <w:bCs/>
              </w:rPr>
            </w:pPr>
            <w:r w:rsidRPr="00B10210">
              <w:rPr>
                <w:b/>
                <w:bCs/>
              </w:rPr>
              <w:t> </w:t>
            </w:r>
          </w:p>
        </w:tc>
        <w:tc>
          <w:tcPr>
            <w:tcW w:w="3000" w:type="dxa"/>
            <w:tcBorders>
              <w:top w:val="nil"/>
              <w:left w:val="nil"/>
              <w:bottom w:val="single" w:sz="4" w:space="0" w:color="auto"/>
              <w:right w:val="single" w:sz="4" w:space="0" w:color="auto"/>
            </w:tcBorders>
            <w:noWrap/>
            <w:vAlign w:val="bottom"/>
          </w:tcPr>
          <w:p w:rsidR="00534FA2" w:rsidRPr="00B10210" w:rsidRDefault="00534FA2" w:rsidP="00FC66D4">
            <w:r w:rsidRPr="00B10210">
              <w:t> </w:t>
            </w:r>
          </w:p>
        </w:tc>
      </w:tr>
      <w:tr w:rsidR="00534FA2" w:rsidRPr="00B10210" w:rsidTr="00FC66D4">
        <w:trPr>
          <w:trHeight w:val="255"/>
        </w:trPr>
        <w:tc>
          <w:tcPr>
            <w:tcW w:w="4950" w:type="dxa"/>
            <w:tcBorders>
              <w:top w:val="nil"/>
              <w:left w:val="single" w:sz="4" w:space="0" w:color="auto"/>
              <w:bottom w:val="single" w:sz="4" w:space="0" w:color="auto"/>
              <w:right w:val="single" w:sz="4" w:space="0" w:color="auto"/>
            </w:tcBorders>
          </w:tcPr>
          <w:p w:rsidR="00534FA2" w:rsidRPr="00B10210" w:rsidRDefault="00534FA2" w:rsidP="00FC66D4">
            <w:pPr>
              <w:rPr>
                <w:b/>
                <w:bCs/>
              </w:rPr>
            </w:pPr>
            <w:r w:rsidRPr="00B10210">
              <w:rPr>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FF"/>
          </w:tcPr>
          <w:p w:rsidR="00534FA2" w:rsidRPr="00B10210" w:rsidRDefault="00534FA2" w:rsidP="00FC66D4">
            <w:pPr>
              <w:jc w:val="center"/>
              <w:rPr>
                <w:b/>
                <w:bCs/>
              </w:rPr>
            </w:pPr>
            <w:r w:rsidRPr="00B10210">
              <w:rPr>
                <w:b/>
                <w:bCs/>
              </w:rPr>
              <w:t> </w:t>
            </w:r>
          </w:p>
        </w:tc>
        <w:tc>
          <w:tcPr>
            <w:tcW w:w="1500" w:type="dxa"/>
            <w:tcBorders>
              <w:top w:val="nil"/>
              <w:left w:val="nil"/>
              <w:bottom w:val="single" w:sz="4" w:space="0" w:color="auto"/>
              <w:right w:val="single" w:sz="4" w:space="0" w:color="auto"/>
            </w:tcBorders>
            <w:shd w:val="clear" w:color="auto" w:fill="FFFFFF"/>
          </w:tcPr>
          <w:p w:rsidR="00534FA2" w:rsidRPr="00B10210" w:rsidRDefault="00534FA2" w:rsidP="00FC66D4">
            <w:pPr>
              <w:jc w:val="center"/>
              <w:rPr>
                <w:b/>
                <w:bCs/>
              </w:rPr>
            </w:pPr>
            <w:r w:rsidRPr="00B10210">
              <w:rPr>
                <w:b/>
                <w:bCs/>
              </w:rPr>
              <w:t> </w:t>
            </w:r>
          </w:p>
        </w:tc>
        <w:tc>
          <w:tcPr>
            <w:tcW w:w="1500" w:type="dxa"/>
            <w:tcBorders>
              <w:top w:val="nil"/>
              <w:left w:val="nil"/>
              <w:bottom w:val="single" w:sz="4" w:space="0" w:color="auto"/>
              <w:right w:val="single" w:sz="4" w:space="0" w:color="auto"/>
            </w:tcBorders>
            <w:shd w:val="clear" w:color="auto" w:fill="FFFFFF"/>
          </w:tcPr>
          <w:p w:rsidR="00534FA2" w:rsidRPr="00B10210" w:rsidRDefault="00534FA2" w:rsidP="00FC66D4">
            <w:pPr>
              <w:jc w:val="center"/>
              <w:rPr>
                <w:b/>
                <w:bCs/>
              </w:rPr>
            </w:pPr>
            <w:r w:rsidRPr="00B10210">
              <w:rPr>
                <w:b/>
                <w:bCs/>
              </w:rPr>
              <w:t> </w:t>
            </w:r>
          </w:p>
        </w:tc>
        <w:tc>
          <w:tcPr>
            <w:tcW w:w="1500" w:type="dxa"/>
            <w:tcBorders>
              <w:top w:val="nil"/>
              <w:left w:val="nil"/>
              <w:bottom w:val="single" w:sz="4" w:space="0" w:color="auto"/>
              <w:right w:val="single" w:sz="4" w:space="0" w:color="auto"/>
            </w:tcBorders>
            <w:shd w:val="clear" w:color="auto" w:fill="FFFFFF"/>
          </w:tcPr>
          <w:p w:rsidR="00534FA2" w:rsidRPr="00B10210" w:rsidRDefault="00534FA2" w:rsidP="00FC66D4">
            <w:pPr>
              <w:jc w:val="center"/>
              <w:rPr>
                <w:b/>
                <w:bCs/>
              </w:rPr>
            </w:pPr>
            <w:r w:rsidRPr="00B10210">
              <w:rPr>
                <w:b/>
                <w:bCs/>
              </w:rPr>
              <w:t> </w:t>
            </w:r>
          </w:p>
        </w:tc>
        <w:tc>
          <w:tcPr>
            <w:tcW w:w="3000" w:type="dxa"/>
            <w:tcBorders>
              <w:top w:val="nil"/>
              <w:left w:val="nil"/>
              <w:bottom w:val="single" w:sz="4" w:space="0" w:color="auto"/>
              <w:right w:val="single" w:sz="4" w:space="0" w:color="auto"/>
            </w:tcBorders>
            <w:noWrap/>
            <w:vAlign w:val="bottom"/>
          </w:tcPr>
          <w:p w:rsidR="00534FA2" w:rsidRPr="00B10210" w:rsidRDefault="00534FA2" w:rsidP="00FC66D4">
            <w:r w:rsidRPr="00B10210">
              <w:t> </w:t>
            </w:r>
          </w:p>
        </w:tc>
      </w:tr>
      <w:tr w:rsidR="00534FA2" w:rsidRPr="00B10210" w:rsidTr="00FC66D4">
        <w:trPr>
          <w:trHeight w:val="255"/>
        </w:trPr>
        <w:tc>
          <w:tcPr>
            <w:tcW w:w="4950" w:type="dxa"/>
            <w:tcBorders>
              <w:top w:val="nil"/>
              <w:left w:val="single" w:sz="4" w:space="0" w:color="auto"/>
              <w:bottom w:val="single" w:sz="4" w:space="0" w:color="auto"/>
              <w:right w:val="single" w:sz="4" w:space="0" w:color="auto"/>
            </w:tcBorders>
            <w:shd w:val="clear" w:color="auto" w:fill="BFBFBF"/>
          </w:tcPr>
          <w:p w:rsidR="00534FA2" w:rsidRPr="00B10210" w:rsidRDefault="00534FA2" w:rsidP="00FC66D4">
            <w:pPr>
              <w:rPr>
                <w:b/>
                <w:bCs/>
              </w:rPr>
            </w:pPr>
            <w:r w:rsidRPr="00B10210">
              <w:rPr>
                <w:b/>
                <w:bCs/>
              </w:rPr>
              <w:t>Dopad na príjmy verejnej správy celkom</w:t>
            </w:r>
          </w:p>
        </w:tc>
        <w:tc>
          <w:tcPr>
            <w:tcW w:w="1500" w:type="dxa"/>
            <w:tcBorders>
              <w:top w:val="nil"/>
              <w:left w:val="nil"/>
              <w:bottom w:val="single" w:sz="4" w:space="0" w:color="auto"/>
              <w:right w:val="single" w:sz="4" w:space="0" w:color="auto"/>
            </w:tcBorders>
            <w:shd w:val="clear" w:color="auto" w:fill="BFBFBF"/>
            <w:vAlign w:val="center"/>
          </w:tcPr>
          <w:p w:rsidR="00534FA2" w:rsidRPr="00B10210" w:rsidRDefault="00534FA2" w:rsidP="00FC66D4">
            <w:pPr>
              <w:jc w:val="center"/>
              <w:rPr>
                <w:b/>
                <w:bCs/>
                <w:iCs/>
              </w:rPr>
            </w:pPr>
            <w:r w:rsidRPr="00B10210">
              <w:rPr>
                <w:b/>
                <w:bCs/>
              </w:rPr>
              <w:t>0</w:t>
            </w:r>
          </w:p>
        </w:tc>
        <w:tc>
          <w:tcPr>
            <w:tcW w:w="1500" w:type="dxa"/>
            <w:tcBorders>
              <w:top w:val="nil"/>
              <w:left w:val="nil"/>
              <w:bottom w:val="single" w:sz="4" w:space="0" w:color="auto"/>
              <w:right w:val="single" w:sz="4" w:space="0" w:color="auto"/>
            </w:tcBorders>
            <w:shd w:val="clear" w:color="auto" w:fill="BFBFBF"/>
            <w:vAlign w:val="center"/>
          </w:tcPr>
          <w:p w:rsidR="00534FA2" w:rsidRPr="00B10210" w:rsidRDefault="00534FA2" w:rsidP="00FC66D4">
            <w:pPr>
              <w:jc w:val="center"/>
              <w:rPr>
                <w:b/>
                <w:bCs/>
                <w:iCs/>
                <w:sz w:val="20"/>
                <w:szCs w:val="20"/>
              </w:rPr>
            </w:pPr>
            <w:r w:rsidRPr="00B10210">
              <w:rPr>
                <w:b/>
                <w:sz w:val="20"/>
                <w:szCs w:val="20"/>
              </w:rPr>
              <w:t>102 124 000</w:t>
            </w:r>
          </w:p>
        </w:tc>
        <w:tc>
          <w:tcPr>
            <w:tcW w:w="1500" w:type="dxa"/>
            <w:tcBorders>
              <w:top w:val="nil"/>
              <w:left w:val="nil"/>
              <w:bottom w:val="single" w:sz="4" w:space="0" w:color="auto"/>
              <w:right w:val="single" w:sz="4" w:space="0" w:color="auto"/>
            </w:tcBorders>
            <w:shd w:val="clear" w:color="auto" w:fill="BFBFBF"/>
            <w:vAlign w:val="center"/>
          </w:tcPr>
          <w:p w:rsidR="00534FA2" w:rsidRPr="00B10210" w:rsidRDefault="00534FA2" w:rsidP="00FC66D4">
            <w:pPr>
              <w:jc w:val="center"/>
              <w:rPr>
                <w:b/>
                <w:bCs/>
                <w:iCs/>
                <w:sz w:val="20"/>
                <w:szCs w:val="20"/>
              </w:rPr>
            </w:pPr>
            <w:r w:rsidRPr="00B10210">
              <w:rPr>
                <w:b/>
                <w:bCs/>
                <w:sz w:val="20"/>
                <w:szCs w:val="20"/>
              </w:rPr>
              <w:t>187 571 000</w:t>
            </w:r>
          </w:p>
        </w:tc>
        <w:tc>
          <w:tcPr>
            <w:tcW w:w="1500" w:type="dxa"/>
            <w:tcBorders>
              <w:top w:val="nil"/>
              <w:left w:val="nil"/>
              <w:bottom w:val="single" w:sz="4" w:space="0" w:color="auto"/>
              <w:right w:val="single" w:sz="4" w:space="0" w:color="auto"/>
            </w:tcBorders>
            <w:shd w:val="clear" w:color="auto" w:fill="BFBFBF"/>
            <w:vAlign w:val="center"/>
          </w:tcPr>
          <w:p w:rsidR="00534FA2" w:rsidRPr="00B10210" w:rsidRDefault="00534FA2" w:rsidP="00FC66D4">
            <w:pPr>
              <w:jc w:val="center"/>
              <w:rPr>
                <w:b/>
                <w:bCs/>
                <w:iCs/>
                <w:sz w:val="20"/>
                <w:szCs w:val="20"/>
              </w:rPr>
            </w:pPr>
            <w:r w:rsidRPr="00B10210">
              <w:rPr>
                <w:b/>
                <w:bCs/>
                <w:sz w:val="20"/>
                <w:szCs w:val="20"/>
              </w:rPr>
              <w:t>254 695 000</w:t>
            </w:r>
          </w:p>
        </w:tc>
        <w:tc>
          <w:tcPr>
            <w:tcW w:w="3000" w:type="dxa"/>
            <w:tcBorders>
              <w:top w:val="nil"/>
              <w:left w:val="nil"/>
              <w:bottom w:val="single" w:sz="4" w:space="0" w:color="auto"/>
              <w:right w:val="single" w:sz="4" w:space="0" w:color="auto"/>
            </w:tcBorders>
            <w:shd w:val="clear" w:color="auto" w:fill="BFBFBF"/>
            <w:noWrap/>
            <w:vAlign w:val="bottom"/>
          </w:tcPr>
          <w:p w:rsidR="00534FA2" w:rsidRPr="00B10210" w:rsidRDefault="00534FA2" w:rsidP="00FC66D4">
            <w:r w:rsidRPr="00B10210">
              <w:t> </w:t>
            </w:r>
          </w:p>
        </w:tc>
      </w:tr>
    </w:tbl>
    <w:p w:rsidR="00534FA2" w:rsidRPr="00B10210" w:rsidRDefault="00534FA2" w:rsidP="00534FA2">
      <w:pPr>
        <w:tabs>
          <w:tab w:val="num" w:pos="1080"/>
        </w:tabs>
        <w:jc w:val="both"/>
        <w:rPr>
          <w:bCs/>
          <w:sz w:val="20"/>
          <w:szCs w:val="20"/>
        </w:rPr>
      </w:pPr>
      <w:r w:rsidRPr="00B10210">
        <w:rPr>
          <w:bCs/>
          <w:sz w:val="20"/>
          <w:szCs w:val="20"/>
        </w:rPr>
        <w:t>1 –  príjmy rozpísať až do položiek platnej ekonomickej klasifikácie</w:t>
      </w:r>
    </w:p>
    <w:p w:rsidR="00534FA2" w:rsidRPr="00B10210" w:rsidRDefault="00534FA2" w:rsidP="00534FA2">
      <w:pPr>
        <w:tabs>
          <w:tab w:val="num" w:pos="1080"/>
        </w:tabs>
        <w:jc w:val="both"/>
        <w:rPr>
          <w:b/>
          <w:bCs/>
          <w:szCs w:val="20"/>
        </w:rPr>
      </w:pPr>
      <w:r w:rsidRPr="00B10210">
        <w:rPr>
          <w:b/>
          <w:bCs/>
          <w:szCs w:val="20"/>
        </w:rPr>
        <w:t>Poznámka:</w:t>
      </w:r>
    </w:p>
    <w:p w:rsidR="00534FA2" w:rsidRPr="00B10210" w:rsidRDefault="00534FA2" w:rsidP="00534FA2">
      <w:pPr>
        <w:tabs>
          <w:tab w:val="num" w:pos="1080"/>
        </w:tabs>
        <w:jc w:val="both"/>
        <w:rPr>
          <w:bCs/>
          <w:szCs w:val="20"/>
        </w:rPr>
      </w:pPr>
      <w:r w:rsidRPr="00B10210">
        <w:rPr>
          <w:bCs/>
          <w:szCs w:val="20"/>
        </w:rPr>
        <w:t>Ak sa vplyv týka viacerých subjektov verejnej správy, vypĺňa sa samostatná tabuľka za každý subjekt.</w:t>
      </w:r>
    </w:p>
    <w:p w:rsidR="00534FA2" w:rsidRPr="00B10210" w:rsidRDefault="00534FA2" w:rsidP="00534FA2">
      <w:pPr>
        <w:tabs>
          <w:tab w:val="num" w:pos="1080"/>
        </w:tabs>
        <w:ind w:right="-32"/>
        <w:jc w:val="right"/>
        <w:rPr>
          <w:bCs/>
        </w:rPr>
      </w:pPr>
      <w:r w:rsidRPr="00B10210">
        <w:rPr>
          <w:bCs/>
        </w:rPr>
        <w:t xml:space="preserve">Tabuľka č. 4 </w:t>
      </w: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534FA2" w:rsidRPr="00B10210" w:rsidTr="00FC66D4">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rsidR="00534FA2" w:rsidRPr="00B10210" w:rsidRDefault="00534FA2" w:rsidP="00FC66D4">
            <w:pPr>
              <w:jc w:val="center"/>
              <w:rPr>
                <w:b/>
                <w:bCs/>
                <w:sz w:val="20"/>
                <w:szCs w:val="20"/>
              </w:rPr>
            </w:pPr>
            <w:r w:rsidRPr="00B10210">
              <w:rPr>
                <w:b/>
                <w:bCs/>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cPr>
          <w:p w:rsidR="00534FA2" w:rsidRPr="00B10210" w:rsidRDefault="00534FA2" w:rsidP="00FC66D4">
            <w:pPr>
              <w:jc w:val="center"/>
              <w:rPr>
                <w:b/>
                <w:bCs/>
                <w:sz w:val="20"/>
                <w:szCs w:val="20"/>
              </w:rPr>
            </w:pPr>
            <w:r w:rsidRPr="00B10210">
              <w:rPr>
                <w:b/>
                <w:bCs/>
                <w:sz w:val="20"/>
                <w:szCs w:val="20"/>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534FA2" w:rsidRPr="00B10210" w:rsidRDefault="00534FA2" w:rsidP="00FC66D4">
            <w:pPr>
              <w:jc w:val="center"/>
              <w:rPr>
                <w:b/>
                <w:bCs/>
              </w:rPr>
            </w:pPr>
            <w:r w:rsidRPr="00B10210">
              <w:rPr>
                <w:b/>
                <w:bCs/>
              </w:rPr>
              <w:t>poznámka</w:t>
            </w:r>
          </w:p>
        </w:tc>
      </w:tr>
      <w:tr w:rsidR="00534FA2" w:rsidRPr="00B10210" w:rsidTr="00FC66D4">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534FA2" w:rsidRPr="00B10210" w:rsidRDefault="00534FA2" w:rsidP="00FC66D4">
            <w:pPr>
              <w:rPr>
                <w:b/>
                <w:bCs/>
                <w:color w:val="FFFFFF"/>
                <w:sz w:val="20"/>
                <w:szCs w:val="20"/>
              </w:rPr>
            </w:pPr>
          </w:p>
        </w:tc>
        <w:tc>
          <w:tcPr>
            <w:tcW w:w="1540" w:type="dxa"/>
            <w:tcBorders>
              <w:top w:val="nil"/>
              <w:left w:val="nil"/>
              <w:bottom w:val="single" w:sz="4" w:space="0" w:color="auto"/>
              <w:right w:val="single" w:sz="4" w:space="0" w:color="auto"/>
            </w:tcBorders>
            <w:shd w:val="clear" w:color="auto" w:fill="BFBFBF"/>
          </w:tcPr>
          <w:p w:rsidR="00534FA2" w:rsidRPr="00B10210" w:rsidRDefault="00534FA2" w:rsidP="00FC66D4">
            <w:pPr>
              <w:jc w:val="center"/>
              <w:rPr>
                <w:b/>
                <w:bCs/>
                <w:sz w:val="20"/>
                <w:szCs w:val="20"/>
              </w:rPr>
            </w:pPr>
            <w:r w:rsidRPr="00B10210">
              <w:rPr>
                <w:b/>
                <w:bCs/>
                <w:sz w:val="20"/>
                <w:szCs w:val="20"/>
              </w:rPr>
              <w:t>2020</w:t>
            </w:r>
          </w:p>
        </w:tc>
        <w:tc>
          <w:tcPr>
            <w:tcW w:w="1540" w:type="dxa"/>
            <w:tcBorders>
              <w:top w:val="nil"/>
              <w:left w:val="nil"/>
              <w:bottom w:val="single" w:sz="4" w:space="0" w:color="auto"/>
              <w:right w:val="single" w:sz="4" w:space="0" w:color="auto"/>
            </w:tcBorders>
            <w:shd w:val="clear" w:color="auto" w:fill="BFBFBF"/>
          </w:tcPr>
          <w:p w:rsidR="00534FA2" w:rsidRPr="00B10210" w:rsidRDefault="00534FA2" w:rsidP="00FC66D4">
            <w:pPr>
              <w:jc w:val="center"/>
              <w:rPr>
                <w:b/>
                <w:bCs/>
                <w:sz w:val="20"/>
                <w:szCs w:val="20"/>
              </w:rPr>
            </w:pPr>
            <w:r w:rsidRPr="00B10210">
              <w:rPr>
                <w:b/>
                <w:bCs/>
                <w:sz w:val="20"/>
                <w:szCs w:val="20"/>
              </w:rPr>
              <w:t>2021</w:t>
            </w:r>
          </w:p>
        </w:tc>
        <w:tc>
          <w:tcPr>
            <w:tcW w:w="1540" w:type="dxa"/>
            <w:tcBorders>
              <w:top w:val="nil"/>
              <w:left w:val="nil"/>
              <w:bottom w:val="single" w:sz="4" w:space="0" w:color="auto"/>
              <w:right w:val="single" w:sz="4" w:space="0" w:color="auto"/>
            </w:tcBorders>
            <w:shd w:val="clear" w:color="auto" w:fill="BFBFBF"/>
          </w:tcPr>
          <w:p w:rsidR="00534FA2" w:rsidRPr="00B10210" w:rsidRDefault="00534FA2" w:rsidP="00FC66D4">
            <w:pPr>
              <w:jc w:val="center"/>
              <w:rPr>
                <w:b/>
                <w:bCs/>
                <w:sz w:val="20"/>
                <w:szCs w:val="20"/>
              </w:rPr>
            </w:pPr>
            <w:r w:rsidRPr="00B10210">
              <w:rPr>
                <w:b/>
                <w:bCs/>
                <w:sz w:val="20"/>
                <w:szCs w:val="20"/>
              </w:rPr>
              <w:t>2022</w:t>
            </w:r>
          </w:p>
        </w:tc>
        <w:tc>
          <w:tcPr>
            <w:tcW w:w="1540" w:type="dxa"/>
            <w:tcBorders>
              <w:top w:val="nil"/>
              <w:left w:val="nil"/>
              <w:bottom w:val="single" w:sz="4" w:space="0" w:color="auto"/>
              <w:right w:val="single" w:sz="4" w:space="0" w:color="auto"/>
            </w:tcBorders>
            <w:shd w:val="clear" w:color="auto" w:fill="BFBFBF"/>
          </w:tcPr>
          <w:p w:rsidR="00534FA2" w:rsidRPr="00B10210" w:rsidRDefault="00534FA2" w:rsidP="00FC66D4">
            <w:pPr>
              <w:jc w:val="center"/>
              <w:rPr>
                <w:b/>
                <w:bCs/>
                <w:sz w:val="20"/>
                <w:szCs w:val="20"/>
              </w:rPr>
            </w:pPr>
            <w:r w:rsidRPr="00B10210">
              <w:rPr>
                <w:b/>
                <w:bCs/>
                <w:sz w:val="20"/>
                <w:szCs w:val="20"/>
              </w:rPr>
              <w:t>2023</w:t>
            </w:r>
          </w:p>
        </w:tc>
        <w:tc>
          <w:tcPr>
            <w:tcW w:w="2220" w:type="dxa"/>
            <w:vMerge/>
            <w:tcBorders>
              <w:top w:val="single" w:sz="4" w:space="0" w:color="auto"/>
              <w:left w:val="single" w:sz="4" w:space="0" w:color="auto"/>
              <w:bottom w:val="single" w:sz="4" w:space="0" w:color="auto"/>
              <w:right w:val="single" w:sz="4" w:space="0" w:color="auto"/>
            </w:tcBorders>
            <w:vAlign w:val="center"/>
          </w:tcPr>
          <w:p w:rsidR="00534FA2" w:rsidRPr="00B10210" w:rsidRDefault="00534FA2" w:rsidP="00FC66D4">
            <w:pPr>
              <w:rPr>
                <w:b/>
                <w:bCs/>
                <w:color w:val="FFFFFF"/>
              </w:rPr>
            </w:pPr>
          </w:p>
        </w:tc>
      </w:tr>
      <w:tr w:rsidR="00534FA2" w:rsidRPr="00B10210" w:rsidTr="00FC66D4">
        <w:trPr>
          <w:trHeight w:val="255"/>
        </w:trPr>
        <w:tc>
          <w:tcPr>
            <w:tcW w:w="7070" w:type="dxa"/>
            <w:tcBorders>
              <w:top w:val="nil"/>
              <w:left w:val="single" w:sz="4" w:space="0" w:color="auto"/>
              <w:bottom w:val="single" w:sz="4" w:space="0" w:color="auto"/>
              <w:right w:val="single" w:sz="4" w:space="0" w:color="auto"/>
            </w:tcBorders>
          </w:tcPr>
          <w:p w:rsidR="00534FA2" w:rsidRPr="00B10210" w:rsidRDefault="00534FA2" w:rsidP="00FC66D4">
            <w:pPr>
              <w:rPr>
                <w:b/>
                <w:bCs/>
                <w:sz w:val="20"/>
                <w:szCs w:val="20"/>
              </w:rPr>
            </w:pPr>
            <w:r w:rsidRPr="00B10210">
              <w:rPr>
                <w:b/>
                <w:bCs/>
                <w:sz w:val="20"/>
                <w:szCs w:val="20"/>
              </w:rPr>
              <w:t>Bežné výdavky (600)</w:t>
            </w:r>
          </w:p>
        </w:tc>
        <w:tc>
          <w:tcPr>
            <w:tcW w:w="1540" w:type="dxa"/>
            <w:tcBorders>
              <w:top w:val="nil"/>
              <w:left w:val="nil"/>
              <w:bottom w:val="single" w:sz="4" w:space="0" w:color="auto"/>
              <w:right w:val="single" w:sz="4" w:space="0" w:color="auto"/>
            </w:tcBorders>
          </w:tcPr>
          <w:p w:rsidR="00534FA2" w:rsidRPr="00B10210" w:rsidRDefault="00534FA2" w:rsidP="00FC66D4">
            <w:pPr>
              <w:jc w:val="right"/>
              <w:rPr>
                <w:b/>
                <w:bCs/>
                <w:sz w:val="20"/>
                <w:szCs w:val="20"/>
              </w:rPr>
            </w:pPr>
            <w:r w:rsidRPr="00B10210">
              <w:rPr>
                <w:b/>
                <w:bCs/>
                <w:sz w:val="20"/>
                <w:szCs w:val="20"/>
              </w:rPr>
              <w:t>0,00</w:t>
            </w:r>
          </w:p>
        </w:tc>
        <w:tc>
          <w:tcPr>
            <w:tcW w:w="1540" w:type="dxa"/>
            <w:tcBorders>
              <w:top w:val="nil"/>
              <w:left w:val="nil"/>
              <w:bottom w:val="single" w:sz="4" w:space="0" w:color="auto"/>
              <w:right w:val="single" w:sz="4" w:space="0" w:color="auto"/>
            </w:tcBorders>
          </w:tcPr>
          <w:p w:rsidR="00534FA2" w:rsidRPr="00B10210" w:rsidRDefault="00534FA2" w:rsidP="00FC66D4">
            <w:pPr>
              <w:jc w:val="right"/>
              <w:rPr>
                <w:b/>
                <w:bCs/>
                <w:sz w:val="20"/>
                <w:szCs w:val="20"/>
              </w:rPr>
            </w:pPr>
            <w:r w:rsidRPr="00B10210">
              <w:rPr>
                <w:b/>
                <w:bCs/>
                <w:sz w:val="20"/>
                <w:szCs w:val="20"/>
              </w:rPr>
              <w:t>0,00</w:t>
            </w:r>
          </w:p>
        </w:tc>
        <w:tc>
          <w:tcPr>
            <w:tcW w:w="1540" w:type="dxa"/>
            <w:tcBorders>
              <w:top w:val="nil"/>
              <w:left w:val="nil"/>
              <w:bottom w:val="single" w:sz="4" w:space="0" w:color="auto"/>
              <w:right w:val="single" w:sz="4" w:space="0" w:color="auto"/>
            </w:tcBorders>
          </w:tcPr>
          <w:p w:rsidR="00534FA2" w:rsidRPr="00B10210" w:rsidRDefault="00534FA2" w:rsidP="00FC66D4">
            <w:pPr>
              <w:jc w:val="right"/>
              <w:rPr>
                <w:b/>
                <w:bCs/>
                <w:sz w:val="20"/>
                <w:szCs w:val="20"/>
              </w:rPr>
            </w:pPr>
            <w:r w:rsidRPr="00B10210">
              <w:rPr>
                <w:b/>
                <w:bCs/>
                <w:sz w:val="20"/>
                <w:szCs w:val="20"/>
              </w:rPr>
              <w:t>0,00</w:t>
            </w:r>
          </w:p>
        </w:tc>
        <w:tc>
          <w:tcPr>
            <w:tcW w:w="1540" w:type="dxa"/>
            <w:tcBorders>
              <w:top w:val="nil"/>
              <w:left w:val="nil"/>
              <w:bottom w:val="single" w:sz="4" w:space="0" w:color="auto"/>
              <w:right w:val="single" w:sz="4" w:space="0" w:color="auto"/>
            </w:tcBorders>
          </w:tcPr>
          <w:p w:rsidR="00534FA2" w:rsidRPr="00B10210" w:rsidRDefault="00534FA2" w:rsidP="00FC66D4">
            <w:pPr>
              <w:jc w:val="right"/>
              <w:rPr>
                <w:b/>
                <w:bCs/>
              </w:rPr>
            </w:pPr>
            <w:r w:rsidRPr="00B10210">
              <w:rPr>
                <w:b/>
                <w:bCs/>
                <w:sz w:val="20"/>
                <w:szCs w:val="20"/>
              </w:rPr>
              <w:t>0,00</w:t>
            </w:r>
          </w:p>
        </w:tc>
        <w:tc>
          <w:tcPr>
            <w:tcW w:w="2220" w:type="dxa"/>
            <w:tcBorders>
              <w:top w:val="nil"/>
              <w:left w:val="nil"/>
              <w:bottom w:val="single" w:sz="4" w:space="0" w:color="auto"/>
              <w:right w:val="single" w:sz="4" w:space="0" w:color="auto"/>
            </w:tcBorders>
            <w:noWrap/>
            <w:vAlign w:val="bottom"/>
          </w:tcPr>
          <w:p w:rsidR="00534FA2" w:rsidRPr="00B10210" w:rsidRDefault="00534FA2" w:rsidP="00FC66D4">
            <w:r w:rsidRPr="00B10210">
              <w:t> </w:t>
            </w:r>
          </w:p>
        </w:tc>
      </w:tr>
      <w:tr w:rsidR="00534FA2" w:rsidRPr="00B10210" w:rsidTr="00FC66D4">
        <w:trPr>
          <w:trHeight w:val="255"/>
        </w:trPr>
        <w:tc>
          <w:tcPr>
            <w:tcW w:w="7070" w:type="dxa"/>
            <w:tcBorders>
              <w:top w:val="nil"/>
              <w:left w:val="single" w:sz="4" w:space="0" w:color="auto"/>
              <w:bottom w:val="single" w:sz="4" w:space="0" w:color="auto"/>
              <w:right w:val="single" w:sz="4" w:space="0" w:color="auto"/>
            </w:tcBorders>
          </w:tcPr>
          <w:p w:rsidR="00534FA2" w:rsidRPr="00B10210" w:rsidRDefault="00534FA2" w:rsidP="00FC66D4">
            <w:pPr>
              <w:rPr>
                <w:sz w:val="20"/>
                <w:szCs w:val="20"/>
              </w:rPr>
            </w:pPr>
            <w:r w:rsidRPr="00B10210">
              <w:rPr>
                <w:sz w:val="20"/>
                <w:szCs w:val="20"/>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534FA2" w:rsidRPr="00B10210" w:rsidRDefault="00534FA2" w:rsidP="00FC66D4">
            <w:pPr>
              <w:jc w:val="right"/>
              <w:rPr>
                <w:sz w:val="20"/>
                <w:szCs w:val="20"/>
              </w:rPr>
            </w:pPr>
            <w:r w:rsidRPr="00B10210">
              <w:rPr>
                <w:bCs/>
                <w:sz w:val="20"/>
                <w:szCs w:val="20"/>
              </w:rPr>
              <w:t>0,00</w:t>
            </w:r>
          </w:p>
        </w:tc>
        <w:tc>
          <w:tcPr>
            <w:tcW w:w="1540" w:type="dxa"/>
            <w:tcBorders>
              <w:top w:val="nil"/>
              <w:left w:val="nil"/>
              <w:bottom w:val="single" w:sz="4" w:space="0" w:color="auto"/>
              <w:right w:val="single" w:sz="4" w:space="0" w:color="auto"/>
            </w:tcBorders>
          </w:tcPr>
          <w:p w:rsidR="00534FA2" w:rsidRPr="00B10210" w:rsidRDefault="00534FA2" w:rsidP="00FC66D4">
            <w:pPr>
              <w:jc w:val="right"/>
              <w:rPr>
                <w:sz w:val="20"/>
                <w:szCs w:val="20"/>
              </w:rPr>
            </w:pPr>
            <w:r w:rsidRPr="00B10210">
              <w:rPr>
                <w:bCs/>
                <w:sz w:val="20"/>
                <w:szCs w:val="20"/>
              </w:rPr>
              <w:t>0,00</w:t>
            </w:r>
          </w:p>
        </w:tc>
        <w:tc>
          <w:tcPr>
            <w:tcW w:w="1540" w:type="dxa"/>
            <w:tcBorders>
              <w:top w:val="nil"/>
              <w:left w:val="nil"/>
              <w:bottom w:val="single" w:sz="4" w:space="0" w:color="auto"/>
              <w:right w:val="single" w:sz="4" w:space="0" w:color="auto"/>
            </w:tcBorders>
          </w:tcPr>
          <w:p w:rsidR="00534FA2" w:rsidRPr="00B10210" w:rsidRDefault="00534FA2" w:rsidP="00FC66D4">
            <w:pPr>
              <w:jc w:val="right"/>
              <w:rPr>
                <w:sz w:val="20"/>
                <w:szCs w:val="20"/>
              </w:rPr>
            </w:pPr>
            <w:r w:rsidRPr="00B10210">
              <w:rPr>
                <w:bCs/>
                <w:sz w:val="20"/>
                <w:szCs w:val="20"/>
              </w:rPr>
              <w:t>0,00</w:t>
            </w:r>
          </w:p>
        </w:tc>
        <w:tc>
          <w:tcPr>
            <w:tcW w:w="1540" w:type="dxa"/>
            <w:tcBorders>
              <w:top w:val="nil"/>
              <w:left w:val="nil"/>
              <w:bottom w:val="single" w:sz="4" w:space="0" w:color="auto"/>
              <w:right w:val="single" w:sz="4" w:space="0" w:color="auto"/>
            </w:tcBorders>
          </w:tcPr>
          <w:p w:rsidR="00534FA2" w:rsidRPr="00B10210" w:rsidRDefault="00534FA2" w:rsidP="00FC66D4">
            <w:pPr>
              <w:jc w:val="right"/>
            </w:pPr>
            <w:r w:rsidRPr="00B10210">
              <w:rPr>
                <w:bCs/>
                <w:sz w:val="20"/>
                <w:szCs w:val="20"/>
              </w:rPr>
              <w:t>0,00</w:t>
            </w:r>
          </w:p>
        </w:tc>
        <w:tc>
          <w:tcPr>
            <w:tcW w:w="2220" w:type="dxa"/>
            <w:tcBorders>
              <w:top w:val="nil"/>
              <w:left w:val="nil"/>
              <w:bottom w:val="single" w:sz="4" w:space="0" w:color="auto"/>
              <w:right w:val="single" w:sz="4" w:space="0" w:color="auto"/>
            </w:tcBorders>
            <w:noWrap/>
            <w:vAlign w:val="bottom"/>
          </w:tcPr>
          <w:p w:rsidR="00534FA2" w:rsidRPr="00B10210" w:rsidRDefault="00534FA2" w:rsidP="00FC66D4">
            <w:r w:rsidRPr="00B10210">
              <w:t> </w:t>
            </w:r>
          </w:p>
        </w:tc>
      </w:tr>
      <w:tr w:rsidR="00534FA2" w:rsidRPr="00B10210" w:rsidTr="00FC66D4">
        <w:trPr>
          <w:trHeight w:val="255"/>
        </w:trPr>
        <w:tc>
          <w:tcPr>
            <w:tcW w:w="7070" w:type="dxa"/>
            <w:tcBorders>
              <w:top w:val="nil"/>
              <w:left w:val="single" w:sz="4" w:space="0" w:color="auto"/>
              <w:bottom w:val="single" w:sz="4" w:space="0" w:color="auto"/>
              <w:right w:val="single" w:sz="4" w:space="0" w:color="auto"/>
            </w:tcBorders>
          </w:tcPr>
          <w:p w:rsidR="00534FA2" w:rsidRPr="00B10210" w:rsidRDefault="00534FA2" w:rsidP="00FC66D4">
            <w:pPr>
              <w:rPr>
                <w:sz w:val="20"/>
                <w:szCs w:val="20"/>
                <w:vertAlign w:val="superscript"/>
              </w:rPr>
            </w:pPr>
            <w:r w:rsidRPr="00B10210">
              <w:rPr>
                <w:sz w:val="20"/>
                <w:szCs w:val="20"/>
              </w:rPr>
              <w:t xml:space="preserve">  Poistné a príspevok do poisťovní (620)</w:t>
            </w:r>
          </w:p>
        </w:tc>
        <w:tc>
          <w:tcPr>
            <w:tcW w:w="1540" w:type="dxa"/>
            <w:tcBorders>
              <w:top w:val="nil"/>
              <w:left w:val="nil"/>
              <w:bottom w:val="single" w:sz="4" w:space="0" w:color="auto"/>
              <w:right w:val="single" w:sz="4" w:space="0" w:color="auto"/>
            </w:tcBorders>
          </w:tcPr>
          <w:p w:rsidR="00534FA2" w:rsidRPr="00B10210" w:rsidRDefault="00534FA2" w:rsidP="00FC66D4">
            <w:pPr>
              <w:jc w:val="right"/>
              <w:rPr>
                <w:sz w:val="20"/>
                <w:szCs w:val="20"/>
              </w:rPr>
            </w:pPr>
            <w:r w:rsidRPr="00B10210">
              <w:rPr>
                <w:bCs/>
                <w:sz w:val="20"/>
                <w:szCs w:val="20"/>
              </w:rPr>
              <w:t>0,00</w:t>
            </w:r>
          </w:p>
        </w:tc>
        <w:tc>
          <w:tcPr>
            <w:tcW w:w="1540" w:type="dxa"/>
            <w:tcBorders>
              <w:top w:val="nil"/>
              <w:left w:val="nil"/>
              <w:bottom w:val="single" w:sz="4" w:space="0" w:color="auto"/>
              <w:right w:val="single" w:sz="4" w:space="0" w:color="auto"/>
            </w:tcBorders>
          </w:tcPr>
          <w:p w:rsidR="00534FA2" w:rsidRPr="00B10210" w:rsidRDefault="00534FA2" w:rsidP="00FC66D4">
            <w:pPr>
              <w:jc w:val="right"/>
              <w:rPr>
                <w:sz w:val="20"/>
                <w:szCs w:val="20"/>
              </w:rPr>
            </w:pPr>
            <w:r w:rsidRPr="00B10210">
              <w:rPr>
                <w:bCs/>
                <w:sz w:val="20"/>
                <w:szCs w:val="20"/>
              </w:rPr>
              <w:t>0,00</w:t>
            </w:r>
          </w:p>
        </w:tc>
        <w:tc>
          <w:tcPr>
            <w:tcW w:w="1540" w:type="dxa"/>
            <w:tcBorders>
              <w:top w:val="nil"/>
              <w:left w:val="nil"/>
              <w:bottom w:val="single" w:sz="4" w:space="0" w:color="auto"/>
              <w:right w:val="single" w:sz="4" w:space="0" w:color="auto"/>
            </w:tcBorders>
          </w:tcPr>
          <w:p w:rsidR="00534FA2" w:rsidRPr="00B10210" w:rsidRDefault="00534FA2" w:rsidP="00FC66D4">
            <w:pPr>
              <w:jc w:val="right"/>
              <w:rPr>
                <w:sz w:val="20"/>
                <w:szCs w:val="20"/>
              </w:rPr>
            </w:pPr>
            <w:r w:rsidRPr="00B10210">
              <w:rPr>
                <w:bCs/>
                <w:sz w:val="20"/>
                <w:szCs w:val="20"/>
              </w:rPr>
              <w:t>0,00</w:t>
            </w:r>
          </w:p>
        </w:tc>
        <w:tc>
          <w:tcPr>
            <w:tcW w:w="1540" w:type="dxa"/>
            <w:tcBorders>
              <w:top w:val="nil"/>
              <w:left w:val="nil"/>
              <w:bottom w:val="single" w:sz="4" w:space="0" w:color="auto"/>
              <w:right w:val="single" w:sz="4" w:space="0" w:color="auto"/>
            </w:tcBorders>
          </w:tcPr>
          <w:p w:rsidR="00534FA2" w:rsidRPr="00B10210" w:rsidRDefault="00534FA2" w:rsidP="00FC66D4">
            <w:pPr>
              <w:jc w:val="right"/>
            </w:pPr>
            <w:r w:rsidRPr="00B10210">
              <w:rPr>
                <w:bCs/>
                <w:sz w:val="20"/>
                <w:szCs w:val="20"/>
              </w:rPr>
              <w:t>0,00</w:t>
            </w:r>
          </w:p>
        </w:tc>
        <w:tc>
          <w:tcPr>
            <w:tcW w:w="2220" w:type="dxa"/>
            <w:tcBorders>
              <w:top w:val="nil"/>
              <w:left w:val="nil"/>
              <w:bottom w:val="single" w:sz="4" w:space="0" w:color="auto"/>
              <w:right w:val="single" w:sz="4" w:space="0" w:color="auto"/>
            </w:tcBorders>
            <w:noWrap/>
            <w:vAlign w:val="bottom"/>
          </w:tcPr>
          <w:p w:rsidR="00534FA2" w:rsidRPr="00B10210" w:rsidRDefault="00534FA2" w:rsidP="00FC66D4">
            <w:r w:rsidRPr="00B10210">
              <w:t> </w:t>
            </w:r>
          </w:p>
        </w:tc>
      </w:tr>
      <w:tr w:rsidR="00534FA2" w:rsidRPr="00B10210" w:rsidTr="00FC66D4">
        <w:trPr>
          <w:trHeight w:val="255"/>
        </w:trPr>
        <w:tc>
          <w:tcPr>
            <w:tcW w:w="7070" w:type="dxa"/>
            <w:tcBorders>
              <w:top w:val="nil"/>
              <w:left w:val="single" w:sz="4" w:space="0" w:color="auto"/>
              <w:bottom w:val="single" w:sz="4" w:space="0" w:color="auto"/>
              <w:right w:val="single" w:sz="4" w:space="0" w:color="auto"/>
            </w:tcBorders>
          </w:tcPr>
          <w:p w:rsidR="00534FA2" w:rsidRPr="00B10210" w:rsidRDefault="00534FA2" w:rsidP="00FC66D4">
            <w:pPr>
              <w:rPr>
                <w:sz w:val="20"/>
                <w:szCs w:val="20"/>
                <w:vertAlign w:val="superscript"/>
              </w:rPr>
            </w:pPr>
            <w:r w:rsidRPr="00B10210">
              <w:rPr>
                <w:sz w:val="20"/>
                <w:szCs w:val="20"/>
              </w:rPr>
              <w:t xml:space="preserve">  Tovary a služby (630)</w:t>
            </w:r>
            <w:r w:rsidRPr="00B10210">
              <w:rPr>
                <w:sz w:val="20"/>
                <w:szCs w:val="20"/>
                <w:vertAlign w:val="superscript"/>
              </w:rPr>
              <w:t>2</w:t>
            </w:r>
          </w:p>
        </w:tc>
        <w:tc>
          <w:tcPr>
            <w:tcW w:w="1540" w:type="dxa"/>
            <w:tcBorders>
              <w:top w:val="nil"/>
              <w:left w:val="nil"/>
              <w:bottom w:val="single" w:sz="4" w:space="0" w:color="auto"/>
              <w:right w:val="single" w:sz="4" w:space="0" w:color="auto"/>
            </w:tcBorders>
          </w:tcPr>
          <w:p w:rsidR="00534FA2" w:rsidRPr="00B10210" w:rsidRDefault="00534FA2" w:rsidP="00FC66D4">
            <w:pPr>
              <w:jc w:val="right"/>
              <w:rPr>
                <w:sz w:val="20"/>
                <w:szCs w:val="20"/>
              </w:rPr>
            </w:pPr>
            <w:r w:rsidRPr="00B10210">
              <w:rPr>
                <w:bCs/>
                <w:sz w:val="20"/>
                <w:szCs w:val="20"/>
              </w:rPr>
              <w:t>0,00</w:t>
            </w:r>
          </w:p>
        </w:tc>
        <w:tc>
          <w:tcPr>
            <w:tcW w:w="1540" w:type="dxa"/>
            <w:tcBorders>
              <w:top w:val="nil"/>
              <w:left w:val="nil"/>
              <w:bottom w:val="single" w:sz="4" w:space="0" w:color="auto"/>
              <w:right w:val="single" w:sz="4" w:space="0" w:color="auto"/>
            </w:tcBorders>
          </w:tcPr>
          <w:p w:rsidR="00534FA2" w:rsidRPr="00B10210" w:rsidRDefault="00534FA2" w:rsidP="00FC66D4">
            <w:pPr>
              <w:jc w:val="right"/>
              <w:rPr>
                <w:sz w:val="20"/>
                <w:szCs w:val="20"/>
              </w:rPr>
            </w:pPr>
            <w:r w:rsidRPr="00B10210">
              <w:rPr>
                <w:sz w:val="20"/>
                <w:szCs w:val="20"/>
              </w:rPr>
              <w:t>0,00</w:t>
            </w:r>
          </w:p>
        </w:tc>
        <w:tc>
          <w:tcPr>
            <w:tcW w:w="1540" w:type="dxa"/>
            <w:tcBorders>
              <w:top w:val="nil"/>
              <w:left w:val="nil"/>
              <w:bottom w:val="single" w:sz="4" w:space="0" w:color="auto"/>
              <w:right w:val="single" w:sz="4" w:space="0" w:color="auto"/>
            </w:tcBorders>
          </w:tcPr>
          <w:p w:rsidR="00534FA2" w:rsidRPr="00B10210" w:rsidRDefault="00534FA2" w:rsidP="00FC66D4">
            <w:pPr>
              <w:jc w:val="right"/>
              <w:rPr>
                <w:sz w:val="20"/>
                <w:szCs w:val="20"/>
              </w:rPr>
            </w:pPr>
            <w:r w:rsidRPr="00B10210">
              <w:rPr>
                <w:sz w:val="20"/>
                <w:szCs w:val="20"/>
              </w:rPr>
              <w:t>0,00</w:t>
            </w:r>
          </w:p>
        </w:tc>
        <w:tc>
          <w:tcPr>
            <w:tcW w:w="1540" w:type="dxa"/>
            <w:tcBorders>
              <w:top w:val="nil"/>
              <w:left w:val="nil"/>
              <w:bottom w:val="single" w:sz="4" w:space="0" w:color="auto"/>
              <w:right w:val="single" w:sz="4" w:space="0" w:color="auto"/>
            </w:tcBorders>
          </w:tcPr>
          <w:p w:rsidR="00534FA2" w:rsidRPr="00B10210" w:rsidRDefault="00534FA2" w:rsidP="00FC66D4">
            <w:pPr>
              <w:jc w:val="right"/>
            </w:pPr>
            <w:r w:rsidRPr="00B10210">
              <w:rPr>
                <w:sz w:val="20"/>
                <w:szCs w:val="20"/>
              </w:rPr>
              <w:t>0,00</w:t>
            </w:r>
          </w:p>
        </w:tc>
        <w:tc>
          <w:tcPr>
            <w:tcW w:w="2220" w:type="dxa"/>
            <w:tcBorders>
              <w:top w:val="nil"/>
              <w:left w:val="nil"/>
              <w:bottom w:val="single" w:sz="4" w:space="0" w:color="auto"/>
              <w:right w:val="single" w:sz="4" w:space="0" w:color="auto"/>
            </w:tcBorders>
            <w:noWrap/>
            <w:vAlign w:val="bottom"/>
          </w:tcPr>
          <w:p w:rsidR="00534FA2" w:rsidRPr="00B10210" w:rsidRDefault="00534FA2" w:rsidP="00FC66D4">
            <w:r w:rsidRPr="00B10210">
              <w:t> </w:t>
            </w:r>
          </w:p>
        </w:tc>
      </w:tr>
      <w:tr w:rsidR="00534FA2" w:rsidRPr="00B10210" w:rsidTr="00FC66D4">
        <w:trPr>
          <w:trHeight w:val="255"/>
        </w:trPr>
        <w:tc>
          <w:tcPr>
            <w:tcW w:w="7070" w:type="dxa"/>
            <w:tcBorders>
              <w:top w:val="nil"/>
              <w:left w:val="single" w:sz="4" w:space="0" w:color="auto"/>
              <w:bottom w:val="single" w:sz="4" w:space="0" w:color="auto"/>
              <w:right w:val="single" w:sz="4" w:space="0" w:color="auto"/>
            </w:tcBorders>
          </w:tcPr>
          <w:p w:rsidR="00534FA2" w:rsidRPr="00B10210" w:rsidRDefault="00534FA2" w:rsidP="00FC66D4">
            <w:pPr>
              <w:rPr>
                <w:sz w:val="20"/>
                <w:szCs w:val="20"/>
              </w:rPr>
            </w:pPr>
            <w:r w:rsidRPr="00B10210">
              <w:rPr>
                <w:sz w:val="20"/>
                <w:szCs w:val="20"/>
              </w:rPr>
              <w:t xml:space="preserve">  Bežné transfery (640)</w:t>
            </w:r>
            <w:r w:rsidRPr="00B10210">
              <w:rPr>
                <w:sz w:val="20"/>
                <w:szCs w:val="20"/>
                <w:vertAlign w:val="superscript"/>
              </w:rPr>
              <w:t>2</w:t>
            </w:r>
          </w:p>
        </w:tc>
        <w:tc>
          <w:tcPr>
            <w:tcW w:w="1540" w:type="dxa"/>
            <w:tcBorders>
              <w:top w:val="nil"/>
              <w:left w:val="nil"/>
              <w:bottom w:val="single" w:sz="4" w:space="0" w:color="auto"/>
              <w:right w:val="single" w:sz="4" w:space="0" w:color="auto"/>
            </w:tcBorders>
          </w:tcPr>
          <w:p w:rsidR="00534FA2" w:rsidRPr="00B10210" w:rsidRDefault="00534FA2" w:rsidP="00FC66D4">
            <w:pPr>
              <w:jc w:val="right"/>
              <w:rPr>
                <w:sz w:val="20"/>
                <w:szCs w:val="20"/>
              </w:rPr>
            </w:pPr>
            <w:r w:rsidRPr="00B10210">
              <w:rPr>
                <w:bCs/>
                <w:sz w:val="20"/>
                <w:szCs w:val="20"/>
              </w:rPr>
              <w:t>0,00</w:t>
            </w:r>
          </w:p>
        </w:tc>
        <w:tc>
          <w:tcPr>
            <w:tcW w:w="1540" w:type="dxa"/>
            <w:tcBorders>
              <w:top w:val="nil"/>
              <w:left w:val="nil"/>
              <w:bottom w:val="single" w:sz="4" w:space="0" w:color="auto"/>
              <w:right w:val="single" w:sz="4" w:space="0" w:color="auto"/>
            </w:tcBorders>
          </w:tcPr>
          <w:p w:rsidR="00534FA2" w:rsidRPr="00B10210" w:rsidRDefault="00534FA2" w:rsidP="00FC66D4">
            <w:pPr>
              <w:jc w:val="right"/>
              <w:rPr>
                <w:sz w:val="20"/>
                <w:szCs w:val="20"/>
              </w:rPr>
            </w:pPr>
            <w:r w:rsidRPr="00B10210">
              <w:rPr>
                <w:bCs/>
                <w:sz w:val="20"/>
                <w:szCs w:val="20"/>
              </w:rPr>
              <w:t>0,00</w:t>
            </w:r>
          </w:p>
        </w:tc>
        <w:tc>
          <w:tcPr>
            <w:tcW w:w="1540" w:type="dxa"/>
            <w:tcBorders>
              <w:top w:val="nil"/>
              <w:left w:val="nil"/>
              <w:bottom w:val="single" w:sz="4" w:space="0" w:color="auto"/>
              <w:right w:val="single" w:sz="4" w:space="0" w:color="auto"/>
            </w:tcBorders>
          </w:tcPr>
          <w:p w:rsidR="00534FA2" w:rsidRPr="00B10210" w:rsidRDefault="00534FA2" w:rsidP="00FC66D4">
            <w:pPr>
              <w:jc w:val="right"/>
              <w:rPr>
                <w:sz w:val="20"/>
                <w:szCs w:val="20"/>
              </w:rPr>
            </w:pPr>
            <w:r w:rsidRPr="00B10210">
              <w:rPr>
                <w:bCs/>
                <w:sz w:val="20"/>
                <w:szCs w:val="20"/>
              </w:rPr>
              <w:t>0,00</w:t>
            </w:r>
          </w:p>
        </w:tc>
        <w:tc>
          <w:tcPr>
            <w:tcW w:w="1540" w:type="dxa"/>
            <w:tcBorders>
              <w:top w:val="nil"/>
              <w:left w:val="nil"/>
              <w:bottom w:val="single" w:sz="4" w:space="0" w:color="auto"/>
              <w:right w:val="single" w:sz="4" w:space="0" w:color="auto"/>
            </w:tcBorders>
          </w:tcPr>
          <w:p w:rsidR="00534FA2" w:rsidRPr="00B10210" w:rsidRDefault="00534FA2" w:rsidP="00FC66D4">
            <w:pPr>
              <w:jc w:val="right"/>
            </w:pPr>
            <w:r w:rsidRPr="00B10210">
              <w:rPr>
                <w:bCs/>
                <w:sz w:val="20"/>
                <w:szCs w:val="20"/>
              </w:rPr>
              <w:t>0,00</w:t>
            </w:r>
          </w:p>
        </w:tc>
        <w:tc>
          <w:tcPr>
            <w:tcW w:w="2220" w:type="dxa"/>
            <w:tcBorders>
              <w:top w:val="nil"/>
              <w:left w:val="nil"/>
              <w:bottom w:val="single" w:sz="4" w:space="0" w:color="auto"/>
              <w:right w:val="single" w:sz="4" w:space="0" w:color="auto"/>
            </w:tcBorders>
            <w:noWrap/>
            <w:vAlign w:val="bottom"/>
          </w:tcPr>
          <w:p w:rsidR="00534FA2" w:rsidRPr="00B10210" w:rsidRDefault="00534FA2" w:rsidP="00FC66D4">
            <w:r w:rsidRPr="00B10210">
              <w:t> </w:t>
            </w:r>
          </w:p>
        </w:tc>
      </w:tr>
      <w:tr w:rsidR="00534FA2" w:rsidRPr="00B10210" w:rsidTr="00FC66D4">
        <w:trPr>
          <w:trHeight w:val="255"/>
        </w:trPr>
        <w:tc>
          <w:tcPr>
            <w:tcW w:w="7070" w:type="dxa"/>
            <w:tcBorders>
              <w:top w:val="nil"/>
              <w:left w:val="single" w:sz="4" w:space="0" w:color="auto"/>
              <w:bottom w:val="single" w:sz="4" w:space="0" w:color="auto"/>
              <w:right w:val="single" w:sz="4" w:space="0" w:color="auto"/>
            </w:tcBorders>
            <w:vAlign w:val="center"/>
          </w:tcPr>
          <w:p w:rsidR="00534FA2" w:rsidRPr="00B10210" w:rsidRDefault="00534FA2" w:rsidP="00FC66D4">
            <w:pPr>
              <w:rPr>
                <w:sz w:val="20"/>
                <w:szCs w:val="20"/>
              </w:rPr>
            </w:pPr>
            <w:r w:rsidRPr="00B10210">
              <w:rPr>
                <w:sz w:val="20"/>
                <w:szCs w:val="20"/>
              </w:rPr>
              <w:t xml:space="preserve">  Splácanie úrokov a ostatné platby súvisiace s </w:t>
            </w:r>
            <w:r w:rsidRPr="00B10210">
              <w:t xml:space="preserve"> </w:t>
            </w:r>
            <w:r w:rsidRPr="00B10210">
              <w:rPr>
                <w:sz w:val="20"/>
                <w:szCs w:val="20"/>
              </w:rPr>
              <w:t>úverom, pôžičkou, návratnou finančnou výpomocou a finančným prenájmom (650)</w:t>
            </w:r>
            <w:r w:rsidRPr="00B10210">
              <w:rPr>
                <w:sz w:val="20"/>
                <w:szCs w:val="20"/>
                <w:vertAlign w:val="superscript"/>
              </w:rPr>
              <w:t>2</w:t>
            </w:r>
          </w:p>
        </w:tc>
        <w:tc>
          <w:tcPr>
            <w:tcW w:w="1540" w:type="dxa"/>
            <w:tcBorders>
              <w:top w:val="nil"/>
              <w:left w:val="nil"/>
              <w:bottom w:val="single" w:sz="4" w:space="0" w:color="auto"/>
              <w:right w:val="single" w:sz="4" w:space="0" w:color="auto"/>
            </w:tcBorders>
          </w:tcPr>
          <w:p w:rsidR="00534FA2" w:rsidRPr="00B10210" w:rsidRDefault="00534FA2" w:rsidP="00FC66D4">
            <w:pPr>
              <w:jc w:val="right"/>
              <w:rPr>
                <w:sz w:val="20"/>
                <w:szCs w:val="20"/>
              </w:rPr>
            </w:pPr>
            <w:r w:rsidRPr="00B10210">
              <w:rPr>
                <w:bCs/>
                <w:sz w:val="20"/>
                <w:szCs w:val="20"/>
              </w:rPr>
              <w:t>0,00</w:t>
            </w:r>
          </w:p>
        </w:tc>
        <w:tc>
          <w:tcPr>
            <w:tcW w:w="1540" w:type="dxa"/>
            <w:tcBorders>
              <w:top w:val="nil"/>
              <w:left w:val="nil"/>
              <w:bottom w:val="single" w:sz="4" w:space="0" w:color="auto"/>
              <w:right w:val="single" w:sz="4" w:space="0" w:color="auto"/>
            </w:tcBorders>
          </w:tcPr>
          <w:p w:rsidR="00534FA2" w:rsidRPr="00B10210" w:rsidRDefault="00534FA2" w:rsidP="00FC66D4">
            <w:pPr>
              <w:jc w:val="right"/>
              <w:rPr>
                <w:sz w:val="20"/>
                <w:szCs w:val="20"/>
              </w:rPr>
            </w:pPr>
            <w:r w:rsidRPr="00B10210">
              <w:rPr>
                <w:bCs/>
                <w:sz w:val="20"/>
                <w:szCs w:val="20"/>
              </w:rPr>
              <w:t>0,00</w:t>
            </w:r>
          </w:p>
        </w:tc>
        <w:tc>
          <w:tcPr>
            <w:tcW w:w="1540" w:type="dxa"/>
            <w:tcBorders>
              <w:top w:val="nil"/>
              <w:left w:val="nil"/>
              <w:bottom w:val="single" w:sz="4" w:space="0" w:color="auto"/>
              <w:right w:val="single" w:sz="4" w:space="0" w:color="auto"/>
            </w:tcBorders>
          </w:tcPr>
          <w:p w:rsidR="00534FA2" w:rsidRPr="00B10210" w:rsidRDefault="00534FA2" w:rsidP="00FC66D4">
            <w:pPr>
              <w:jc w:val="right"/>
              <w:rPr>
                <w:sz w:val="20"/>
                <w:szCs w:val="20"/>
              </w:rPr>
            </w:pPr>
            <w:r w:rsidRPr="00B10210">
              <w:rPr>
                <w:bCs/>
                <w:sz w:val="20"/>
                <w:szCs w:val="20"/>
              </w:rPr>
              <w:t>0,00</w:t>
            </w:r>
          </w:p>
        </w:tc>
        <w:tc>
          <w:tcPr>
            <w:tcW w:w="1540" w:type="dxa"/>
            <w:tcBorders>
              <w:top w:val="nil"/>
              <w:left w:val="nil"/>
              <w:bottom w:val="single" w:sz="4" w:space="0" w:color="auto"/>
              <w:right w:val="single" w:sz="4" w:space="0" w:color="auto"/>
            </w:tcBorders>
          </w:tcPr>
          <w:p w:rsidR="00534FA2" w:rsidRPr="00B10210" w:rsidRDefault="00534FA2" w:rsidP="00FC66D4">
            <w:pPr>
              <w:jc w:val="right"/>
            </w:pPr>
            <w:r w:rsidRPr="00B10210">
              <w:rPr>
                <w:bCs/>
                <w:sz w:val="20"/>
                <w:szCs w:val="20"/>
              </w:rPr>
              <w:t>0,00</w:t>
            </w:r>
          </w:p>
        </w:tc>
        <w:tc>
          <w:tcPr>
            <w:tcW w:w="2220" w:type="dxa"/>
            <w:tcBorders>
              <w:top w:val="nil"/>
              <w:left w:val="nil"/>
              <w:bottom w:val="single" w:sz="4" w:space="0" w:color="auto"/>
              <w:right w:val="single" w:sz="4" w:space="0" w:color="auto"/>
            </w:tcBorders>
            <w:noWrap/>
            <w:vAlign w:val="bottom"/>
          </w:tcPr>
          <w:p w:rsidR="00534FA2" w:rsidRPr="00B10210" w:rsidRDefault="00534FA2" w:rsidP="00FC66D4"/>
        </w:tc>
      </w:tr>
      <w:tr w:rsidR="00534FA2" w:rsidRPr="00B10210" w:rsidTr="00FC66D4">
        <w:trPr>
          <w:trHeight w:val="255"/>
        </w:trPr>
        <w:tc>
          <w:tcPr>
            <w:tcW w:w="7070" w:type="dxa"/>
            <w:tcBorders>
              <w:top w:val="nil"/>
              <w:left w:val="single" w:sz="4" w:space="0" w:color="auto"/>
              <w:bottom w:val="single" w:sz="4" w:space="0" w:color="auto"/>
              <w:right w:val="single" w:sz="4" w:space="0" w:color="auto"/>
            </w:tcBorders>
          </w:tcPr>
          <w:p w:rsidR="00534FA2" w:rsidRPr="00B10210" w:rsidRDefault="00534FA2" w:rsidP="00FC66D4">
            <w:pPr>
              <w:rPr>
                <w:b/>
                <w:bCs/>
                <w:sz w:val="20"/>
                <w:szCs w:val="20"/>
              </w:rPr>
            </w:pPr>
            <w:r w:rsidRPr="00B10210">
              <w:rPr>
                <w:b/>
                <w:bCs/>
                <w:sz w:val="20"/>
                <w:szCs w:val="20"/>
              </w:rPr>
              <w:t>Kapitálové výdavky (700)</w:t>
            </w:r>
          </w:p>
        </w:tc>
        <w:tc>
          <w:tcPr>
            <w:tcW w:w="1540" w:type="dxa"/>
            <w:tcBorders>
              <w:top w:val="nil"/>
              <w:left w:val="nil"/>
              <w:bottom w:val="single" w:sz="4" w:space="0" w:color="auto"/>
              <w:right w:val="single" w:sz="4" w:space="0" w:color="auto"/>
            </w:tcBorders>
          </w:tcPr>
          <w:p w:rsidR="00534FA2" w:rsidRPr="00B10210" w:rsidRDefault="00534FA2" w:rsidP="00FC66D4">
            <w:pPr>
              <w:jc w:val="right"/>
              <w:rPr>
                <w:b/>
                <w:bCs/>
                <w:sz w:val="20"/>
                <w:szCs w:val="20"/>
              </w:rPr>
            </w:pPr>
            <w:r w:rsidRPr="00B10210">
              <w:rPr>
                <w:b/>
                <w:bCs/>
                <w:sz w:val="20"/>
                <w:szCs w:val="20"/>
              </w:rPr>
              <w:t>326 040,00</w:t>
            </w:r>
          </w:p>
        </w:tc>
        <w:tc>
          <w:tcPr>
            <w:tcW w:w="1540" w:type="dxa"/>
            <w:tcBorders>
              <w:top w:val="nil"/>
              <w:left w:val="nil"/>
              <w:bottom w:val="single" w:sz="4" w:space="0" w:color="auto"/>
              <w:right w:val="single" w:sz="4" w:space="0" w:color="auto"/>
            </w:tcBorders>
          </w:tcPr>
          <w:p w:rsidR="00534FA2" w:rsidRPr="00B10210" w:rsidRDefault="00534FA2" w:rsidP="00FC66D4">
            <w:pPr>
              <w:jc w:val="right"/>
              <w:rPr>
                <w:b/>
                <w:bCs/>
                <w:sz w:val="20"/>
                <w:szCs w:val="20"/>
              </w:rPr>
            </w:pPr>
            <w:r w:rsidRPr="00B10210">
              <w:rPr>
                <w:b/>
                <w:bCs/>
                <w:sz w:val="20"/>
                <w:szCs w:val="20"/>
              </w:rPr>
              <w:t>102 828,00</w:t>
            </w:r>
          </w:p>
        </w:tc>
        <w:tc>
          <w:tcPr>
            <w:tcW w:w="1540" w:type="dxa"/>
            <w:tcBorders>
              <w:top w:val="nil"/>
              <w:left w:val="nil"/>
              <w:bottom w:val="single" w:sz="4" w:space="0" w:color="auto"/>
              <w:right w:val="single" w:sz="4" w:space="0" w:color="auto"/>
            </w:tcBorders>
          </w:tcPr>
          <w:p w:rsidR="00534FA2" w:rsidRPr="00B10210" w:rsidRDefault="00534FA2" w:rsidP="00FC66D4">
            <w:pPr>
              <w:jc w:val="right"/>
              <w:rPr>
                <w:b/>
                <w:bCs/>
                <w:sz w:val="20"/>
                <w:szCs w:val="20"/>
              </w:rPr>
            </w:pPr>
            <w:r w:rsidRPr="00B10210">
              <w:rPr>
                <w:b/>
                <w:bCs/>
                <w:sz w:val="20"/>
                <w:szCs w:val="20"/>
              </w:rPr>
              <w:t>0,00</w:t>
            </w:r>
          </w:p>
        </w:tc>
        <w:tc>
          <w:tcPr>
            <w:tcW w:w="1540" w:type="dxa"/>
            <w:tcBorders>
              <w:top w:val="nil"/>
              <w:left w:val="nil"/>
              <w:bottom w:val="single" w:sz="4" w:space="0" w:color="auto"/>
              <w:right w:val="single" w:sz="4" w:space="0" w:color="auto"/>
            </w:tcBorders>
          </w:tcPr>
          <w:p w:rsidR="00534FA2" w:rsidRPr="00B10210" w:rsidRDefault="00534FA2" w:rsidP="00FC66D4">
            <w:pPr>
              <w:jc w:val="right"/>
              <w:rPr>
                <w:b/>
                <w:bCs/>
              </w:rPr>
            </w:pPr>
            <w:r w:rsidRPr="00B10210">
              <w:rPr>
                <w:b/>
                <w:bCs/>
                <w:sz w:val="20"/>
                <w:szCs w:val="20"/>
              </w:rPr>
              <w:t>0,00</w:t>
            </w:r>
          </w:p>
        </w:tc>
        <w:tc>
          <w:tcPr>
            <w:tcW w:w="2220" w:type="dxa"/>
            <w:tcBorders>
              <w:top w:val="nil"/>
              <w:left w:val="nil"/>
              <w:bottom w:val="single" w:sz="4" w:space="0" w:color="auto"/>
              <w:right w:val="single" w:sz="4" w:space="0" w:color="auto"/>
            </w:tcBorders>
            <w:noWrap/>
            <w:vAlign w:val="bottom"/>
          </w:tcPr>
          <w:p w:rsidR="00534FA2" w:rsidRPr="00B10210" w:rsidRDefault="00534FA2" w:rsidP="00FC66D4">
            <w:r w:rsidRPr="00B10210">
              <w:t> </w:t>
            </w:r>
          </w:p>
        </w:tc>
      </w:tr>
      <w:tr w:rsidR="00534FA2" w:rsidRPr="00B10210" w:rsidTr="00FC66D4">
        <w:trPr>
          <w:trHeight w:val="255"/>
        </w:trPr>
        <w:tc>
          <w:tcPr>
            <w:tcW w:w="7070" w:type="dxa"/>
            <w:tcBorders>
              <w:top w:val="nil"/>
              <w:left w:val="single" w:sz="4" w:space="0" w:color="auto"/>
              <w:bottom w:val="single" w:sz="4" w:space="0" w:color="auto"/>
              <w:right w:val="single" w:sz="4" w:space="0" w:color="auto"/>
            </w:tcBorders>
          </w:tcPr>
          <w:p w:rsidR="00534FA2" w:rsidRPr="00B10210" w:rsidRDefault="00534FA2" w:rsidP="00FC66D4">
            <w:pPr>
              <w:rPr>
                <w:sz w:val="20"/>
                <w:szCs w:val="20"/>
              </w:rPr>
            </w:pPr>
            <w:r w:rsidRPr="00B10210">
              <w:rPr>
                <w:sz w:val="20"/>
                <w:szCs w:val="20"/>
              </w:rPr>
              <w:t xml:space="preserve">  Obstarávanie kapitálových aktív (710)</w:t>
            </w:r>
            <w:r w:rsidRPr="00B10210">
              <w:rPr>
                <w:sz w:val="20"/>
                <w:szCs w:val="20"/>
                <w:vertAlign w:val="superscript"/>
              </w:rPr>
              <w:t>2</w:t>
            </w:r>
          </w:p>
        </w:tc>
        <w:tc>
          <w:tcPr>
            <w:tcW w:w="1540" w:type="dxa"/>
            <w:tcBorders>
              <w:top w:val="nil"/>
              <w:left w:val="nil"/>
              <w:bottom w:val="single" w:sz="4" w:space="0" w:color="auto"/>
              <w:right w:val="single" w:sz="4" w:space="0" w:color="auto"/>
            </w:tcBorders>
          </w:tcPr>
          <w:p w:rsidR="00534FA2" w:rsidRPr="00B10210" w:rsidRDefault="00534FA2" w:rsidP="00FC66D4">
            <w:pPr>
              <w:jc w:val="right"/>
              <w:rPr>
                <w:sz w:val="20"/>
                <w:szCs w:val="20"/>
              </w:rPr>
            </w:pPr>
            <w:r w:rsidRPr="00B10210">
              <w:rPr>
                <w:bCs/>
                <w:sz w:val="20"/>
                <w:szCs w:val="20"/>
              </w:rPr>
              <w:t>326 040,00</w:t>
            </w:r>
          </w:p>
        </w:tc>
        <w:tc>
          <w:tcPr>
            <w:tcW w:w="1540" w:type="dxa"/>
            <w:tcBorders>
              <w:top w:val="nil"/>
              <w:left w:val="nil"/>
              <w:bottom w:val="single" w:sz="4" w:space="0" w:color="auto"/>
              <w:right w:val="single" w:sz="4" w:space="0" w:color="auto"/>
            </w:tcBorders>
          </w:tcPr>
          <w:p w:rsidR="00534FA2" w:rsidRPr="00B10210" w:rsidRDefault="00534FA2" w:rsidP="00FC66D4">
            <w:pPr>
              <w:jc w:val="right"/>
              <w:rPr>
                <w:sz w:val="20"/>
                <w:szCs w:val="20"/>
              </w:rPr>
            </w:pPr>
            <w:r w:rsidRPr="00B10210">
              <w:rPr>
                <w:bCs/>
                <w:sz w:val="20"/>
                <w:szCs w:val="20"/>
              </w:rPr>
              <w:t>102 828,00</w:t>
            </w:r>
          </w:p>
        </w:tc>
        <w:tc>
          <w:tcPr>
            <w:tcW w:w="1540" w:type="dxa"/>
            <w:tcBorders>
              <w:top w:val="nil"/>
              <w:left w:val="nil"/>
              <w:bottom w:val="single" w:sz="4" w:space="0" w:color="auto"/>
              <w:right w:val="single" w:sz="4" w:space="0" w:color="auto"/>
            </w:tcBorders>
          </w:tcPr>
          <w:p w:rsidR="00534FA2" w:rsidRPr="00B10210" w:rsidRDefault="00534FA2" w:rsidP="00FC66D4">
            <w:pPr>
              <w:jc w:val="right"/>
              <w:rPr>
                <w:sz w:val="20"/>
                <w:szCs w:val="20"/>
              </w:rPr>
            </w:pPr>
            <w:r w:rsidRPr="00B10210">
              <w:rPr>
                <w:bCs/>
                <w:sz w:val="20"/>
                <w:szCs w:val="20"/>
              </w:rPr>
              <w:t>0,00</w:t>
            </w:r>
          </w:p>
        </w:tc>
        <w:tc>
          <w:tcPr>
            <w:tcW w:w="1540" w:type="dxa"/>
            <w:tcBorders>
              <w:top w:val="nil"/>
              <w:left w:val="nil"/>
              <w:bottom w:val="single" w:sz="4" w:space="0" w:color="auto"/>
              <w:right w:val="single" w:sz="4" w:space="0" w:color="auto"/>
            </w:tcBorders>
          </w:tcPr>
          <w:p w:rsidR="00534FA2" w:rsidRPr="00B10210" w:rsidRDefault="00534FA2" w:rsidP="00FC66D4">
            <w:pPr>
              <w:jc w:val="right"/>
            </w:pPr>
            <w:r w:rsidRPr="00B10210">
              <w:rPr>
                <w:bCs/>
                <w:sz w:val="20"/>
                <w:szCs w:val="20"/>
              </w:rPr>
              <w:t>0,00</w:t>
            </w:r>
          </w:p>
        </w:tc>
        <w:tc>
          <w:tcPr>
            <w:tcW w:w="2220" w:type="dxa"/>
            <w:tcBorders>
              <w:top w:val="nil"/>
              <w:left w:val="nil"/>
              <w:bottom w:val="single" w:sz="4" w:space="0" w:color="auto"/>
              <w:right w:val="single" w:sz="4" w:space="0" w:color="auto"/>
            </w:tcBorders>
            <w:noWrap/>
            <w:vAlign w:val="bottom"/>
          </w:tcPr>
          <w:p w:rsidR="00534FA2" w:rsidRPr="00B10210" w:rsidRDefault="00534FA2" w:rsidP="00FC66D4">
            <w:r w:rsidRPr="00B10210">
              <w:t> </w:t>
            </w:r>
          </w:p>
        </w:tc>
      </w:tr>
      <w:tr w:rsidR="00534FA2" w:rsidRPr="00B10210" w:rsidTr="00FC66D4">
        <w:trPr>
          <w:trHeight w:val="255"/>
        </w:trPr>
        <w:tc>
          <w:tcPr>
            <w:tcW w:w="7070" w:type="dxa"/>
            <w:tcBorders>
              <w:top w:val="nil"/>
              <w:left w:val="single" w:sz="4" w:space="0" w:color="auto"/>
              <w:bottom w:val="single" w:sz="4" w:space="0" w:color="auto"/>
              <w:right w:val="single" w:sz="4" w:space="0" w:color="auto"/>
            </w:tcBorders>
          </w:tcPr>
          <w:p w:rsidR="00534FA2" w:rsidRPr="00B10210" w:rsidRDefault="00534FA2" w:rsidP="00FC66D4">
            <w:pPr>
              <w:ind w:left="426" w:hanging="426"/>
              <w:rPr>
                <w:sz w:val="20"/>
                <w:szCs w:val="20"/>
              </w:rPr>
            </w:pPr>
            <w:r w:rsidRPr="00B10210">
              <w:rPr>
                <w:sz w:val="20"/>
                <w:szCs w:val="20"/>
              </w:rPr>
              <w:t>RP EKRK 718 Rekonštrukcia a modernizácia</w:t>
            </w:r>
          </w:p>
        </w:tc>
        <w:tc>
          <w:tcPr>
            <w:tcW w:w="1540" w:type="dxa"/>
            <w:tcBorders>
              <w:top w:val="nil"/>
              <w:left w:val="nil"/>
              <w:bottom w:val="single" w:sz="4" w:space="0" w:color="auto"/>
              <w:right w:val="single" w:sz="4" w:space="0" w:color="auto"/>
            </w:tcBorders>
          </w:tcPr>
          <w:p w:rsidR="00534FA2" w:rsidRPr="00B10210" w:rsidRDefault="00534FA2" w:rsidP="00FC66D4">
            <w:pPr>
              <w:jc w:val="right"/>
              <w:rPr>
                <w:sz w:val="20"/>
                <w:szCs w:val="20"/>
              </w:rPr>
            </w:pPr>
            <w:r w:rsidRPr="00B10210">
              <w:rPr>
                <w:bCs/>
                <w:sz w:val="20"/>
                <w:szCs w:val="20"/>
              </w:rPr>
              <w:t>326 040,00</w:t>
            </w:r>
          </w:p>
        </w:tc>
        <w:tc>
          <w:tcPr>
            <w:tcW w:w="1540" w:type="dxa"/>
            <w:tcBorders>
              <w:top w:val="nil"/>
              <w:left w:val="nil"/>
              <w:bottom w:val="single" w:sz="4" w:space="0" w:color="auto"/>
              <w:right w:val="single" w:sz="4" w:space="0" w:color="auto"/>
            </w:tcBorders>
          </w:tcPr>
          <w:p w:rsidR="00534FA2" w:rsidRPr="00B10210" w:rsidRDefault="00534FA2" w:rsidP="00FC66D4">
            <w:pPr>
              <w:jc w:val="right"/>
              <w:rPr>
                <w:sz w:val="20"/>
                <w:szCs w:val="20"/>
              </w:rPr>
            </w:pPr>
            <w:r w:rsidRPr="00B10210">
              <w:rPr>
                <w:bCs/>
                <w:sz w:val="20"/>
                <w:szCs w:val="20"/>
              </w:rPr>
              <w:t>102 828,00</w:t>
            </w:r>
          </w:p>
        </w:tc>
        <w:tc>
          <w:tcPr>
            <w:tcW w:w="1540" w:type="dxa"/>
            <w:tcBorders>
              <w:top w:val="nil"/>
              <w:left w:val="nil"/>
              <w:bottom w:val="single" w:sz="4" w:space="0" w:color="auto"/>
              <w:right w:val="single" w:sz="4" w:space="0" w:color="auto"/>
            </w:tcBorders>
          </w:tcPr>
          <w:p w:rsidR="00534FA2" w:rsidRPr="00B10210" w:rsidRDefault="00534FA2" w:rsidP="00FC66D4">
            <w:pPr>
              <w:jc w:val="right"/>
              <w:rPr>
                <w:sz w:val="20"/>
                <w:szCs w:val="20"/>
              </w:rPr>
            </w:pPr>
            <w:r w:rsidRPr="00B10210">
              <w:rPr>
                <w:bCs/>
                <w:sz w:val="20"/>
                <w:szCs w:val="20"/>
              </w:rPr>
              <w:t>0,00</w:t>
            </w:r>
          </w:p>
        </w:tc>
        <w:tc>
          <w:tcPr>
            <w:tcW w:w="1540" w:type="dxa"/>
            <w:tcBorders>
              <w:top w:val="nil"/>
              <w:left w:val="nil"/>
              <w:bottom w:val="single" w:sz="4" w:space="0" w:color="auto"/>
              <w:right w:val="single" w:sz="4" w:space="0" w:color="auto"/>
            </w:tcBorders>
          </w:tcPr>
          <w:p w:rsidR="00534FA2" w:rsidRPr="00B10210" w:rsidRDefault="00534FA2" w:rsidP="00FC66D4">
            <w:pPr>
              <w:jc w:val="right"/>
            </w:pPr>
            <w:r w:rsidRPr="00B10210">
              <w:rPr>
                <w:bCs/>
                <w:sz w:val="20"/>
                <w:szCs w:val="20"/>
              </w:rPr>
              <w:t>0,00</w:t>
            </w:r>
          </w:p>
        </w:tc>
        <w:tc>
          <w:tcPr>
            <w:tcW w:w="2220" w:type="dxa"/>
            <w:tcBorders>
              <w:top w:val="nil"/>
              <w:left w:val="nil"/>
              <w:bottom w:val="single" w:sz="4" w:space="0" w:color="auto"/>
              <w:right w:val="single" w:sz="4" w:space="0" w:color="auto"/>
            </w:tcBorders>
            <w:noWrap/>
            <w:vAlign w:val="bottom"/>
          </w:tcPr>
          <w:p w:rsidR="00534FA2" w:rsidRPr="00B10210" w:rsidRDefault="00534FA2" w:rsidP="00FC66D4"/>
        </w:tc>
      </w:tr>
      <w:tr w:rsidR="00534FA2" w:rsidRPr="00B10210" w:rsidTr="00FC66D4">
        <w:trPr>
          <w:trHeight w:val="255"/>
        </w:trPr>
        <w:tc>
          <w:tcPr>
            <w:tcW w:w="7070" w:type="dxa"/>
            <w:tcBorders>
              <w:top w:val="nil"/>
              <w:left w:val="single" w:sz="4" w:space="0" w:color="auto"/>
              <w:bottom w:val="single" w:sz="4" w:space="0" w:color="auto"/>
              <w:right w:val="single" w:sz="4" w:space="0" w:color="auto"/>
            </w:tcBorders>
          </w:tcPr>
          <w:p w:rsidR="00534FA2" w:rsidRPr="00B10210" w:rsidRDefault="00534FA2" w:rsidP="00FC66D4">
            <w:pPr>
              <w:rPr>
                <w:sz w:val="20"/>
                <w:szCs w:val="20"/>
              </w:rPr>
            </w:pPr>
            <w:r w:rsidRPr="00B10210">
              <w:rPr>
                <w:sz w:val="20"/>
                <w:szCs w:val="20"/>
              </w:rPr>
              <w:t xml:space="preserve">  Kapitálové transfery (720)</w:t>
            </w:r>
            <w:r w:rsidRPr="00B10210">
              <w:rPr>
                <w:sz w:val="20"/>
                <w:szCs w:val="20"/>
                <w:vertAlign w:val="superscript"/>
              </w:rPr>
              <w:t>2</w:t>
            </w:r>
          </w:p>
        </w:tc>
        <w:tc>
          <w:tcPr>
            <w:tcW w:w="1540" w:type="dxa"/>
            <w:tcBorders>
              <w:top w:val="nil"/>
              <w:left w:val="nil"/>
              <w:bottom w:val="single" w:sz="4" w:space="0" w:color="auto"/>
              <w:right w:val="single" w:sz="4" w:space="0" w:color="auto"/>
            </w:tcBorders>
          </w:tcPr>
          <w:p w:rsidR="00534FA2" w:rsidRPr="00B10210" w:rsidRDefault="00534FA2" w:rsidP="00FC66D4">
            <w:pPr>
              <w:jc w:val="right"/>
              <w:rPr>
                <w:sz w:val="20"/>
                <w:szCs w:val="20"/>
              </w:rPr>
            </w:pPr>
            <w:r w:rsidRPr="00B10210">
              <w:rPr>
                <w:bCs/>
                <w:sz w:val="20"/>
                <w:szCs w:val="20"/>
              </w:rPr>
              <w:t>0,00</w:t>
            </w:r>
          </w:p>
        </w:tc>
        <w:tc>
          <w:tcPr>
            <w:tcW w:w="1540" w:type="dxa"/>
            <w:tcBorders>
              <w:top w:val="nil"/>
              <w:left w:val="nil"/>
              <w:bottom w:val="single" w:sz="4" w:space="0" w:color="auto"/>
              <w:right w:val="single" w:sz="4" w:space="0" w:color="auto"/>
            </w:tcBorders>
          </w:tcPr>
          <w:p w:rsidR="00534FA2" w:rsidRPr="00B10210" w:rsidRDefault="00534FA2" w:rsidP="00FC66D4">
            <w:pPr>
              <w:jc w:val="right"/>
              <w:rPr>
                <w:sz w:val="20"/>
                <w:szCs w:val="20"/>
              </w:rPr>
            </w:pPr>
            <w:r w:rsidRPr="00B10210">
              <w:rPr>
                <w:bCs/>
                <w:sz w:val="20"/>
                <w:szCs w:val="20"/>
              </w:rPr>
              <w:t>0,00</w:t>
            </w:r>
          </w:p>
        </w:tc>
        <w:tc>
          <w:tcPr>
            <w:tcW w:w="1540" w:type="dxa"/>
            <w:tcBorders>
              <w:top w:val="nil"/>
              <w:left w:val="nil"/>
              <w:bottom w:val="single" w:sz="4" w:space="0" w:color="auto"/>
              <w:right w:val="single" w:sz="4" w:space="0" w:color="auto"/>
            </w:tcBorders>
          </w:tcPr>
          <w:p w:rsidR="00534FA2" w:rsidRPr="00B10210" w:rsidRDefault="00534FA2" w:rsidP="00FC66D4">
            <w:pPr>
              <w:jc w:val="right"/>
              <w:rPr>
                <w:sz w:val="20"/>
                <w:szCs w:val="20"/>
              </w:rPr>
            </w:pPr>
            <w:r w:rsidRPr="00B10210">
              <w:rPr>
                <w:bCs/>
                <w:sz w:val="20"/>
                <w:szCs w:val="20"/>
              </w:rPr>
              <w:t>0,00</w:t>
            </w:r>
          </w:p>
        </w:tc>
        <w:tc>
          <w:tcPr>
            <w:tcW w:w="1540" w:type="dxa"/>
            <w:tcBorders>
              <w:top w:val="nil"/>
              <w:left w:val="nil"/>
              <w:bottom w:val="single" w:sz="4" w:space="0" w:color="auto"/>
              <w:right w:val="single" w:sz="4" w:space="0" w:color="auto"/>
            </w:tcBorders>
          </w:tcPr>
          <w:p w:rsidR="00534FA2" w:rsidRPr="00B10210" w:rsidRDefault="00534FA2" w:rsidP="00FC66D4">
            <w:pPr>
              <w:jc w:val="right"/>
            </w:pPr>
            <w:r w:rsidRPr="00B10210">
              <w:rPr>
                <w:bCs/>
                <w:sz w:val="20"/>
                <w:szCs w:val="20"/>
              </w:rPr>
              <w:t>0,00</w:t>
            </w:r>
          </w:p>
        </w:tc>
        <w:tc>
          <w:tcPr>
            <w:tcW w:w="2220" w:type="dxa"/>
            <w:tcBorders>
              <w:top w:val="nil"/>
              <w:left w:val="nil"/>
              <w:bottom w:val="single" w:sz="4" w:space="0" w:color="auto"/>
              <w:right w:val="single" w:sz="4" w:space="0" w:color="auto"/>
            </w:tcBorders>
            <w:noWrap/>
            <w:vAlign w:val="bottom"/>
          </w:tcPr>
          <w:p w:rsidR="00534FA2" w:rsidRPr="00B10210" w:rsidRDefault="00534FA2" w:rsidP="00FC66D4">
            <w:r w:rsidRPr="00B10210">
              <w:t> </w:t>
            </w:r>
          </w:p>
        </w:tc>
      </w:tr>
      <w:tr w:rsidR="00534FA2" w:rsidRPr="00B10210" w:rsidTr="00FC66D4">
        <w:trPr>
          <w:trHeight w:val="255"/>
        </w:trPr>
        <w:tc>
          <w:tcPr>
            <w:tcW w:w="7070" w:type="dxa"/>
            <w:tcBorders>
              <w:top w:val="nil"/>
              <w:left w:val="single" w:sz="4" w:space="0" w:color="auto"/>
              <w:bottom w:val="single" w:sz="4" w:space="0" w:color="auto"/>
              <w:right w:val="single" w:sz="4" w:space="0" w:color="auto"/>
            </w:tcBorders>
          </w:tcPr>
          <w:p w:rsidR="00534FA2" w:rsidRPr="00B10210" w:rsidRDefault="00534FA2" w:rsidP="00FC66D4">
            <w:pPr>
              <w:rPr>
                <w:b/>
                <w:bCs/>
                <w:sz w:val="20"/>
                <w:szCs w:val="20"/>
              </w:rPr>
            </w:pPr>
            <w:r w:rsidRPr="00B10210">
              <w:rPr>
                <w:b/>
                <w:bCs/>
                <w:sz w:val="20"/>
                <w:szCs w:val="20"/>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FF"/>
          </w:tcPr>
          <w:p w:rsidR="00534FA2" w:rsidRPr="00B10210" w:rsidRDefault="00534FA2" w:rsidP="00FC66D4">
            <w:pPr>
              <w:jc w:val="right"/>
              <w:rPr>
                <w:b/>
                <w:bCs/>
                <w:sz w:val="20"/>
                <w:szCs w:val="20"/>
              </w:rPr>
            </w:pPr>
            <w:r w:rsidRPr="00B10210">
              <w:rPr>
                <w:b/>
                <w:bCs/>
                <w:sz w:val="20"/>
                <w:szCs w:val="20"/>
              </w:rPr>
              <w:t>0,00</w:t>
            </w:r>
          </w:p>
        </w:tc>
        <w:tc>
          <w:tcPr>
            <w:tcW w:w="1540" w:type="dxa"/>
            <w:tcBorders>
              <w:top w:val="nil"/>
              <w:left w:val="nil"/>
              <w:bottom w:val="single" w:sz="4" w:space="0" w:color="auto"/>
              <w:right w:val="single" w:sz="4" w:space="0" w:color="auto"/>
            </w:tcBorders>
            <w:shd w:val="clear" w:color="auto" w:fill="FFFFFF"/>
          </w:tcPr>
          <w:p w:rsidR="00534FA2" w:rsidRPr="00B10210" w:rsidRDefault="00534FA2" w:rsidP="00FC66D4">
            <w:pPr>
              <w:jc w:val="right"/>
              <w:rPr>
                <w:b/>
                <w:bCs/>
                <w:sz w:val="20"/>
                <w:szCs w:val="20"/>
              </w:rPr>
            </w:pPr>
            <w:r w:rsidRPr="00B10210">
              <w:rPr>
                <w:b/>
                <w:bCs/>
                <w:sz w:val="20"/>
                <w:szCs w:val="20"/>
              </w:rPr>
              <w:t>0,00</w:t>
            </w:r>
          </w:p>
        </w:tc>
        <w:tc>
          <w:tcPr>
            <w:tcW w:w="1540" w:type="dxa"/>
            <w:tcBorders>
              <w:top w:val="nil"/>
              <w:left w:val="nil"/>
              <w:bottom w:val="single" w:sz="4" w:space="0" w:color="auto"/>
              <w:right w:val="single" w:sz="4" w:space="0" w:color="auto"/>
            </w:tcBorders>
            <w:shd w:val="clear" w:color="auto" w:fill="FFFFFF"/>
          </w:tcPr>
          <w:p w:rsidR="00534FA2" w:rsidRPr="00B10210" w:rsidRDefault="00534FA2" w:rsidP="00FC66D4">
            <w:pPr>
              <w:jc w:val="right"/>
              <w:rPr>
                <w:b/>
                <w:bCs/>
                <w:sz w:val="20"/>
                <w:szCs w:val="20"/>
              </w:rPr>
            </w:pPr>
            <w:r w:rsidRPr="00B10210">
              <w:rPr>
                <w:b/>
                <w:bCs/>
                <w:sz w:val="20"/>
                <w:szCs w:val="20"/>
              </w:rPr>
              <w:t> 0,00</w:t>
            </w:r>
          </w:p>
        </w:tc>
        <w:tc>
          <w:tcPr>
            <w:tcW w:w="1540" w:type="dxa"/>
            <w:tcBorders>
              <w:top w:val="nil"/>
              <w:left w:val="nil"/>
              <w:bottom w:val="single" w:sz="4" w:space="0" w:color="auto"/>
              <w:right w:val="single" w:sz="4" w:space="0" w:color="auto"/>
            </w:tcBorders>
            <w:shd w:val="clear" w:color="auto" w:fill="FFFFFF"/>
          </w:tcPr>
          <w:p w:rsidR="00534FA2" w:rsidRPr="00B10210" w:rsidRDefault="00534FA2" w:rsidP="00FC66D4">
            <w:pPr>
              <w:jc w:val="right"/>
              <w:rPr>
                <w:b/>
                <w:bCs/>
              </w:rPr>
            </w:pPr>
            <w:r w:rsidRPr="00B10210">
              <w:rPr>
                <w:b/>
                <w:bCs/>
                <w:sz w:val="20"/>
                <w:szCs w:val="20"/>
              </w:rPr>
              <w:t>0,00</w:t>
            </w:r>
          </w:p>
        </w:tc>
        <w:tc>
          <w:tcPr>
            <w:tcW w:w="2220" w:type="dxa"/>
            <w:tcBorders>
              <w:top w:val="nil"/>
              <w:left w:val="nil"/>
              <w:bottom w:val="single" w:sz="4" w:space="0" w:color="auto"/>
              <w:right w:val="single" w:sz="4" w:space="0" w:color="auto"/>
            </w:tcBorders>
            <w:noWrap/>
            <w:vAlign w:val="bottom"/>
          </w:tcPr>
          <w:p w:rsidR="00534FA2" w:rsidRPr="00B10210" w:rsidRDefault="00534FA2" w:rsidP="00FC66D4">
            <w:r w:rsidRPr="00B10210">
              <w:t> </w:t>
            </w:r>
          </w:p>
        </w:tc>
      </w:tr>
      <w:tr w:rsidR="00534FA2" w:rsidRPr="00B10210" w:rsidTr="00FC66D4">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cPr>
          <w:p w:rsidR="00534FA2" w:rsidRPr="00B10210" w:rsidRDefault="00534FA2" w:rsidP="00FC66D4">
            <w:pPr>
              <w:rPr>
                <w:b/>
                <w:bCs/>
                <w:sz w:val="20"/>
                <w:szCs w:val="20"/>
              </w:rPr>
            </w:pPr>
            <w:r w:rsidRPr="00B10210">
              <w:rPr>
                <w:b/>
                <w:bCs/>
                <w:sz w:val="20"/>
                <w:szCs w:val="20"/>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cPr>
          <w:p w:rsidR="00534FA2" w:rsidRPr="00B10210" w:rsidRDefault="00534FA2" w:rsidP="00FC66D4">
            <w:pPr>
              <w:jc w:val="right"/>
              <w:rPr>
                <w:b/>
                <w:bCs/>
                <w:sz w:val="20"/>
                <w:szCs w:val="20"/>
              </w:rPr>
            </w:pPr>
            <w:r w:rsidRPr="00B10210">
              <w:rPr>
                <w:b/>
                <w:bCs/>
                <w:sz w:val="20"/>
                <w:szCs w:val="20"/>
              </w:rPr>
              <w:t>326 040,00</w:t>
            </w:r>
          </w:p>
        </w:tc>
        <w:tc>
          <w:tcPr>
            <w:tcW w:w="1540" w:type="dxa"/>
            <w:tcBorders>
              <w:top w:val="single" w:sz="4" w:space="0" w:color="auto"/>
              <w:left w:val="nil"/>
              <w:bottom w:val="single" w:sz="4" w:space="0" w:color="auto"/>
              <w:right w:val="single" w:sz="4" w:space="0" w:color="auto"/>
            </w:tcBorders>
            <w:shd w:val="clear" w:color="auto" w:fill="BFBFBF"/>
          </w:tcPr>
          <w:p w:rsidR="00534FA2" w:rsidRPr="00B10210" w:rsidRDefault="00534FA2" w:rsidP="00FC66D4">
            <w:pPr>
              <w:jc w:val="right"/>
              <w:rPr>
                <w:b/>
                <w:bCs/>
                <w:sz w:val="20"/>
                <w:szCs w:val="20"/>
              </w:rPr>
            </w:pPr>
            <w:r w:rsidRPr="00B10210">
              <w:rPr>
                <w:b/>
                <w:bCs/>
                <w:sz w:val="20"/>
                <w:szCs w:val="20"/>
              </w:rPr>
              <w:t>102 828,00</w:t>
            </w:r>
          </w:p>
        </w:tc>
        <w:tc>
          <w:tcPr>
            <w:tcW w:w="1540" w:type="dxa"/>
            <w:tcBorders>
              <w:top w:val="single" w:sz="4" w:space="0" w:color="auto"/>
              <w:left w:val="nil"/>
              <w:bottom w:val="single" w:sz="4" w:space="0" w:color="auto"/>
              <w:right w:val="single" w:sz="4" w:space="0" w:color="auto"/>
            </w:tcBorders>
            <w:shd w:val="clear" w:color="auto" w:fill="BFBFBF"/>
          </w:tcPr>
          <w:p w:rsidR="00534FA2" w:rsidRPr="00B10210" w:rsidRDefault="00534FA2" w:rsidP="00FC66D4">
            <w:pPr>
              <w:jc w:val="right"/>
              <w:rPr>
                <w:b/>
                <w:bCs/>
                <w:sz w:val="20"/>
                <w:szCs w:val="20"/>
              </w:rPr>
            </w:pPr>
            <w:r w:rsidRPr="00B10210">
              <w:rPr>
                <w:b/>
                <w:bCs/>
                <w:sz w:val="20"/>
                <w:szCs w:val="20"/>
              </w:rPr>
              <w:t>00,00</w:t>
            </w:r>
          </w:p>
        </w:tc>
        <w:tc>
          <w:tcPr>
            <w:tcW w:w="1540" w:type="dxa"/>
            <w:tcBorders>
              <w:top w:val="single" w:sz="4" w:space="0" w:color="auto"/>
              <w:left w:val="nil"/>
              <w:bottom w:val="single" w:sz="4" w:space="0" w:color="auto"/>
              <w:right w:val="single" w:sz="4" w:space="0" w:color="auto"/>
            </w:tcBorders>
            <w:shd w:val="clear" w:color="auto" w:fill="BFBFBF"/>
          </w:tcPr>
          <w:p w:rsidR="00534FA2" w:rsidRPr="00B10210" w:rsidRDefault="00534FA2" w:rsidP="00FC66D4">
            <w:pPr>
              <w:jc w:val="right"/>
              <w:rPr>
                <w:b/>
                <w:bCs/>
              </w:rPr>
            </w:pPr>
            <w:r w:rsidRPr="00B10210">
              <w:rPr>
                <w:b/>
                <w:bCs/>
                <w:sz w:val="20"/>
                <w:szCs w:val="20"/>
              </w:rPr>
              <w:t>0,00</w:t>
            </w:r>
          </w:p>
        </w:tc>
        <w:tc>
          <w:tcPr>
            <w:tcW w:w="2220" w:type="dxa"/>
            <w:tcBorders>
              <w:top w:val="single" w:sz="4" w:space="0" w:color="auto"/>
              <w:left w:val="nil"/>
              <w:bottom w:val="single" w:sz="4" w:space="0" w:color="auto"/>
              <w:right w:val="single" w:sz="4" w:space="0" w:color="auto"/>
            </w:tcBorders>
            <w:shd w:val="clear" w:color="auto" w:fill="BFBFBF"/>
            <w:noWrap/>
            <w:vAlign w:val="bottom"/>
          </w:tcPr>
          <w:p w:rsidR="00534FA2" w:rsidRPr="00B10210" w:rsidRDefault="00534FA2" w:rsidP="00FC66D4">
            <w:r w:rsidRPr="00B10210">
              <w:t> </w:t>
            </w:r>
          </w:p>
        </w:tc>
      </w:tr>
    </w:tbl>
    <w:p w:rsidR="00534FA2" w:rsidRPr="00B10210" w:rsidRDefault="00534FA2" w:rsidP="00534FA2">
      <w:pPr>
        <w:rPr>
          <w:bCs/>
          <w:szCs w:val="20"/>
        </w:rPr>
      </w:pPr>
      <w:r w:rsidRPr="00B10210">
        <w:rPr>
          <w:bCs/>
          <w:szCs w:val="20"/>
        </w:rPr>
        <w:br w:type="page"/>
      </w:r>
    </w:p>
    <w:p w:rsidR="00534FA2" w:rsidRPr="00B10210" w:rsidRDefault="00534FA2" w:rsidP="00534FA2">
      <w:pPr>
        <w:tabs>
          <w:tab w:val="num" w:pos="1080"/>
        </w:tabs>
        <w:ind w:left="-900"/>
        <w:jc w:val="both"/>
        <w:rPr>
          <w:bCs/>
          <w:sz w:val="20"/>
          <w:szCs w:val="20"/>
        </w:rPr>
      </w:pPr>
    </w:p>
    <w:p w:rsidR="00534FA2" w:rsidRPr="00B10210" w:rsidRDefault="00534FA2" w:rsidP="00534FA2">
      <w:pPr>
        <w:tabs>
          <w:tab w:val="num" w:pos="1080"/>
        </w:tabs>
        <w:jc w:val="right"/>
        <w:rPr>
          <w:bCs/>
        </w:rPr>
      </w:pPr>
      <w:r w:rsidRPr="00B10210">
        <w:rPr>
          <w:bCs/>
        </w:rPr>
        <w:t xml:space="preserve">                 Tabuľka č. 5</w:t>
      </w:r>
    </w:p>
    <w:p w:rsidR="00534FA2" w:rsidRPr="00B10210" w:rsidRDefault="00534FA2" w:rsidP="00534FA2">
      <w:pPr>
        <w:tabs>
          <w:tab w:val="num" w:pos="1080"/>
        </w:tabs>
        <w:jc w:val="both"/>
        <w:rPr>
          <w:bCs/>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534FA2" w:rsidRPr="00B10210" w:rsidTr="00FC66D4">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534FA2" w:rsidRPr="00B10210" w:rsidRDefault="00534FA2" w:rsidP="00FC66D4">
            <w:pPr>
              <w:jc w:val="center"/>
              <w:rPr>
                <w:b/>
                <w:bCs/>
              </w:rPr>
            </w:pPr>
            <w:r w:rsidRPr="00B10210">
              <w:rPr>
                <w:b/>
                <w:bCs/>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cPr>
          <w:p w:rsidR="00534FA2" w:rsidRPr="00B10210" w:rsidRDefault="00534FA2" w:rsidP="00FC66D4">
            <w:pPr>
              <w:jc w:val="center"/>
              <w:rPr>
                <w:b/>
                <w:bCs/>
              </w:rPr>
            </w:pPr>
            <w:r w:rsidRPr="00B10210">
              <w:rPr>
                <w:b/>
                <w:bCs/>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534FA2" w:rsidRPr="00B10210" w:rsidRDefault="00534FA2" w:rsidP="00FC66D4">
            <w:pPr>
              <w:jc w:val="center"/>
              <w:rPr>
                <w:b/>
                <w:bCs/>
              </w:rPr>
            </w:pPr>
            <w:r w:rsidRPr="00B10210">
              <w:rPr>
                <w:b/>
                <w:bCs/>
              </w:rPr>
              <w:t>poznámka</w:t>
            </w:r>
          </w:p>
        </w:tc>
      </w:tr>
      <w:tr w:rsidR="00534FA2" w:rsidRPr="00B10210" w:rsidTr="00FC66D4">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534FA2" w:rsidRPr="00B10210" w:rsidRDefault="00534FA2" w:rsidP="00FC66D4">
            <w:pPr>
              <w:rPr>
                <w:b/>
                <w:bCs/>
              </w:rPr>
            </w:pPr>
          </w:p>
        </w:tc>
        <w:tc>
          <w:tcPr>
            <w:tcW w:w="1698" w:type="dxa"/>
            <w:tcBorders>
              <w:top w:val="nil"/>
              <w:left w:val="nil"/>
              <w:bottom w:val="single" w:sz="4" w:space="0" w:color="auto"/>
              <w:right w:val="single" w:sz="4" w:space="0" w:color="auto"/>
            </w:tcBorders>
            <w:shd w:val="clear" w:color="auto" w:fill="BFBFBF"/>
            <w:vAlign w:val="center"/>
          </w:tcPr>
          <w:p w:rsidR="00534FA2" w:rsidRPr="00B10210" w:rsidRDefault="00534FA2" w:rsidP="00FC66D4">
            <w:pPr>
              <w:jc w:val="center"/>
              <w:rPr>
                <w:b/>
                <w:bCs/>
              </w:rPr>
            </w:pPr>
            <w:r w:rsidRPr="00B10210">
              <w:rPr>
                <w:b/>
                <w:bCs/>
              </w:rPr>
              <w:t>2020</w:t>
            </w:r>
          </w:p>
        </w:tc>
        <w:tc>
          <w:tcPr>
            <w:tcW w:w="1788" w:type="dxa"/>
            <w:tcBorders>
              <w:top w:val="nil"/>
              <w:left w:val="nil"/>
              <w:bottom w:val="single" w:sz="4" w:space="0" w:color="auto"/>
              <w:right w:val="single" w:sz="4" w:space="0" w:color="auto"/>
            </w:tcBorders>
            <w:shd w:val="clear" w:color="auto" w:fill="BFBFBF"/>
            <w:vAlign w:val="center"/>
          </w:tcPr>
          <w:p w:rsidR="00534FA2" w:rsidRPr="00B10210" w:rsidRDefault="00534FA2" w:rsidP="00FC66D4">
            <w:pPr>
              <w:jc w:val="center"/>
              <w:rPr>
                <w:b/>
                <w:bCs/>
              </w:rPr>
            </w:pPr>
            <w:r w:rsidRPr="00B10210">
              <w:rPr>
                <w:b/>
                <w:bCs/>
              </w:rPr>
              <w:t>2021</w:t>
            </w:r>
          </w:p>
        </w:tc>
        <w:tc>
          <w:tcPr>
            <w:tcW w:w="2418" w:type="dxa"/>
            <w:gridSpan w:val="2"/>
            <w:tcBorders>
              <w:top w:val="nil"/>
              <w:left w:val="nil"/>
              <w:bottom w:val="single" w:sz="4" w:space="0" w:color="auto"/>
              <w:right w:val="single" w:sz="4" w:space="0" w:color="auto"/>
            </w:tcBorders>
            <w:shd w:val="clear" w:color="auto" w:fill="BFBFBF"/>
            <w:vAlign w:val="center"/>
          </w:tcPr>
          <w:p w:rsidR="00534FA2" w:rsidRPr="00B10210" w:rsidRDefault="00534FA2" w:rsidP="00FC66D4">
            <w:pPr>
              <w:jc w:val="center"/>
              <w:rPr>
                <w:b/>
                <w:bCs/>
              </w:rPr>
            </w:pPr>
            <w:r w:rsidRPr="00B10210">
              <w:rPr>
                <w:b/>
                <w:bCs/>
              </w:rPr>
              <w:t>2022</w:t>
            </w:r>
          </w:p>
        </w:tc>
        <w:tc>
          <w:tcPr>
            <w:tcW w:w="1722" w:type="dxa"/>
            <w:tcBorders>
              <w:top w:val="nil"/>
              <w:left w:val="nil"/>
              <w:bottom w:val="single" w:sz="4" w:space="0" w:color="auto"/>
              <w:right w:val="single" w:sz="4" w:space="0" w:color="auto"/>
            </w:tcBorders>
            <w:shd w:val="clear" w:color="auto" w:fill="BFBFBF"/>
            <w:vAlign w:val="center"/>
          </w:tcPr>
          <w:p w:rsidR="00534FA2" w:rsidRPr="00B10210" w:rsidRDefault="00534FA2" w:rsidP="00FC66D4">
            <w:pPr>
              <w:jc w:val="center"/>
              <w:rPr>
                <w:b/>
                <w:bCs/>
              </w:rPr>
            </w:pPr>
            <w:r w:rsidRPr="00B10210">
              <w:rPr>
                <w:b/>
                <w:bCs/>
              </w:rPr>
              <w:t>2023</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vAlign w:val="center"/>
          </w:tcPr>
          <w:p w:rsidR="00534FA2" w:rsidRPr="00B10210" w:rsidRDefault="00534FA2" w:rsidP="00FC66D4">
            <w:pPr>
              <w:rPr>
                <w:b/>
                <w:bCs/>
                <w:color w:val="FFFFFF"/>
              </w:rPr>
            </w:pPr>
          </w:p>
        </w:tc>
      </w:tr>
      <w:tr w:rsidR="00534FA2" w:rsidRPr="00B10210" w:rsidTr="00FC66D4">
        <w:trPr>
          <w:trHeight w:val="255"/>
        </w:trPr>
        <w:tc>
          <w:tcPr>
            <w:tcW w:w="6188" w:type="dxa"/>
            <w:tcBorders>
              <w:top w:val="nil"/>
              <w:left w:val="single" w:sz="4" w:space="0" w:color="auto"/>
              <w:bottom w:val="single" w:sz="4" w:space="0" w:color="auto"/>
              <w:right w:val="single" w:sz="4" w:space="0" w:color="auto"/>
            </w:tcBorders>
          </w:tcPr>
          <w:p w:rsidR="00534FA2" w:rsidRPr="00B10210" w:rsidRDefault="00534FA2" w:rsidP="00FC66D4">
            <w:pPr>
              <w:rPr>
                <w:b/>
                <w:bCs/>
              </w:rPr>
            </w:pPr>
            <w:r w:rsidRPr="00B10210">
              <w:rPr>
                <w:b/>
                <w:bCs/>
              </w:rPr>
              <w:t>Počet zamestnancov celkom</w:t>
            </w:r>
          </w:p>
        </w:tc>
        <w:tc>
          <w:tcPr>
            <w:tcW w:w="1698" w:type="dxa"/>
            <w:tcBorders>
              <w:top w:val="nil"/>
              <w:left w:val="nil"/>
              <w:bottom w:val="single" w:sz="4" w:space="0" w:color="auto"/>
              <w:right w:val="single" w:sz="4" w:space="0" w:color="auto"/>
            </w:tcBorders>
          </w:tcPr>
          <w:p w:rsidR="00534FA2" w:rsidRPr="00B10210" w:rsidRDefault="00534FA2" w:rsidP="00FC66D4">
            <w:pPr>
              <w:jc w:val="center"/>
              <w:rPr>
                <w:b/>
                <w:bCs/>
              </w:rPr>
            </w:pPr>
          </w:p>
        </w:tc>
        <w:tc>
          <w:tcPr>
            <w:tcW w:w="1788" w:type="dxa"/>
            <w:tcBorders>
              <w:top w:val="nil"/>
              <w:left w:val="nil"/>
              <w:bottom w:val="single" w:sz="4" w:space="0" w:color="auto"/>
              <w:right w:val="single" w:sz="4" w:space="0" w:color="auto"/>
            </w:tcBorders>
          </w:tcPr>
          <w:p w:rsidR="00534FA2" w:rsidRPr="00B10210" w:rsidRDefault="00534FA2" w:rsidP="00FC66D4">
            <w:pPr>
              <w:jc w:val="center"/>
              <w:rPr>
                <w:b/>
                <w:bCs/>
              </w:rPr>
            </w:pPr>
          </w:p>
        </w:tc>
        <w:tc>
          <w:tcPr>
            <w:tcW w:w="2418" w:type="dxa"/>
            <w:gridSpan w:val="2"/>
            <w:tcBorders>
              <w:top w:val="nil"/>
              <w:left w:val="nil"/>
              <w:bottom w:val="single" w:sz="4" w:space="0" w:color="auto"/>
              <w:right w:val="single" w:sz="4" w:space="0" w:color="auto"/>
            </w:tcBorders>
          </w:tcPr>
          <w:p w:rsidR="00534FA2" w:rsidRPr="00B10210" w:rsidRDefault="00534FA2" w:rsidP="00FC66D4">
            <w:pPr>
              <w:jc w:val="center"/>
              <w:rPr>
                <w:b/>
                <w:bCs/>
              </w:rPr>
            </w:pPr>
          </w:p>
        </w:tc>
        <w:tc>
          <w:tcPr>
            <w:tcW w:w="1722" w:type="dxa"/>
            <w:tcBorders>
              <w:top w:val="nil"/>
              <w:left w:val="nil"/>
              <w:bottom w:val="single" w:sz="4" w:space="0" w:color="auto"/>
              <w:right w:val="single" w:sz="4" w:space="0" w:color="auto"/>
            </w:tcBorders>
          </w:tcPr>
          <w:p w:rsidR="00534FA2" w:rsidRPr="00B10210" w:rsidRDefault="00534FA2" w:rsidP="00FC66D4">
            <w:pPr>
              <w:jc w:val="center"/>
              <w:rPr>
                <w:b/>
                <w:bCs/>
              </w:rPr>
            </w:pPr>
          </w:p>
        </w:tc>
        <w:tc>
          <w:tcPr>
            <w:tcW w:w="1620" w:type="dxa"/>
            <w:gridSpan w:val="2"/>
            <w:tcBorders>
              <w:top w:val="nil"/>
              <w:left w:val="nil"/>
              <w:bottom w:val="single" w:sz="4" w:space="0" w:color="auto"/>
              <w:right w:val="single" w:sz="4" w:space="0" w:color="auto"/>
            </w:tcBorders>
            <w:noWrap/>
            <w:vAlign w:val="bottom"/>
          </w:tcPr>
          <w:p w:rsidR="00534FA2" w:rsidRPr="00B10210" w:rsidRDefault="00534FA2" w:rsidP="00FC66D4">
            <w:r w:rsidRPr="00B10210">
              <w:t> </w:t>
            </w:r>
          </w:p>
        </w:tc>
      </w:tr>
      <w:tr w:rsidR="00534FA2" w:rsidRPr="00B10210" w:rsidTr="00FC66D4">
        <w:trPr>
          <w:trHeight w:val="255"/>
        </w:trPr>
        <w:tc>
          <w:tcPr>
            <w:tcW w:w="6188" w:type="dxa"/>
            <w:tcBorders>
              <w:top w:val="nil"/>
              <w:left w:val="single" w:sz="4" w:space="0" w:color="auto"/>
              <w:bottom w:val="single" w:sz="4" w:space="0" w:color="auto"/>
              <w:right w:val="single" w:sz="4" w:space="0" w:color="auto"/>
            </w:tcBorders>
          </w:tcPr>
          <w:p w:rsidR="00534FA2" w:rsidRPr="00B10210" w:rsidRDefault="00534FA2" w:rsidP="00FC66D4">
            <w:pPr>
              <w:rPr>
                <w:b/>
                <w:bCs/>
              </w:rPr>
            </w:pPr>
            <w:r w:rsidRPr="00B10210">
              <w:rPr>
                <w:b/>
                <w:bCs/>
              </w:rPr>
              <w:t xml:space="preserve">   z toho vplyv na ŠR</w:t>
            </w:r>
          </w:p>
        </w:tc>
        <w:tc>
          <w:tcPr>
            <w:tcW w:w="1698" w:type="dxa"/>
            <w:tcBorders>
              <w:top w:val="single" w:sz="4" w:space="0" w:color="auto"/>
              <w:left w:val="nil"/>
              <w:bottom w:val="single" w:sz="4" w:space="0" w:color="auto"/>
              <w:right w:val="single" w:sz="4" w:space="0" w:color="auto"/>
            </w:tcBorders>
          </w:tcPr>
          <w:p w:rsidR="00534FA2" w:rsidRPr="00B10210" w:rsidRDefault="00534FA2" w:rsidP="00FC66D4">
            <w:pPr>
              <w:jc w:val="center"/>
              <w:rPr>
                <w:b/>
                <w:bCs/>
              </w:rPr>
            </w:pPr>
          </w:p>
        </w:tc>
        <w:tc>
          <w:tcPr>
            <w:tcW w:w="1788" w:type="dxa"/>
            <w:tcBorders>
              <w:top w:val="single" w:sz="4" w:space="0" w:color="auto"/>
              <w:left w:val="nil"/>
              <w:bottom w:val="single" w:sz="4" w:space="0" w:color="auto"/>
              <w:right w:val="single" w:sz="4" w:space="0" w:color="auto"/>
            </w:tcBorders>
          </w:tcPr>
          <w:p w:rsidR="00534FA2" w:rsidRPr="00B10210" w:rsidRDefault="00534FA2" w:rsidP="00FC66D4">
            <w:pPr>
              <w:jc w:val="center"/>
              <w:rPr>
                <w:b/>
                <w:bCs/>
              </w:rPr>
            </w:pPr>
          </w:p>
        </w:tc>
        <w:tc>
          <w:tcPr>
            <w:tcW w:w="2418" w:type="dxa"/>
            <w:gridSpan w:val="2"/>
            <w:tcBorders>
              <w:top w:val="single" w:sz="4" w:space="0" w:color="auto"/>
              <w:left w:val="nil"/>
              <w:bottom w:val="single" w:sz="4" w:space="0" w:color="auto"/>
              <w:right w:val="single" w:sz="4" w:space="0" w:color="auto"/>
            </w:tcBorders>
          </w:tcPr>
          <w:p w:rsidR="00534FA2" w:rsidRPr="00B10210" w:rsidRDefault="00534FA2" w:rsidP="00FC66D4">
            <w:pPr>
              <w:jc w:val="center"/>
              <w:rPr>
                <w:b/>
                <w:bCs/>
              </w:rPr>
            </w:pPr>
          </w:p>
        </w:tc>
        <w:tc>
          <w:tcPr>
            <w:tcW w:w="1722" w:type="dxa"/>
            <w:tcBorders>
              <w:top w:val="single" w:sz="4" w:space="0" w:color="auto"/>
              <w:left w:val="nil"/>
              <w:bottom w:val="single" w:sz="4" w:space="0" w:color="auto"/>
              <w:right w:val="single" w:sz="4" w:space="0" w:color="auto"/>
            </w:tcBorders>
          </w:tcPr>
          <w:p w:rsidR="00534FA2" w:rsidRPr="00B10210" w:rsidRDefault="00534FA2" w:rsidP="00FC66D4">
            <w:pPr>
              <w:jc w:val="center"/>
              <w:rPr>
                <w:b/>
                <w:bCs/>
              </w:rPr>
            </w:pPr>
          </w:p>
        </w:tc>
        <w:tc>
          <w:tcPr>
            <w:tcW w:w="1620" w:type="dxa"/>
            <w:gridSpan w:val="2"/>
            <w:tcBorders>
              <w:top w:val="nil"/>
              <w:left w:val="nil"/>
              <w:bottom w:val="single" w:sz="4" w:space="0" w:color="auto"/>
              <w:right w:val="single" w:sz="4" w:space="0" w:color="auto"/>
            </w:tcBorders>
            <w:noWrap/>
            <w:vAlign w:val="bottom"/>
          </w:tcPr>
          <w:p w:rsidR="00534FA2" w:rsidRPr="00B10210" w:rsidRDefault="00534FA2" w:rsidP="00FC66D4"/>
        </w:tc>
      </w:tr>
      <w:tr w:rsidR="00534FA2" w:rsidRPr="00B10210" w:rsidTr="00FC66D4">
        <w:trPr>
          <w:trHeight w:val="255"/>
        </w:trPr>
        <w:tc>
          <w:tcPr>
            <w:tcW w:w="6188" w:type="dxa"/>
            <w:tcBorders>
              <w:top w:val="nil"/>
              <w:left w:val="single" w:sz="4" w:space="0" w:color="auto"/>
              <w:bottom w:val="single" w:sz="4" w:space="0" w:color="auto"/>
              <w:right w:val="single" w:sz="4" w:space="0" w:color="auto"/>
            </w:tcBorders>
          </w:tcPr>
          <w:p w:rsidR="00534FA2" w:rsidRPr="00B10210" w:rsidRDefault="00534FA2" w:rsidP="00FC66D4">
            <w:pPr>
              <w:rPr>
                <w:b/>
                <w:bCs/>
              </w:rPr>
            </w:pPr>
            <w:r w:rsidRPr="00B10210">
              <w:rPr>
                <w:b/>
                <w:bCs/>
              </w:rPr>
              <w:t>Priemerný mzdový výdavok (v eurách)</w:t>
            </w:r>
          </w:p>
        </w:tc>
        <w:tc>
          <w:tcPr>
            <w:tcW w:w="1698" w:type="dxa"/>
            <w:tcBorders>
              <w:top w:val="single" w:sz="4" w:space="0" w:color="auto"/>
              <w:left w:val="nil"/>
              <w:bottom w:val="single" w:sz="4" w:space="0" w:color="auto"/>
              <w:right w:val="single" w:sz="4" w:space="0" w:color="auto"/>
            </w:tcBorders>
          </w:tcPr>
          <w:p w:rsidR="00534FA2" w:rsidRPr="00B10210" w:rsidRDefault="00534FA2" w:rsidP="00FC66D4">
            <w:pPr>
              <w:jc w:val="center"/>
              <w:rPr>
                <w:b/>
                <w:bCs/>
              </w:rPr>
            </w:pPr>
          </w:p>
        </w:tc>
        <w:tc>
          <w:tcPr>
            <w:tcW w:w="1788" w:type="dxa"/>
            <w:tcBorders>
              <w:top w:val="single" w:sz="4" w:space="0" w:color="auto"/>
              <w:left w:val="nil"/>
              <w:bottom w:val="single" w:sz="4" w:space="0" w:color="auto"/>
              <w:right w:val="single" w:sz="4" w:space="0" w:color="auto"/>
            </w:tcBorders>
          </w:tcPr>
          <w:p w:rsidR="00534FA2" w:rsidRPr="00B10210" w:rsidRDefault="00534FA2" w:rsidP="00FC66D4">
            <w:pPr>
              <w:jc w:val="center"/>
              <w:rPr>
                <w:b/>
                <w:bCs/>
              </w:rPr>
            </w:pPr>
          </w:p>
        </w:tc>
        <w:tc>
          <w:tcPr>
            <w:tcW w:w="2418" w:type="dxa"/>
            <w:gridSpan w:val="2"/>
            <w:tcBorders>
              <w:top w:val="single" w:sz="4" w:space="0" w:color="auto"/>
              <w:left w:val="nil"/>
              <w:bottom w:val="single" w:sz="4" w:space="0" w:color="auto"/>
              <w:right w:val="single" w:sz="4" w:space="0" w:color="auto"/>
            </w:tcBorders>
          </w:tcPr>
          <w:p w:rsidR="00534FA2" w:rsidRPr="00B10210" w:rsidRDefault="00534FA2" w:rsidP="00FC66D4">
            <w:pPr>
              <w:jc w:val="center"/>
              <w:rPr>
                <w:b/>
                <w:bCs/>
              </w:rPr>
            </w:pPr>
          </w:p>
        </w:tc>
        <w:tc>
          <w:tcPr>
            <w:tcW w:w="1722" w:type="dxa"/>
            <w:tcBorders>
              <w:top w:val="single" w:sz="4" w:space="0" w:color="auto"/>
              <w:left w:val="nil"/>
              <w:bottom w:val="single" w:sz="4" w:space="0" w:color="auto"/>
              <w:right w:val="single" w:sz="4" w:space="0" w:color="auto"/>
            </w:tcBorders>
          </w:tcPr>
          <w:p w:rsidR="00534FA2" w:rsidRPr="00B10210" w:rsidRDefault="00534FA2" w:rsidP="00FC66D4">
            <w:pPr>
              <w:jc w:val="center"/>
              <w:rPr>
                <w:b/>
                <w:bCs/>
              </w:rPr>
            </w:pPr>
          </w:p>
        </w:tc>
        <w:tc>
          <w:tcPr>
            <w:tcW w:w="1620" w:type="dxa"/>
            <w:gridSpan w:val="2"/>
            <w:tcBorders>
              <w:top w:val="nil"/>
              <w:left w:val="nil"/>
              <w:bottom w:val="single" w:sz="4" w:space="0" w:color="auto"/>
              <w:right w:val="single" w:sz="4" w:space="0" w:color="auto"/>
            </w:tcBorders>
            <w:noWrap/>
            <w:vAlign w:val="bottom"/>
          </w:tcPr>
          <w:p w:rsidR="00534FA2" w:rsidRPr="00B10210" w:rsidRDefault="00534FA2" w:rsidP="00FC66D4">
            <w:r w:rsidRPr="00B10210">
              <w:t> </w:t>
            </w:r>
          </w:p>
        </w:tc>
      </w:tr>
      <w:tr w:rsidR="00534FA2" w:rsidRPr="00B10210" w:rsidTr="00FC66D4">
        <w:trPr>
          <w:trHeight w:val="255"/>
        </w:trPr>
        <w:tc>
          <w:tcPr>
            <w:tcW w:w="6188" w:type="dxa"/>
            <w:tcBorders>
              <w:top w:val="nil"/>
              <w:left w:val="single" w:sz="4" w:space="0" w:color="auto"/>
              <w:bottom w:val="single" w:sz="4" w:space="0" w:color="auto"/>
              <w:right w:val="single" w:sz="4" w:space="0" w:color="auto"/>
            </w:tcBorders>
          </w:tcPr>
          <w:p w:rsidR="00534FA2" w:rsidRPr="00B10210" w:rsidRDefault="00534FA2" w:rsidP="00FC66D4">
            <w:r w:rsidRPr="00B10210">
              <w:rPr>
                <w:b/>
                <w:bCs/>
              </w:rPr>
              <w:t xml:space="preserve">   z toho vplyv na ŠR</w:t>
            </w:r>
          </w:p>
        </w:tc>
        <w:tc>
          <w:tcPr>
            <w:tcW w:w="1698" w:type="dxa"/>
            <w:tcBorders>
              <w:top w:val="single" w:sz="4" w:space="0" w:color="auto"/>
              <w:left w:val="nil"/>
              <w:bottom w:val="single" w:sz="4" w:space="0" w:color="auto"/>
              <w:right w:val="single" w:sz="4" w:space="0" w:color="auto"/>
            </w:tcBorders>
          </w:tcPr>
          <w:p w:rsidR="00534FA2" w:rsidRPr="00B10210" w:rsidRDefault="00534FA2" w:rsidP="00FC66D4">
            <w:pPr>
              <w:jc w:val="center"/>
            </w:pPr>
            <w:r w:rsidRPr="00B10210">
              <w:t> </w:t>
            </w:r>
          </w:p>
        </w:tc>
        <w:tc>
          <w:tcPr>
            <w:tcW w:w="1788" w:type="dxa"/>
            <w:tcBorders>
              <w:top w:val="single" w:sz="4" w:space="0" w:color="auto"/>
              <w:left w:val="nil"/>
              <w:bottom w:val="single" w:sz="4" w:space="0" w:color="auto"/>
              <w:right w:val="single" w:sz="4" w:space="0" w:color="auto"/>
            </w:tcBorders>
          </w:tcPr>
          <w:p w:rsidR="00534FA2" w:rsidRPr="00B10210" w:rsidRDefault="00534FA2" w:rsidP="00FC66D4">
            <w:pPr>
              <w:jc w:val="center"/>
              <w:rPr>
                <w:b/>
                <w:bCs/>
              </w:rPr>
            </w:pPr>
          </w:p>
        </w:tc>
        <w:tc>
          <w:tcPr>
            <w:tcW w:w="2418" w:type="dxa"/>
            <w:gridSpan w:val="2"/>
            <w:tcBorders>
              <w:top w:val="single" w:sz="4" w:space="0" w:color="auto"/>
              <w:left w:val="nil"/>
              <w:bottom w:val="single" w:sz="4" w:space="0" w:color="auto"/>
              <w:right w:val="single" w:sz="4" w:space="0" w:color="auto"/>
            </w:tcBorders>
          </w:tcPr>
          <w:p w:rsidR="00534FA2" w:rsidRPr="00B10210" w:rsidRDefault="00534FA2" w:rsidP="00FC66D4">
            <w:pPr>
              <w:jc w:val="center"/>
              <w:rPr>
                <w:b/>
                <w:bCs/>
              </w:rPr>
            </w:pPr>
          </w:p>
        </w:tc>
        <w:tc>
          <w:tcPr>
            <w:tcW w:w="1722" w:type="dxa"/>
            <w:tcBorders>
              <w:top w:val="single" w:sz="4" w:space="0" w:color="auto"/>
              <w:left w:val="nil"/>
              <w:bottom w:val="single" w:sz="4" w:space="0" w:color="auto"/>
              <w:right w:val="single" w:sz="4" w:space="0" w:color="auto"/>
            </w:tcBorders>
          </w:tcPr>
          <w:p w:rsidR="00534FA2" w:rsidRPr="00B10210" w:rsidRDefault="00534FA2" w:rsidP="00FC66D4">
            <w:pPr>
              <w:jc w:val="center"/>
              <w:rPr>
                <w:b/>
                <w:bCs/>
              </w:rPr>
            </w:pPr>
          </w:p>
        </w:tc>
        <w:tc>
          <w:tcPr>
            <w:tcW w:w="1620" w:type="dxa"/>
            <w:gridSpan w:val="2"/>
            <w:tcBorders>
              <w:top w:val="nil"/>
              <w:left w:val="nil"/>
              <w:bottom w:val="single" w:sz="4" w:space="0" w:color="auto"/>
              <w:right w:val="single" w:sz="4" w:space="0" w:color="auto"/>
            </w:tcBorders>
            <w:noWrap/>
            <w:vAlign w:val="bottom"/>
          </w:tcPr>
          <w:p w:rsidR="00534FA2" w:rsidRPr="00B10210" w:rsidRDefault="00534FA2" w:rsidP="00FC66D4">
            <w:r w:rsidRPr="00B10210">
              <w:t> </w:t>
            </w:r>
          </w:p>
        </w:tc>
      </w:tr>
      <w:tr w:rsidR="00534FA2" w:rsidRPr="00B10210" w:rsidTr="00FC66D4">
        <w:trPr>
          <w:trHeight w:val="255"/>
        </w:trPr>
        <w:tc>
          <w:tcPr>
            <w:tcW w:w="6188" w:type="dxa"/>
            <w:tcBorders>
              <w:top w:val="nil"/>
              <w:left w:val="single" w:sz="4" w:space="0" w:color="auto"/>
              <w:bottom w:val="single" w:sz="4" w:space="0" w:color="auto"/>
              <w:right w:val="single" w:sz="4" w:space="0" w:color="auto"/>
            </w:tcBorders>
            <w:shd w:val="clear" w:color="auto" w:fill="BFBFBF"/>
          </w:tcPr>
          <w:p w:rsidR="00534FA2" w:rsidRPr="00B10210" w:rsidRDefault="00534FA2" w:rsidP="00FC66D4">
            <w:pPr>
              <w:rPr>
                <w:b/>
                <w:bCs/>
              </w:rPr>
            </w:pPr>
            <w:r w:rsidRPr="00B10210">
              <w:rPr>
                <w:b/>
                <w:bCs/>
              </w:rPr>
              <w:t>Osobné výdavky celkom (v eurách)</w:t>
            </w:r>
          </w:p>
        </w:tc>
        <w:tc>
          <w:tcPr>
            <w:tcW w:w="1698" w:type="dxa"/>
            <w:tcBorders>
              <w:top w:val="nil"/>
              <w:left w:val="nil"/>
              <w:bottom w:val="single" w:sz="4" w:space="0" w:color="auto"/>
              <w:right w:val="single" w:sz="4" w:space="0" w:color="auto"/>
            </w:tcBorders>
            <w:shd w:val="clear" w:color="auto" w:fill="BFBFBF"/>
          </w:tcPr>
          <w:p w:rsidR="00534FA2" w:rsidRPr="00B10210" w:rsidRDefault="00534FA2" w:rsidP="00FC66D4">
            <w:pPr>
              <w:jc w:val="center"/>
              <w:rPr>
                <w:b/>
                <w:bCs/>
              </w:rPr>
            </w:pPr>
            <w:r w:rsidRPr="00B10210">
              <w:rPr>
                <w:b/>
                <w:bCs/>
              </w:rPr>
              <w:t>0</w:t>
            </w:r>
          </w:p>
        </w:tc>
        <w:tc>
          <w:tcPr>
            <w:tcW w:w="1788" w:type="dxa"/>
            <w:tcBorders>
              <w:top w:val="nil"/>
              <w:left w:val="nil"/>
              <w:bottom w:val="single" w:sz="4" w:space="0" w:color="auto"/>
              <w:right w:val="single" w:sz="4" w:space="0" w:color="auto"/>
            </w:tcBorders>
            <w:shd w:val="clear" w:color="auto" w:fill="BFBFBF"/>
          </w:tcPr>
          <w:p w:rsidR="00534FA2" w:rsidRPr="00B10210" w:rsidRDefault="00534FA2" w:rsidP="00FC66D4">
            <w:pPr>
              <w:jc w:val="center"/>
              <w:rPr>
                <w:b/>
                <w:bCs/>
              </w:rPr>
            </w:pPr>
            <w:r w:rsidRPr="00B10210">
              <w:rPr>
                <w:b/>
                <w:bCs/>
              </w:rPr>
              <w:t>0</w:t>
            </w:r>
          </w:p>
        </w:tc>
        <w:tc>
          <w:tcPr>
            <w:tcW w:w="2418" w:type="dxa"/>
            <w:gridSpan w:val="2"/>
            <w:tcBorders>
              <w:top w:val="nil"/>
              <w:left w:val="nil"/>
              <w:bottom w:val="single" w:sz="4" w:space="0" w:color="auto"/>
              <w:right w:val="single" w:sz="4" w:space="0" w:color="auto"/>
            </w:tcBorders>
            <w:shd w:val="clear" w:color="auto" w:fill="BFBFBF"/>
          </w:tcPr>
          <w:p w:rsidR="00534FA2" w:rsidRPr="00B10210" w:rsidRDefault="00534FA2" w:rsidP="00FC66D4">
            <w:pPr>
              <w:jc w:val="center"/>
              <w:rPr>
                <w:b/>
                <w:bCs/>
              </w:rPr>
            </w:pPr>
            <w:r w:rsidRPr="00B10210">
              <w:rPr>
                <w:b/>
                <w:bCs/>
              </w:rPr>
              <w:t>0</w:t>
            </w:r>
          </w:p>
        </w:tc>
        <w:tc>
          <w:tcPr>
            <w:tcW w:w="1722" w:type="dxa"/>
            <w:tcBorders>
              <w:top w:val="nil"/>
              <w:left w:val="nil"/>
              <w:bottom w:val="single" w:sz="4" w:space="0" w:color="auto"/>
              <w:right w:val="single" w:sz="4" w:space="0" w:color="auto"/>
            </w:tcBorders>
            <w:shd w:val="clear" w:color="auto" w:fill="BFBFBF"/>
          </w:tcPr>
          <w:p w:rsidR="00534FA2" w:rsidRPr="00B10210" w:rsidRDefault="00534FA2" w:rsidP="00FC66D4">
            <w:pPr>
              <w:jc w:val="center"/>
              <w:rPr>
                <w:b/>
                <w:bCs/>
              </w:rPr>
            </w:pPr>
            <w:r w:rsidRPr="00B10210">
              <w:rPr>
                <w:b/>
                <w:bCs/>
              </w:rPr>
              <w:t>0</w:t>
            </w:r>
          </w:p>
        </w:tc>
        <w:tc>
          <w:tcPr>
            <w:tcW w:w="1620" w:type="dxa"/>
            <w:gridSpan w:val="2"/>
            <w:tcBorders>
              <w:top w:val="nil"/>
              <w:left w:val="nil"/>
              <w:bottom w:val="single" w:sz="4" w:space="0" w:color="auto"/>
              <w:right w:val="single" w:sz="4" w:space="0" w:color="auto"/>
            </w:tcBorders>
            <w:shd w:val="clear" w:color="auto" w:fill="BFBFBF"/>
            <w:noWrap/>
            <w:vAlign w:val="bottom"/>
          </w:tcPr>
          <w:p w:rsidR="00534FA2" w:rsidRPr="00B10210" w:rsidRDefault="00534FA2" w:rsidP="00FC66D4">
            <w:pPr>
              <w:rPr>
                <w:b/>
                <w:bCs/>
              </w:rPr>
            </w:pPr>
            <w:r w:rsidRPr="00B10210">
              <w:rPr>
                <w:b/>
                <w:bCs/>
              </w:rPr>
              <w:t> </w:t>
            </w:r>
          </w:p>
        </w:tc>
      </w:tr>
      <w:tr w:rsidR="00534FA2" w:rsidRPr="00B10210" w:rsidTr="00FC66D4">
        <w:trPr>
          <w:trHeight w:val="255"/>
        </w:trPr>
        <w:tc>
          <w:tcPr>
            <w:tcW w:w="6188" w:type="dxa"/>
            <w:tcBorders>
              <w:top w:val="nil"/>
              <w:left w:val="single" w:sz="4" w:space="0" w:color="auto"/>
              <w:bottom w:val="single" w:sz="4" w:space="0" w:color="auto"/>
              <w:right w:val="single" w:sz="4" w:space="0" w:color="auto"/>
            </w:tcBorders>
          </w:tcPr>
          <w:p w:rsidR="00534FA2" w:rsidRPr="00B10210" w:rsidRDefault="00534FA2" w:rsidP="00FC66D4">
            <w:pPr>
              <w:rPr>
                <w:b/>
                <w:bCs/>
              </w:rPr>
            </w:pPr>
            <w:r w:rsidRPr="00B10210">
              <w:rPr>
                <w:b/>
                <w:bCs/>
              </w:rPr>
              <w:t>Mzdy, platy, služobné príjmy a ostatné osobné vyrovnania (610)</w:t>
            </w:r>
          </w:p>
        </w:tc>
        <w:tc>
          <w:tcPr>
            <w:tcW w:w="1698" w:type="dxa"/>
            <w:tcBorders>
              <w:top w:val="nil"/>
              <w:left w:val="nil"/>
              <w:bottom w:val="single" w:sz="4" w:space="0" w:color="auto"/>
              <w:right w:val="single" w:sz="4" w:space="0" w:color="auto"/>
            </w:tcBorders>
          </w:tcPr>
          <w:p w:rsidR="00534FA2" w:rsidRPr="00B10210" w:rsidRDefault="00534FA2" w:rsidP="00FC66D4">
            <w:pPr>
              <w:jc w:val="center"/>
              <w:rPr>
                <w:b/>
                <w:bCs/>
              </w:rPr>
            </w:pPr>
          </w:p>
        </w:tc>
        <w:tc>
          <w:tcPr>
            <w:tcW w:w="1788" w:type="dxa"/>
            <w:tcBorders>
              <w:top w:val="nil"/>
              <w:left w:val="nil"/>
              <w:bottom w:val="single" w:sz="4" w:space="0" w:color="auto"/>
              <w:right w:val="single" w:sz="4" w:space="0" w:color="auto"/>
            </w:tcBorders>
          </w:tcPr>
          <w:p w:rsidR="00534FA2" w:rsidRPr="00B10210" w:rsidRDefault="00534FA2" w:rsidP="00FC66D4">
            <w:pPr>
              <w:jc w:val="center"/>
              <w:rPr>
                <w:b/>
                <w:bCs/>
              </w:rPr>
            </w:pPr>
          </w:p>
        </w:tc>
        <w:tc>
          <w:tcPr>
            <w:tcW w:w="2418" w:type="dxa"/>
            <w:gridSpan w:val="2"/>
            <w:tcBorders>
              <w:top w:val="nil"/>
              <w:left w:val="nil"/>
              <w:bottom w:val="single" w:sz="4" w:space="0" w:color="auto"/>
              <w:right w:val="single" w:sz="4" w:space="0" w:color="auto"/>
            </w:tcBorders>
          </w:tcPr>
          <w:p w:rsidR="00534FA2" w:rsidRPr="00B10210" w:rsidRDefault="00534FA2" w:rsidP="00FC66D4">
            <w:pPr>
              <w:jc w:val="center"/>
              <w:rPr>
                <w:b/>
                <w:bCs/>
              </w:rPr>
            </w:pPr>
          </w:p>
        </w:tc>
        <w:tc>
          <w:tcPr>
            <w:tcW w:w="1722" w:type="dxa"/>
            <w:tcBorders>
              <w:top w:val="nil"/>
              <w:left w:val="nil"/>
              <w:bottom w:val="single" w:sz="4" w:space="0" w:color="auto"/>
              <w:right w:val="single" w:sz="4" w:space="0" w:color="auto"/>
            </w:tcBorders>
          </w:tcPr>
          <w:p w:rsidR="00534FA2" w:rsidRPr="00B10210" w:rsidRDefault="00534FA2" w:rsidP="00FC66D4">
            <w:pPr>
              <w:jc w:val="center"/>
              <w:rPr>
                <w:b/>
                <w:bCs/>
              </w:rPr>
            </w:pPr>
          </w:p>
        </w:tc>
        <w:tc>
          <w:tcPr>
            <w:tcW w:w="1620" w:type="dxa"/>
            <w:gridSpan w:val="2"/>
            <w:tcBorders>
              <w:top w:val="nil"/>
              <w:left w:val="nil"/>
              <w:bottom w:val="single" w:sz="4" w:space="0" w:color="auto"/>
              <w:right w:val="single" w:sz="4" w:space="0" w:color="auto"/>
            </w:tcBorders>
            <w:noWrap/>
            <w:vAlign w:val="bottom"/>
          </w:tcPr>
          <w:p w:rsidR="00534FA2" w:rsidRPr="00B10210" w:rsidRDefault="00534FA2" w:rsidP="00FC66D4">
            <w:pPr>
              <w:rPr>
                <w:b/>
                <w:bCs/>
              </w:rPr>
            </w:pPr>
            <w:r w:rsidRPr="00B10210">
              <w:rPr>
                <w:b/>
                <w:bCs/>
              </w:rPr>
              <w:t> </w:t>
            </w:r>
          </w:p>
        </w:tc>
      </w:tr>
      <w:tr w:rsidR="00534FA2" w:rsidRPr="00B10210" w:rsidTr="00FC66D4">
        <w:trPr>
          <w:trHeight w:val="255"/>
        </w:trPr>
        <w:tc>
          <w:tcPr>
            <w:tcW w:w="6188" w:type="dxa"/>
            <w:tcBorders>
              <w:top w:val="nil"/>
              <w:left w:val="single" w:sz="4" w:space="0" w:color="auto"/>
              <w:bottom w:val="single" w:sz="4" w:space="0" w:color="auto"/>
              <w:right w:val="single" w:sz="4" w:space="0" w:color="auto"/>
            </w:tcBorders>
          </w:tcPr>
          <w:p w:rsidR="00534FA2" w:rsidRPr="00B10210" w:rsidRDefault="00534FA2" w:rsidP="00FC66D4">
            <w:r w:rsidRPr="00B10210">
              <w:rPr>
                <w:b/>
                <w:bCs/>
              </w:rPr>
              <w:t xml:space="preserve">   z toho vplyv na ŠR</w:t>
            </w:r>
          </w:p>
        </w:tc>
        <w:tc>
          <w:tcPr>
            <w:tcW w:w="1698" w:type="dxa"/>
            <w:tcBorders>
              <w:top w:val="nil"/>
              <w:left w:val="nil"/>
              <w:bottom w:val="single" w:sz="4" w:space="0" w:color="auto"/>
              <w:right w:val="single" w:sz="4" w:space="0" w:color="auto"/>
            </w:tcBorders>
          </w:tcPr>
          <w:p w:rsidR="00534FA2" w:rsidRPr="00B10210" w:rsidRDefault="00534FA2" w:rsidP="00FC66D4">
            <w:pPr>
              <w:jc w:val="center"/>
            </w:pPr>
          </w:p>
        </w:tc>
        <w:tc>
          <w:tcPr>
            <w:tcW w:w="1788" w:type="dxa"/>
            <w:tcBorders>
              <w:top w:val="nil"/>
              <w:left w:val="nil"/>
              <w:bottom w:val="single" w:sz="4" w:space="0" w:color="auto"/>
              <w:right w:val="single" w:sz="4" w:space="0" w:color="auto"/>
            </w:tcBorders>
          </w:tcPr>
          <w:p w:rsidR="00534FA2" w:rsidRPr="00B10210" w:rsidRDefault="00534FA2" w:rsidP="00FC66D4">
            <w:pPr>
              <w:jc w:val="center"/>
              <w:rPr>
                <w:b/>
                <w:bCs/>
              </w:rPr>
            </w:pPr>
          </w:p>
        </w:tc>
        <w:tc>
          <w:tcPr>
            <w:tcW w:w="2418" w:type="dxa"/>
            <w:gridSpan w:val="2"/>
            <w:tcBorders>
              <w:top w:val="nil"/>
              <w:left w:val="nil"/>
              <w:bottom w:val="single" w:sz="4" w:space="0" w:color="auto"/>
              <w:right w:val="single" w:sz="4" w:space="0" w:color="auto"/>
            </w:tcBorders>
          </w:tcPr>
          <w:p w:rsidR="00534FA2" w:rsidRPr="00B10210" w:rsidRDefault="00534FA2" w:rsidP="00FC66D4">
            <w:pPr>
              <w:jc w:val="center"/>
              <w:rPr>
                <w:b/>
                <w:bCs/>
              </w:rPr>
            </w:pPr>
          </w:p>
        </w:tc>
        <w:tc>
          <w:tcPr>
            <w:tcW w:w="1722" w:type="dxa"/>
            <w:tcBorders>
              <w:top w:val="nil"/>
              <w:left w:val="nil"/>
              <w:bottom w:val="single" w:sz="4" w:space="0" w:color="auto"/>
              <w:right w:val="single" w:sz="4" w:space="0" w:color="auto"/>
            </w:tcBorders>
          </w:tcPr>
          <w:p w:rsidR="00534FA2" w:rsidRPr="00B10210" w:rsidRDefault="00534FA2" w:rsidP="00FC66D4">
            <w:pPr>
              <w:jc w:val="center"/>
              <w:rPr>
                <w:b/>
                <w:bCs/>
              </w:rPr>
            </w:pPr>
          </w:p>
        </w:tc>
        <w:tc>
          <w:tcPr>
            <w:tcW w:w="1620" w:type="dxa"/>
            <w:gridSpan w:val="2"/>
            <w:tcBorders>
              <w:top w:val="nil"/>
              <w:left w:val="nil"/>
              <w:bottom w:val="single" w:sz="4" w:space="0" w:color="auto"/>
              <w:right w:val="single" w:sz="4" w:space="0" w:color="auto"/>
            </w:tcBorders>
            <w:noWrap/>
            <w:vAlign w:val="bottom"/>
          </w:tcPr>
          <w:p w:rsidR="00534FA2" w:rsidRPr="00B10210" w:rsidRDefault="00534FA2" w:rsidP="00FC66D4">
            <w:r w:rsidRPr="00B10210">
              <w:t> </w:t>
            </w:r>
          </w:p>
        </w:tc>
      </w:tr>
      <w:tr w:rsidR="00534FA2" w:rsidRPr="00B10210" w:rsidTr="00FC66D4">
        <w:trPr>
          <w:trHeight w:val="255"/>
        </w:trPr>
        <w:tc>
          <w:tcPr>
            <w:tcW w:w="6188" w:type="dxa"/>
            <w:tcBorders>
              <w:top w:val="nil"/>
              <w:left w:val="single" w:sz="4" w:space="0" w:color="auto"/>
              <w:bottom w:val="single" w:sz="4" w:space="0" w:color="auto"/>
              <w:right w:val="single" w:sz="4" w:space="0" w:color="auto"/>
            </w:tcBorders>
          </w:tcPr>
          <w:p w:rsidR="00534FA2" w:rsidRPr="00B10210" w:rsidRDefault="00534FA2" w:rsidP="00FC66D4">
            <w:pPr>
              <w:rPr>
                <w:b/>
                <w:bCs/>
              </w:rPr>
            </w:pPr>
            <w:r w:rsidRPr="00B10210">
              <w:rPr>
                <w:b/>
                <w:bCs/>
              </w:rPr>
              <w:t>Poistné a príspevok do poisťovní (620)</w:t>
            </w:r>
          </w:p>
        </w:tc>
        <w:tc>
          <w:tcPr>
            <w:tcW w:w="1698" w:type="dxa"/>
            <w:tcBorders>
              <w:top w:val="nil"/>
              <w:left w:val="nil"/>
              <w:bottom w:val="single" w:sz="4" w:space="0" w:color="auto"/>
              <w:right w:val="single" w:sz="4" w:space="0" w:color="auto"/>
            </w:tcBorders>
          </w:tcPr>
          <w:p w:rsidR="00534FA2" w:rsidRPr="00B10210" w:rsidRDefault="00534FA2" w:rsidP="00FC66D4">
            <w:pPr>
              <w:jc w:val="center"/>
              <w:rPr>
                <w:b/>
                <w:bCs/>
              </w:rPr>
            </w:pPr>
          </w:p>
        </w:tc>
        <w:tc>
          <w:tcPr>
            <w:tcW w:w="1788" w:type="dxa"/>
            <w:tcBorders>
              <w:top w:val="nil"/>
              <w:left w:val="nil"/>
              <w:bottom w:val="single" w:sz="4" w:space="0" w:color="auto"/>
              <w:right w:val="single" w:sz="4" w:space="0" w:color="auto"/>
            </w:tcBorders>
          </w:tcPr>
          <w:p w:rsidR="00534FA2" w:rsidRPr="00B10210" w:rsidRDefault="00534FA2" w:rsidP="00FC66D4">
            <w:pPr>
              <w:jc w:val="center"/>
              <w:rPr>
                <w:b/>
                <w:bCs/>
              </w:rPr>
            </w:pPr>
          </w:p>
        </w:tc>
        <w:tc>
          <w:tcPr>
            <w:tcW w:w="2418" w:type="dxa"/>
            <w:gridSpan w:val="2"/>
            <w:tcBorders>
              <w:top w:val="nil"/>
              <w:left w:val="nil"/>
              <w:bottom w:val="single" w:sz="4" w:space="0" w:color="auto"/>
              <w:right w:val="single" w:sz="4" w:space="0" w:color="auto"/>
            </w:tcBorders>
          </w:tcPr>
          <w:p w:rsidR="00534FA2" w:rsidRPr="00B10210" w:rsidRDefault="00534FA2" w:rsidP="00FC66D4">
            <w:pPr>
              <w:jc w:val="center"/>
              <w:rPr>
                <w:b/>
                <w:bCs/>
              </w:rPr>
            </w:pPr>
          </w:p>
        </w:tc>
        <w:tc>
          <w:tcPr>
            <w:tcW w:w="1722" w:type="dxa"/>
            <w:tcBorders>
              <w:top w:val="nil"/>
              <w:left w:val="nil"/>
              <w:bottom w:val="single" w:sz="4" w:space="0" w:color="auto"/>
              <w:right w:val="single" w:sz="4" w:space="0" w:color="auto"/>
            </w:tcBorders>
          </w:tcPr>
          <w:p w:rsidR="00534FA2" w:rsidRPr="00B10210" w:rsidRDefault="00534FA2" w:rsidP="00FC66D4">
            <w:pPr>
              <w:jc w:val="center"/>
              <w:rPr>
                <w:b/>
                <w:bCs/>
              </w:rPr>
            </w:pPr>
          </w:p>
        </w:tc>
        <w:tc>
          <w:tcPr>
            <w:tcW w:w="1620" w:type="dxa"/>
            <w:gridSpan w:val="2"/>
            <w:tcBorders>
              <w:top w:val="nil"/>
              <w:left w:val="nil"/>
              <w:bottom w:val="single" w:sz="4" w:space="0" w:color="auto"/>
              <w:right w:val="single" w:sz="4" w:space="0" w:color="auto"/>
            </w:tcBorders>
            <w:noWrap/>
            <w:vAlign w:val="bottom"/>
          </w:tcPr>
          <w:p w:rsidR="00534FA2" w:rsidRPr="00B10210" w:rsidRDefault="00534FA2" w:rsidP="00FC66D4">
            <w:pPr>
              <w:rPr>
                <w:b/>
                <w:bCs/>
              </w:rPr>
            </w:pPr>
            <w:r w:rsidRPr="00B10210">
              <w:rPr>
                <w:b/>
                <w:bCs/>
              </w:rPr>
              <w:t> </w:t>
            </w:r>
          </w:p>
        </w:tc>
      </w:tr>
      <w:tr w:rsidR="00534FA2" w:rsidRPr="00B10210" w:rsidTr="00FC66D4">
        <w:trPr>
          <w:trHeight w:val="255"/>
        </w:trPr>
        <w:tc>
          <w:tcPr>
            <w:tcW w:w="6188" w:type="dxa"/>
            <w:tcBorders>
              <w:top w:val="nil"/>
              <w:left w:val="single" w:sz="4" w:space="0" w:color="auto"/>
              <w:bottom w:val="single" w:sz="4" w:space="0" w:color="auto"/>
              <w:right w:val="single" w:sz="4" w:space="0" w:color="auto"/>
            </w:tcBorders>
          </w:tcPr>
          <w:p w:rsidR="00534FA2" w:rsidRPr="00B10210" w:rsidRDefault="00534FA2" w:rsidP="00FC66D4">
            <w:r w:rsidRPr="00B10210">
              <w:rPr>
                <w:b/>
                <w:bCs/>
              </w:rPr>
              <w:t xml:space="preserve">   z toho vplyv na ŠR</w:t>
            </w:r>
          </w:p>
        </w:tc>
        <w:tc>
          <w:tcPr>
            <w:tcW w:w="1698" w:type="dxa"/>
            <w:tcBorders>
              <w:top w:val="nil"/>
              <w:left w:val="nil"/>
              <w:bottom w:val="single" w:sz="4" w:space="0" w:color="auto"/>
              <w:right w:val="single" w:sz="4" w:space="0" w:color="auto"/>
            </w:tcBorders>
          </w:tcPr>
          <w:p w:rsidR="00534FA2" w:rsidRPr="00B10210" w:rsidRDefault="00534FA2" w:rsidP="00FC66D4">
            <w:pPr>
              <w:jc w:val="center"/>
            </w:pPr>
          </w:p>
        </w:tc>
        <w:tc>
          <w:tcPr>
            <w:tcW w:w="1788" w:type="dxa"/>
            <w:tcBorders>
              <w:top w:val="nil"/>
              <w:left w:val="nil"/>
              <w:bottom w:val="single" w:sz="4" w:space="0" w:color="auto"/>
              <w:right w:val="single" w:sz="4" w:space="0" w:color="auto"/>
            </w:tcBorders>
          </w:tcPr>
          <w:p w:rsidR="00534FA2" w:rsidRPr="00B10210" w:rsidRDefault="00534FA2" w:rsidP="00FC66D4">
            <w:pPr>
              <w:jc w:val="center"/>
              <w:rPr>
                <w:b/>
                <w:bCs/>
              </w:rPr>
            </w:pPr>
          </w:p>
        </w:tc>
        <w:tc>
          <w:tcPr>
            <w:tcW w:w="2418" w:type="dxa"/>
            <w:gridSpan w:val="2"/>
            <w:tcBorders>
              <w:top w:val="nil"/>
              <w:left w:val="nil"/>
              <w:bottom w:val="single" w:sz="4" w:space="0" w:color="auto"/>
              <w:right w:val="single" w:sz="4" w:space="0" w:color="auto"/>
            </w:tcBorders>
          </w:tcPr>
          <w:p w:rsidR="00534FA2" w:rsidRPr="00B10210" w:rsidRDefault="00534FA2" w:rsidP="00FC66D4">
            <w:pPr>
              <w:jc w:val="center"/>
              <w:rPr>
                <w:b/>
                <w:bCs/>
              </w:rPr>
            </w:pPr>
          </w:p>
        </w:tc>
        <w:tc>
          <w:tcPr>
            <w:tcW w:w="1722" w:type="dxa"/>
            <w:tcBorders>
              <w:top w:val="nil"/>
              <w:left w:val="nil"/>
              <w:bottom w:val="single" w:sz="4" w:space="0" w:color="auto"/>
              <w:right w:val="single" w:sz="4" w:space="0" w:color="auto"/>
            </w:tcBorders>
          </w:tcPr>
          <w:p w:rsidR="00534FA2" w:rsidRPr="00B10210" w:rsidRDefault="00534FA2" w:rsidP="00FC66D4">
            <w:pPr>
              <w:jc w:val="center"/>
              <w:rPr>
                <w:b/>
                <w:bCs/>
              </w:rPr>
            </w:pPr>
          </w:p>
        </w:tc>
        <w:tc>
          <w:tcPr>
            <w:tcW w:w="1620" w:type="dxa"/>
            <w:gridSpan w:val="2"/>
            <w:tcBorders>
              <w:top w:val="nil"/>
              <w:left w:val="nil"/>
              <w:bottom w:val="single" w:sz="4" w:space="0" w:color="auto"/>
              <w:right w:val="single" w:sz="4" w:space="0" w:color="auto"/>
            </w:tcBorders>
            <w:noWrap/>
            <w:vAlign w:val="bottom"/>
          </w:tcPr>
          <w:p w:rsidR="00534FA2" w:rsidRPr="00B10210" w:rsidRDefault="00534FA2" w:rsidP="00FC66D4">
            <w:r w:rsidRPr="00B10210">
              <w:t> </w:t>
            </w:r>
          </w:p>
        </w:tc>
      </w:tr>
      <w:tr w:rsidR="00534FA2" w:rsidRPr="00B10210" w:rsidTr="00FC66D4">
        <w:trPr>
          <w:trHeight w:val="255"/>
        </w:trPr>
        <w:tc>
          <w:tcPr>
            <w:tcW w:w="6188" w:type="dxa"/>
            <w:tcBorders>
              <w:top w:val="nil"/>
              <w:left w:val="nil"/>
              <w:bottom w:val="nil"/>
              <w:right w:val="nil"/>
            </w:tcBorders>
            <w:noWrap/>
            <w:vAlign w:val="bottom"/>
          </w:tcPr>
          <w:p w:rsidR="00534FA2" w:rsidRPr="00B10210" w:rsidRDefault="00534FA2" w:rsidP="00FC66D4"/>
        </w:tc>
        <w:tc>
          <w:tcPr>
            <w:tcW w:w="1698" w:type="dxa"/>
            <w:tcBorders>
              <w:top w:val="nil"/>
              <w:left w:val="nil"/>
              <w:bottom w:val="nil"/>
              <w:right w:val="nil"/>
            </w:tcBorders>
            <w:noWrap/>
            <w:vAlign w:val="bottom"/>
          </w:tcPr>
          <w:p w:rsidR="00534FA2" w:rsidRPr="00B10210" w:rsidRDefault="00534FA2" w:rsidP="00FC66D4"/>
        </w:tc>
        <w:tc>
          <w:tcPr>
            <w:tcW w:w="1788" w:type="dxa"/>
            <w:tcBorders>
              <w:top w:val="nil"/>
              <w:left w:val="nil"/>
              <w:bottom w:val="nil"/>
              <w:right w:val="nil"/>
            </w:tcBorders>
            <w:noWrap/>
            <w:vAlign w:val="bottom"/>
          </w:tcPr>
          <w:p w:rsidR="00534FA2" w:rsidRPr="00B10210" w:rsidRDefault="00534FA2" w:rsidP="00FC66D4"/>
        </w:tc>
        <w:tc>
          <w:tcPr>
            <w:tcW w:w="2418" w:type="dxa"/>
            <w:gridSpan w:val="2"/>
            <w:tcBorders>
              <w:top w:val="nil"/>
              <w:left w:val="nil"/>
              <w:bottom w:val="nil"/>
              <w:right w:val="nil"/>
            </w:tcBorders>
            <w:noWrap/>
            <w:vAlign w:val="bottom"/>
          </w:tcPr>
          <w:p w:rsidR="00534FA2" w:rsidRPr="00B10210" w:rsidRDefault="00534FA2" w:rsidP="00FC66D4"/>
        </w:tc>
        <w:tc>
          <w:tcPr>
            <w:tcW w:w="1722" w:type="dxa"/>
            <w:tcBorders>
              <w:top w:val="nil"/>
              <w:left w:val="nil"/>
              <w:bottom w:val="nil"/>
              <w:right w:val="nil"/>
            </w:tcBorders>
            <w:noWrap/>
            <w:vAlign w:val="bottom"/>
          </w:tcPr>
          <w:p w:rsidR="00534FA2" w:rsidRPr="00B10210" w:rsidRDefault="00534FA2" w:rsidP="00FC66D4"/>
        </w:tc>
        <w:tc>
          <w:tcPr>
            <w:tcW w:w="1620" w:type="dxa"/>
            <w:gridSpan w:val="2"/>
            <w:tcBorders>
              <w:top w:val="nil"/>
              <w:left w:val="nil"/>
              <w:bottom w:val="nil"/>
              <w:right w:val="nil"/>
            </w:tcBorders>
            <w:noWrap/>
            <w:vAlign w:val="bottom"/>
          </w:tcPr>
          <w:p w:rsidR="00534FA2" w:rsidRPr="00B10210" w:rsidRDefault="00534FA2" w:rsidP="00FC66D4"/>
        </w:tc>
      </w:tr>
      <w:tr w:rsidR="00534FA2" w:rsidRPr="00B10210" w:rsidTr="00FC66D4">
        <w:trPr>
          <w:trHeight w:val="255"/>
        </w:trPr>
        <w:tc>
          <w:tcPr>
            <w:tcW w:w="6188" w:type="dxa"/>
            <w:tcBorders>
              <w:top w:val="nil"/>
              <w:left w:val="nil"/>
              <w:bottom w:val="nil"/>
              <w:right w:val="nil"/>
            </w:tcBorders>
          </w:tcPr>
          <w:p w:rsidR="00534FA2" w:rsidRPr="00B10210" w:rsidRDefault="00534FA2" w:rsidP="00FC66D4">
            <w:pPr>
              <w:rPr>
                <w:b/>
                <w:bCs/>
                <w:sz w:val="20"/>
                <w:szCs w:val="20"/>
              </w:rPr>
            </w:pPr>
            <w:r w:rsidRPr="00B10210">
              <w:rPr>
                <w:b/>
                <w:bCs/>
                <w:sz w:val="20"/>
                <w:szCs w:val="20"/>
              </w:rPr>
              <w:t>Poznámky:</w:t>
            </w:r>
          </w:p>
        </w:tc>
        <w:tc>
          <w:tcPr>
            <w:tcW w:w="1698" w:type="dxa"/>
            <w:tcBorders>
              <w:top w:val="nil"/>
              <w:left w:val="nil"/>
              <w:bottom w:val="nil"/>
              <w:right w:val="nil"/>
            </w:tcBorders>
            <w:noWrap/>
            <w:vAlign w:val="bottom"/>
          </w:tcPr>
          <w:p w:rsidR="00534FA2" w:rsidRPr="00B10210" w:rsidRDefault="00534FA2" w:rsidP="00FC66D4">
            <w:pPr>
              <w:rPr>
                <w:sz w:val="20"/>
                <w:szCs w:val="20"/>
              </w:rPr>
            </w:pPr>
          </w:p>
        </w:tc>
        <w:tc>
          <w:tcPr>
            <w:tcW w:w="1788" w:type="dxa"/>
            <w:tcBorders>
              <w:top w:val="nil"/>
              <w:left w:val="nil"/>
              <w:bottom w:val="nil"/>
              <w:right w:val="nil"/>
            </w:tcBorders>
            <w:noWrap/>
            <w:vAlign w:val="bottom"/>
          </w:tcPr>
          <w:p w:rsidR="00534FA2" w:rsidRPr="00B10210" w:rsidRDefault="00534FA2" w:rsidP="00FC66D4">
            <w:pPr>
              <w:rPr>
                <w:sz w:val="20"/>
                <w:szCs w:val="20"/>
              </w:rPr>
            </w:pPr>
          </w:p>
        </w:tc>
        <w:tc>
          <w:tcPr>
            <w:tcW w:w="2418" w:type="dxa"/>
            <w:gridSpan w:val="2"/>
            <w:tcBorders>
              <w:top w:val="nil"/>
              <w:left w:val="nil"/>
              <w:bottom w:val="nil"/>
              <w:right w:val="nil"/>
            </w:tcBorders>
            <w:noWrap/>
            <w:vAlign w:val="bottom"/>
          </w:tcPr>
          <w:p w:rsidR="00534FA2" w:rsidRPr="00B10210" w:rsidRDefault="00534FA2" w:rsidP="00FC66D4">
            <w:pPr>
              <w:rPr>
                <w:sz w:val="20"/>
                <w:szCs w:val="20"/>
              </w:rPr>
            </w:pPr>
          </w:p>
        </w:tc>
        <w:tc>
          <w:tcPr>
            <w:tcW w:w="1722" w:type="dxa"/>
            <w:tcBorders>
              <w:top w:val="nil"/>
              <w:left w:val="nil"/>
              <w:bottom w:val="nil"/>
              <w:right w:val="nil"/>
            </w:tcBorders>
            <w:noWrap/>
            <w:vAlign w:val="bottom"/>
          </w:tcPr>
          <w:p w:rsidR="00534FA2" w:rsidRPr="00B10210" w:rsidRDefault="00534FA2" w:rsidP="00FC66D4"/>
        </w:tc>
        <w:tc>
          <w:tcPr>
            <w:tcW w:w="1620" w:type="dxa"/>
            <w:gridSpan w:val="2"/>
            <w:tcBorders>
              <w:top w:val="nil"/>
              <w:left w:val="nil"/>
              <w:bottom w:val="nil"/>
              <w:right w:val="nil"/>
            </w:tcBorders>
            <w:noWrap/>
            <w:vAlign w:val="bottom"/>
          </w:tcPr>
          <w:p w:rsidR="00534FA2" w:rsidRPr="00B10210" w:rsidRDefault="00534FA2" w:rsidP="00FC66D4"/>
        </w:tc>
      </w:tr>
      <w:tr w:rsidR="00534FA2" w:rsidRPr="00B10210" w:rsidTr="00FC66D4">
        <w:trPr>
          <w:trHeight w:val="255"/>
        </w:trPr>
        <w:tc>
          <w:tcPr>
            <w:tcW w:w="13814" w:type="dxa"/>
            <w:gridSpan w:val="6"/>
            <w:tcBorders>
              <w:top w:val="nil"/>
              <w:left w:val="nil"/>
              <w:bottom w:val="nil"/>
              <w:right w:val="nil"/>
            </w:tcBorders>
            <w:noWrap/>
          </w:tcPr>
          <w:p w:rsidR="00534FA2" w:rsidRPr="00B10210" w:rsidRDefault="00534FA2" w:rsidP="00FC66D4">
            <w:pPr>
              <w:tabs>
                <w:tab w:val="num" w:pos="1080"/>
              </w:tabs>
              <w:jc w:val="both"/>
              <w:rPr>
                <w:bCs/>
                <w:sz w:val="20"/>
                <w:szCs w:val="20"/>
              </w:rPr>
            </w:pPr>
            <w:r w:rsidRPr="00B10210">
              <w:rPr>
                <w:bCs/>
                <w:sz w:val="20"/>
                <w:szCs w:val="20"/>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534FA2" w:rsidRPr="00B10210" w:rsidRDefault="00534FA2" w:rsidP="00FC66D4">
            <w:pPr>
              <w:rPr>
                <w:sz w:val="20"/>
                <w:szCs w:val="20"/>
              </w:rPr>
            </w:pPr>
            <w:r w:rsidRPr="00B10210">
              <w:rPr>
                <w:sz w:val="20"/>
                <w:szCs w:val="20"/>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534FA2" w:rsidRPr="00B10210" w:rsidRDefault="00534FA2" w:rsidP="00FC66D4"/>
        </w:tc>
      </w:tr>
      <w:tr w:rsidR="00534FA2" w:rsidRPr="00B10210" w:rsidTr="00FC66D4">
        <w:trPr>
          <w:trHeight w:val="255"/>
        </w:trPr>
        <w:tc>
          <w:tcPr>
            <w:tcW w:w="10394" w:type="dxa"/>
            <w:gridSpan w:val="4"/>
            <w:tcBorders>
              <w:top w:val="nil"/>
              <w:left w:val="nil"/>
              <w:bottom w:val="nil"/>
              <w:right w:val="nil"/>
            </w:tcBorders>
            <w:noWrap/>
            <w:vAlign w:val="bottom"/>
          </w:tcPr>
          <w:p w:rsidR="00534FA2" w:rsidRPr="00B10210" w:rsidRDefault="00534FA2" w:rsidP="00FC66D4">
            <w:pPr>
              <w:rPr>
                <w:sz w:val="20"/>
                <w:szCs w:val="20"/>
              </w:rPr>
            </w:pPr>
            <w:r w:rsidRPr="00B10210">
              <w:rPr>
                <w:sz w:val="20"/>
                <w:szCs w:val="20"/>
              </w:rPr>
              <w:t>Kategórie 610 a 620 sú z tejto prílohy prenášané do príslušných kategórií prílohy „výdavky“.</w:t>
            </w:r>
          </w:p>
          <w:p w:rsidR="00534FA2" w:rsidRPr="00B10210" w:rsidRDefault="00534FA2" w:rsidP="00FC66D4">
            <w:pPr>
              <w:rPr>
                <w:sz w:val="20"/>
                <w:szCs w:val="20"/>
              </w:rPr>
            </w:pPr>
          </w:p>
          <w:p w:rsidR="00534FA2" w:rsidRPr="00B10210" w:rsidRDefault="00534FA2" w:rsidP="00FC66D4">
            <w:pPr>
              <w:rPr>
                <w:sz w:val="20"/>
                <w:szCs w:val="20"/>
              </w:rPr>
            </w:pPr>
          </w:p>
          <w:p w:rsidR="00534FA2" w:rsidRPr="00B10210" w:rsidRDefault="00534FA2" w:rsidP="00FC66D4">
            <w:pPr>
              <w:rPr>
                <w:sz w:val="20"/>
                <w:szCs w:val="20"/>
              </w:rPr>
            </w:pPr>
          </w:p>
          <w:p w:rsidR="00534FA2" w:rsidRPr="00B10210" w:rsidRDefault="00534FA2" w:rsidP="00FC66D4">
            <w:pPr>
              <w:rPr>
                <w:sz w:val="20"/>
                <w:szCs w:val="20"/>
              </w:rPr>
            </w:pPr>
          </w:p>
        </w:tc>
        <w:tc>
          <w:tcPr>
            <w:tcW w:w="1698" w:type="dxa"/>
            <w:tcBorders>
              <w:top w:val="nil"/>
              <w:left w:val="nil"/>
              <w:bottom w:val="nil"/>
              <w:right w:val="nil"/>
            </w:tcBorders>
            <w:noWrap/>
            <w:vAlign w:val="bottom"/>
          </w:tcPr>
          <w:p w:rsidR="00534FA2" w:rsidRPr="00B10210" w:rsidRDefault="00534FA2" w:rsidP="00FC66D4"/>
        </w:tc>
        <w:tc>
          <w:tcPr>
            <w:tcW w:w="2352" w:type="dxa"/>
            <w:gridSpan w:val="2"/>
            <w:tcBorders>
              <w:top w:val="nil"/>
              <w:left w:val="nil"/>
              <w:bottom w:val="nil"/>
              <w:right w:val="nil"/>
            </w:tcBorders>
            <w:noWrap/>
            <w:vAlign w:val="bottom"/>
          </w:tcPr>
          <w:p w:rsidR="00534FA2" w:rsidRPr="00B10210" w:rsidRDefault="00534FA2" w:rsidP="00FC66D4"/>
        </w:tc>
        <w:tc>
          <w:tcPr>
            <w:tcW w:w="990" w:type="dxa"/>
            <w:tcBorders>
              <w:top w:val="nil"/>
              <w:left w:val="nil"/>
              <w:bottom w:val="nil"/>
              <w:right w:val="nil"/>
            </w:tcBorders>
            <w:noWrap/>
            <w:vAlign w:val="bottom"/>
          </w:tcPr>
          <w:p w:rsidR="00534FA2" w:rsidRPr="00B10210" w:rsidRDefault="00534FA2" w:rsidP="00FC66D4"/>
        </w:tc>
      </w:tr>
    </w:tbl>
    <w:p w:rsidR="00534FA2" w:rsidRPr="00B10210" w:rsidRDefault="00534FA2" w:rsidP="00534FA2">
      <w:pPr>
        <w:tabs>
          <w:tab w:val="num" w:pos="1080"/>
        </w:tabs>
        <w:ind w:left="-900"/>
        <w:jc w:val="both"/>
        <w:rPr>
          <w:bCs/>
          <w:sz w:val="20"/>
          <w:szCs w:val="20"/>
        </w:rPr>
        <w:sectPr w:rsidR="00534FA2" w:rsidRPr="00B10210" w:rsidSect="00FC66D4">
          <w:pgSz w:w="16838" w:h="11906" w:orient="landscape"/>
          <w:pgMar w:top="1418" w:right="1418" w:bottom="1418" w:left="1418"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34FA2" w:rsidRPr="00B10210" w:rsidTr="00FC66D4">
        <w:trPr>
          <w:trHeight w:val="567"/>
        </w:trPr>
        <w:tc>
          <w:tcPr>
            <w:tcW w:w="9212" w:type="dxa"/>
            <w:shd w:val="clear" w:color="auto" w:fill="D9D9D9"/>
          </w:tcPr>
          <w:p w:rsidR="00534FA2" w:rsidRPr="00B10210" w:rsidRDefault="00534FA2" w:rsidP="00FC66D4">
            <w:pPr>
              <w:jc w:val="center"/>
              <w:rPr>
                <w:b/>
              </w:rPr>
            </w:pPr>
            <w:r w:rsidRPr="00B10210">
              <w:rPr>
                <w:b/>
                <w:sz w:val="28"/>
              </w:rPr>
              <w:lastRenderedPageBreak/>
              <w:t xml:space="preserve">Analýza vplyvov na podnikateľské prostredie </w:t>
            </w:r>
          </w:p>
          <w:p w:rsidR="00534FA2" w:rsidRPr="00B10210" w:rsidRDefault="00534FA2" w:rsidP="00FC66D4">
            <w:pPr>
              <w:jc w:val="center"/>
              <w:rPr>
                <w:b/>
              </w:rPr>
            </w:pPr>
            <w:r w:rsidRPr="00B10210">
              <w:rPr>
                <w:b/>
              </w:rPr>
              <w:t>(vrátane testu MSP)</w:t>
            </w:r>
          </w:p>
        </w:tc>
      </w:tr>
      <w:tr w:rsidR="00534FA2" w:rsidRPr="00B10210" w:rsidTr="00FC66D4">
        <w:trPr>
          <w:trHeight w:val="567"/>
        </w:trPr>
        <w:tc>
          <w:tcPr>
            <w:tcW w:w="9212" w:type="dxa"/>
            <w:shd w:val="clear" w:color="auto" w:fill="D9D9D9"/>
          </w:tcPr>
          <w:p w:rsidR="00534FA2" w:rsidRPr="00B10210" w:rsidRDefault="00534FA2" w:rsidP="00FC66D4">
            <w:pPr>
              <w:rPr>
                <w:b/>
              </w:rPr>
            </w:pPr>
            <w:r w:rsidRPr="00B10210">
              <w:rPr>
                <w:b/>
              </w:rPr>
              <w:t>Materiál bude mať vplyv s ohľadom na veľkostnú kategóriu podnikov:</w:t>
            </w:r>
          </w:p>
        </w:tc>
      </w:tr>
      <w:tr w:rsidR="00534FA2" w:rsidRPr="00B10210" w:rsidTr="00FC66D4">
        <w:trPr>
          <w:trHeight w:val="567"/>
        </w:trPr>
        <w:tc>
          <w:tcPr>
            <w:tcW w:w="9212" w:type="dxa"/>
            <w:shd w:val="clear" w:color="auto" w:fill="auto"/>
          </w:tcPr>
          <w:tbl>
            <w:tblPr>
              <w:tblW w:w="0" w:type="auto"/>
              <w:tblLook w:val="04A0" w:firstRow="1" w:lastRow="0" w:firstColumn="1" w:lastColumn="0" w:noHBand="0" w:noVBand="1"/>
            </w:tblPr>
            <w:tblGrid>
              <w:gridCol w:w="436"/>
              <w:gridCol w:w="8408"/>
            </w:tblGrid>
            <w:tr w:rsidR="00534FA2" w:rsidRPr="00B10210" w:rsidTr="00FC66D4">
              <w:tc>
                <w:tcPr>
                  <w:tcW w:w="436" w:type="dxa"/>
                  <w:tcBorders>
                    <w:top w:val="nil"/>
                    <w:left w:val="nil"/>
                    <w:bottom w:val="nil"/>
                    <w:right w:val="nil"/>
                  </w:tcBorders>
                  <w:shd w:val="clear" w:color="auto" w:fill="auto"/>
                </w:tcPr>
                <w:p w:rsidR="00534FA2" w:rsidRPr="00B10210" w:rsidRDefault="00534FA2" w:rsidP="00FC66D4">
                  <w:pPr>
                    <w:jc w:val="center"/>
                  </w:pPr>
                  <w:r w:rsidRPr="00B10210">
                    <w:rPr>
                      <w:rFonts w:ascii="Segoe UI Symbol" w:eastAsia="MS Mincho" w:hAnsi="Segoe UI Symbol" w:cs="Segoe UI Symbol"/>
                    </w:rPr>
                    <w:t>☐</w:t>
                  </w:r>
                </w:p>
              </w:tc>
              <w:tc>
                <w:tcPr>
                  <w:tcW w:w="8545" w:type="dxa"/>
                  <w:tcBorders>
                    <w:top w:val="nil"/>
                    <w:left w:val="nil"/>
                    <w:bottom w:val="nil"/>
                    <w:right w:val="nil"/>
                  </w:tcBorders>
                  <w:shd w:val="clear" w:color="auto" w:fill="auto"/>
                </w:tcPr>
                <w:p w:rsidR="00534FA2" w:rsidRPr="00B10210" w:rsidRDefault="00534FA2" w:rsidP="00FC66D4">
                  <w:pPr>
                    <w:rPr>
                      <w:b/>
                    </w:rPr>
                  </w:pPr>
                  <w:r w:rsidRPr="00B10210">
                    <w:rPr>
                      <w:b/>
                    </w:rPr>
                    <w:t xml:space="preserve">iba na MSP (0 - 249 zamestnancov) </w:t>
                  </w:r>
                </w:p>
              </w:tc>
            </w:tr>
            <w:tr w:rsidR="00534FA2" w:rsidRPr="00B10210" w:rsidTr="00FC66D4">
              <w:tc>
                <w:tcPr>
                  <w:tcW w:w="436" w:type="dxa"/>
                  <w:tcBorders>
                    <w:top w:val="nil"/>
                    <w:left w:val="nil"/>
                    <w:bottom w:val="nil"/>
                    <w:right w:val="nil"/>
                  </w:tcBorders>
                  <w:shd w:val="clear" w:color="auto" w:fill="auto"/>
                </w:tcPr>
                <w:p w:rsidR="00534FA2" w:rsidRPr="00B10210" w:rsidRDefault="00534FA2" w:rsidP="00FC66D4">
                  <w:pPr>
                    <w:jc w:val="center"/>
                  </w:pPr>
                  <w:r w:rsidRPr="00B10210">
                    <w:rPr>
                      <w:rFonts w:ascii="Segoe UI Symbol" w:eastAsia="MS Mincho" w:hAnsi="Segoe UI Symbol" w:cs="Segoe UI Symbol"/>
                    </w:rPr>
                    <w:t>☐</w:t>
                  </w:r>
                </w:p>
              </w:tc>
              <w:tc>
                <w:tcPr>
                  <w:tcW w:w="8545" w:type="dxa"/>
                  <w:tcBorders>
                    <w:top w:val="nil"/>
                    <w:left w:val="nil"/>
                    <w:bottom w:val="nil"/>
                    <w:right w:val="nil"/>
                  </w:tcBorders>
                  <w:shd w:val="clear" w:color="auto" w:fill="auto"/>
                </w:tcPr>
                <w:p w:rsidR="00534FA2" w:rsidRPr="00B10210" w:rsidRDefault="00534FA2" w:rsidP="00FC66D4">
                  <w:pPr>
                    <w:rPr>
                      <w:b/>
                    </w:rPr>
                  </w:pPr>
                  <w:r w:rsidRPr="00B10210">
                    <w:rPr>
                      <w:b/>
                    </w:rPr>
                    <w:t>iba na veľké podniky (250 a viac zamestnancov)</w:t>
                  </w:r>
                </w:p>
              </w:tc>
            </w:tr>
            <w:tr w:rsidR="00534FA2" w:rsidRPr="00B10210" w:rsidTr="00FC66D4">
              <w:tc>
                <w:tcPr>
                  <w:tcW w:w="436" w:type="dxa"/>
                  <w:tcBorders>
                    <w:top w:val="nil"/>
                    <w:left w:val="nil"/>
                    <w:bottom w:val="nil"/>
                    <w:right w:val="nil"/>
                  </w:tcBorders>
                  <w:shd w:val="clear" w:color="auto" w:fill="auto"/>
                </w:tcPr>
                <w:p w:rsidR="00534FA2" w:rsidRPr="00B10210" w:rsidRDefault="00534FA2" w:rsidP="00FC66D4">
                  <w:pPr>
                    <w:jc w:val="center"/>
                  </w:pPr>
                  <w:r w:rsidRPr="00B10210">
                    <w:rPr>
                      <w:rFonts w:ascii="Segoe UI Symbol" w:eastAsia="MS Gothic" w:hAnsi="Segoe UI Symbol" w:cs="Segoe UI Symbol"/>
                    </w:rPr>
                    <w:t>☒</w:t>
                  </w:r>
                </w:p>
              </w:tc>
              <w:tc>
                <w:tcPr>
                  <w:tcW w:w="8545" w:type="dxa"/>
                  <w:tcBorders>
                    <w:top w:val="nil"/>
                    <w:left w:val="nil"/>
                    <w:bottom w:val="nil"/>
                    <w:right w:val="nil"/>
                  </w:tcBorders>
                  <w:shd w:val="clear" w:color="auto" w:fill="auto"/>
                </w:tcPr>
                <w:p w:rsidR="00534FA2" w:rsidRPr="00B10210" w:rsidRDefault="00534FA2" w:rsidP="00FC66D4">
                  <w:r w:rsidRPr="00B10210">
                    <w:rPr>
                      <w:b/>
                    </w:rPr>
                    <w:t>na všetky kategórie podnikov</w:t>
                  </w:r>
                </w:p>
              </w:tc>
            </w:tr>
          </w:tbl>
          <w:p w:rsidR="00534FA2" w:rsidRPr="00B10210" w:rsidRDefault="00534FA2" w:rsidP="00FC66D4">
            <w:pPr>
              <w:rPr>
                <w:b/>
              </w:rPr>
            </w:pPr>
          </w:p>
        </w:tc>
      </w:tr>
      <w:tr w:rsidR="00534FA2" w:rsidRPr="00B10210" w:rsidTr="00FC66D4">
        <w:tc>
          <w:tcPr>
            <w:tcW w:w="9212" w:type="dxa"/>
            <w:shd w:val="clear" w:color="auto" w:fill="D9D9D9"/>
          </w:tcPr>
          <w:p w:rsidR="00534FA2" w:rsidRPr="00B10210" w:rsidRDefault="00534FA2" w:rsidP="00FC66D4">
            <w:pPr>
              <w:rPr>
                <w:b/>
              </w:rPr>
            </w:pPr>
            <w:r w:rsidRPr="00B10210">
              <w:rPr>
                <w:b/>
              </w:rPr>
              <w:t>3.1 Dotknuté podnikateľské subjekty</w:t>
            </w:r>
          </w:p>
          <w:p w:rsidR="00534FA2" w:rsidRPr="00B10210" w:rsidRDefault="00534FA2" w:rsidP="00FC66D4">
            <w:pPr>
              <w:ind w:left="284"/>
              <w:rPr>
                <w:b/>
              </w:rPr>
            </w:pPr>
            <w:r w:rsidRPr="00B10210">
              <w:t xml:space="preserve"> - </w:t>
            </w:r>
            <w:r w:rsidRPr="00B10210">
              <w:rPr>
                <w:b/>
              </w:rPr>
              <w:t>z toho MSP</w:t>
            </w:r>
          </w:p>
        </w:tc>
      </w:tr>
      <w:tr w:rsidR="00534FA2" w:rsidRPr="00B10210" w:rsidTr="00FC66D4">
        <w:tc>
          <w:tcPr>
            <w:tcW w:w="9212" w:type="dxa"/>
            <w:shd w:val="clear" w:color="auto" w:fill="auto"/>
          </w:tcPr>
          <w:p w:rsidR="00534FA2" w:rsidRPr="00B10210" w:rsidRDefault="00534FA2" w:rsidP="00FC66D4">
            <w:pPr>
              <w:jc w:val="both"/>
              <w:rPr>
                <w:i/>
              </w:rPr>
            </w:pPr>
            <w:r w:rsidRPr="00B10210">
              <w:rPr>
                <w:i/>
              </w:rPr>
              <w:t>Uveďte, aké podnikateľské subjekty budú predkladaným návrhom ovplyvnené.</w:t>
            </w:r>
          </w:p>
          <w:p w:rsidR="00534FA2" w:rsidRPr="00B10210" w:rsidRDefault="00534FA2" w:rsidP="00FC66D4">
            <w:pPr>
              <w:jc w:val="both"/>
              <w:rPr>
                <w:i/>
              </w:rPr>
            </w:pPr>
            <w:r w:rsidRPr="00B10210">
              <w:rPr>
                <w:i/>
              </w:rPr>
              <w:t>Aký je ich počet?</w:t>
            </w:r>
          </w:p>
        </w:tc>
      </w:tr>
      <w:tr w:rsidR="00534FA2" w:rsidRPr="00B10210" w:rsidTr="00FC66D4">
        <w:trPr>
          <w:trHeight w:val="637"/>
        </w:trPr>
        <w:tc>
          <w:tcPr>
            <w:tcW w:w="9212" w:type="dxa"/>
            <w:shd w:val="clear" w:color="auto" w:fill="auto"/>
          </w:tcPr>
          <w:p w:rsidR="00534FA2" w:rsidRPr="00B10210" w:rsidRDefault="00534FA2" w:rsidP="00FC66D4">
            <w:pPr>
              <w:jc w:val="both"/>
            </w:pPr>
            <w:r w:rsidRPr="00B10210">
              <w:t>Všeobecne sa predpokladá, že návrh zákona ovplyvní tie podnikateľské subjekty, ktoré obchodujú s tabakovými výrobkami. Predovšetkým tie subjekty, ktoré sú registrované a</w:t>
            </w:r>
            <w:r w:rsidR="00D5552B" w:rsidRPr="00B10210">
              <w:t> </w:t>
            </w:r>
            <w:r w:rsidRPr="00B10210">
              <w:t>evidované</w:t>
            </w:r>
            <w:r w:rsidR="00D5552B" w:rsidRPr="00B10210">
              <w:t xml:space="preserve"> </w:t>
            </w:r>
            <w:r w:rsidRPr="00B10210">
              <w:t>colnými úradmi podľa príslušných ustanovení zákona o spotrebnej dani z tabakových výrobkov. Presný počet dotknutých subjektov nie je možné určiť.</w:t>
            </w:r>
          </w:p>
          <w:p w:rsidR="00534FA2" w:rsidRPr="00B10210" w:rsidRDefault="00534FA2" w:rsidP="00FC66D4">
            <w:pPr>
              <w:rPr>
                <w:sz w:val="8"/>
                <w:szCs w:val="8"/>
              </w:rPr>
            </w:pPr>
          </w:p>
        </w:tc>
      </w:tr>
      <w:tr w:rsidR="00534FA2" w:rsidRPr="00B10210" w:rsidTr="00FC66D4">
        <w:trPr>
          <w:trHeight w:val="339"/>
        </w:trPr>
        <w:tc>
          <w:tcPr>
            <w:tcW w:w="9212" w:type="dxa"/>
            <w:shd w:val="clear" w:color="auto" w:fill="D9D9D9"/>
          </w:tcPr>
          <w:p w:rsidR="00534FA2" w:rsidRPr="00B10210" w:rsidRDefault="00534FA2" w:rsidP="00FC66D4">
            <w:pPr>
              <w:rPr>
                <w:b/>
              </w:rPr>
            </w:pPr>
            <w:r w:rsidRPr="00B10210">
              <w:rPr>
                <w:b/>
              </w:rPr>
              <w:t>3.2 Vyhodnotenie konzultácií</w:t>
            </w:r>
          </w:p>
          <w:p w:rsidR="00534FA2" w:rsidRPr="00B10210" w:rsidRDefault="00534FA2" w:rsidP="00FC66D4">
            <w:pPr>
              <w:rPr>
                <w:b/>
              </w:rPr>
            </w:pPr>
            <w:r w:rsidRPr="00B10210">
              <w:t xml:space="preserve">       - </w:t>
            </w:r>
            <w:r w:rsidRPr="00B10210">
              <w:rPr>
                <w:b/>
              </w:rPr>
              <w:t>z toho MSP</w:t>
            </w:r>
          </w:p>
        </w:tc>
      </w:tr>
      <w:tr w:rsidR="00534FA2" w:rsidRPr="00B10210" w:rsidTr="00FC66D4">
        <w:trPr>
          <w:trHeight w:val="557"/>
        </w:trPr>
        <w:tc>
          <w:tcPr>
            <w:tcW w:w="9212" w:type="dxa"/>
            <w:shd w:val="clear" w:color="auto" w:fill="auto"/>
          </w:tcPr>
          <w:p w:rsidR="00534FA2" w:rsidRPr="00B10210" w:rsidRDefault="00534FA2" w:rsidP="00FC66D4">
            <w:pPr>
              <w:jc w:val="both"/>
              <w:rPr>
                <w:i/>
              </w:rPr>
            </w:pPr>
            <w:r w:rsidRPr="00B10210">
              <w:rPr>
                <w:i/>
              </w:rPr>
              <w:t>Uveďte, akou formou (verejné alebo cielené konzultácie a prečo) a s kým bol návrh konzultovaný.</w:t>
            </w:r>
          </w:p>
          <w:p w:rsidR="00534FA2" w:rsidRPr="00B10210" w:rsidRDefault="00534FA2" w:rsidP="00FC66D4">
            <w:pPr>
              <w:jc w:val="both"/>
              <w:rPr>
                <w:i/>
              </w:rPr>
            </w:pPr>
            <w:r w:rsidRPr="00B10210">
              <w:rPr>
                <w:i/>
              </w:rPr>
              <w:t>Ako dlho trvali konzultácie?</w:t>
            </w:r>
          </w:p>
          <w:p w:rsidR="00534FA2" w:rsidRPr="00B10210" w:rsidRDefault="00534FA2" w:rsidP="00FC66D4">
            <w:pPr>
              <w:jc w:val="both"/>
              <w:rPr>
                <w:i/>
              </w:rPr>
            </w:pPr>
            <w:r w:rsidRPr="00B10210">
              <w:rPr>
                <w:i/>
              </w:rPr>
              <w:t xml:space="preserve">Uveďte hlavné body konzultácií a výsledky konzultácií. </w:t>
            </w:r>
          </w:p>
        </w:tc>
      </w:tr>
      <w:tr w:rsidR="00534FA2" w:rsidRPr="00B10210" w:rsidTr="00FC66D4">
        <w:trPr>
          <w:trHeight w:val="272"/>
        </w:trPr>
        <w:tc>
          <w:tcPr>
            <w:tcW w:w="9212" w:type="dxa"/>
            <w:shd w:val="clear" w:color="auto" w:fill="auto"/>
          </w:tcPr>
          <w:p w:rsidR="00534FA2" w:rsidRPr="00B10210" w:rsidRDefault="00534FA2" w:rsidP="00FC66D4">
            <w:pPr>
              <w:jc w:val="both"/>
              <w:rPr>
                <w:b/>
                <w:sz w:val="8"/>
                <w:szCs w:val="8"/>
              </w:rPr>
            </w:pPr>
          </w:p>
          <w:p w:rsidR="00534FA2" w:rsidRPr="00B10210" w:rsidRDefault="00534FA2" w:rsidP="00FC66D4">
            <w:pPr>
              <w:jc w:val="both"/>
            </w:pPr>
            <w:r w:rsidRPr="00B10210">
              <w:t>Verejnosť bola o príprave návrhu zákona, ktorým sa mení a dopĺňa zákon č. 106/2004 Z. z.  o spotrebnej dani z tabakových výrobkov v znení neskorších predpisov informovaná prostredníctvom predbežnej informácie zverejnenej v informačnom systéme verejnej správy Slov-Lex (PI/2020/34) od 28. februára 2020 do 16. marca 2020.</w:t>
            </w:r>
          </w:p>
          <w:p w:rsidR="00534FA2" w:rsidRPr="00B10210" w:rsidRDefault="00534FA2" w:rsidP="00FC66D4">
            <w:pPr>
              <w:jc w:val="both"/>
              <w:rPr>
                <w:b/>
              </w:rPr>
            </w:pPr>
            <w:r w:rsidRPr="00B10210">
              <w:t>K predbežnej informácii prostredníctvom systému Slov-Lex neboli uplatnené žiadne pripomienky ani návrhy.</w:t>
            </w:r>
          </w:p>
          <w:p w:rsidR="00534FA2" w:rsidRPr="00B10210" w:rsidRDefault="00534FA2" w:rsidP="00FC66D4">
            <w:pPr>
              <w:pStyle w:val="Obyajntext"/>
              <w:jc w:val="both"/>
              <w:rPr>
                <w:rFonts w:ascii="Times New Roman" w:hAnsi="Times New Roman"/>
                <w:sz w:val="8"/>
                <w:szCs w:val="8"/>
              </w:rPr>
            </w:pPr>
          </w:p>
        </w:tc>
      </w:tr>
      <w:tr w:rsidR="00534FA2" w:rsidRPr="00B10210" w:rsidTr="00FC66D4">
        <w:tc>
          <w:tcPr>
            <w:tcW w:w="9212" w:type="dxa"/>
            <w:shd w:val="clear" w:color="auto" w:fill="D9D9D9"/>
          </w:tcPr>
          <w:p w:rsidR="00534FA2" w:rsidRPr="00B10210" w:rsidRDefault="00534FA2" w:rsidP="00FC66D4">
            <w:pPr>
              <w:rPr>
                <w:b/>
              </w:rPr>
            </w:pPr>
            <w:r w:rsidRPr="00B10210">
              <w:rPr>
                <w:b/>
              </w:rPr>
              <w:t>3.3 Náklady regulácie</w:t>
            </w:r>
          </w:p>
          <w:p w:rsidR="00534FA2" w:rsidRPr="00B10210" w:rsidRDefault="00534FA2" w:rsidP="00FC66D4">
            <w:pPr>
              <w:rPr>
                <w:b/>
              </w:rPr>
            </w:pPr>
            <w:r w:rsidRPr="00B10210">
              <w:t xml:space="preserve">      - </w:t>
            </w:r>
            <w:r w:rsidRPr="00B10210">
              <w:rPr>
                <w:b/>
              </w:rPr>
              <w:t>z toho MSP</w:t>
            </w:r>
          </w:p>
        </w:tc>
      </w:tr>
      <w:tr w:rsidR="00534FA2" w:rsidRPr="00B10210" w:rsidTr="00FC66D4">
        <w:tc>
          <w:tcPr>
            <w:tcW w:w="9212" w:type="dxa"/>
            <w:shd w:val="clear" w:color="auto" w:fill="auto"/>
          </w:tcPr>
          <w:p w:rsidR="00534FA2" w:rsidRPr="00B10210" w:rsidRDefault="00534FA2" w:rsidP="00FC66D4">
            <w:pPr>
              <w:rPr>
                <w:b/>
                <w:i/>
              </w:rPr>
            </w:pPr>
            <w:r w:rsidRPr="00B10210">
              <w:rPr>
                <w:b/>
                <w:i/>
              </w:rPr>
              <w:t>3.3.1 Priame finančné náklady</w:t>
            </w:r>
          </w:p>
          <w:p w:rsidR="00534FA2" w:rsidRPr="00B10210" w:rsidRDefault="00534FA2" w:rsidP="00FC66D4">
            <w:pPr>
              <w:jc w:val="both"/>
              <w:rPr>
                <w:i/>
              </w:rPr>
            </w:pPr>
            <w:r w:rsidRPr="00B10210">
              <w:rPr>
                <w:i/>
              </w:rPr>
              <w:t xml:space="preserve">Dochádza k zvýšeniu/zníženiu priamych finančných nákladov (poplatky, odvody, dane clá...)? Ak áno, popíšte a vyčíslite ich. Uveďte tiež spôsob ich výpočtu. </w:t>
            </w:r>
          </w:p>
        </w:tc>
      </w:tr>
      <w:tr w:rsidR="00534FA2" w:rsidRPr="00B10210" w:rsidTr="00FC66D4">
        <w:trPr>
          <w:trHeight w:val="434"/>
        </w:trPr>
        <w:tc>
          <w:tcPr>
            <w:tcW w:w="9212" w:type="dxa"/>
            <w:shd w:val="clear" w:color="auto" w:fill="auto"/>
          </w:tcPr>
          <w:p w:rsidR="00534FA2" w:rsidRPr="00B10210" w:rsidRDefault="00534FA2" w:rsidP="00FC66D4">
            <w:pPr>
              <w:jc w:val="both"/>
            </w:pPr>
            <w:r w:rsidRPr="00B10210">
              <w:t>Predpokladá sa zvýšenie priamych finančných nákladov úpravou sadzby spotrebnej dane na predmetné tabakové výrobky. V prípade, že sa nedopredajú cigarety so starou sadzbou spotrebnej dane, vzniknú dotknutým subjektom náklady s ich zničením. V súvislosti so zvýšením sadzby spotrebnej dane na cigarety sa predpokladá, že sa pri zvyšovaní ceny čiastočne upravia aj marže výrobcu. Uvedené náklady nie je možné jednoznačne kvantifikovať aj z dôvodu, že subjekty zodpovedné za zničenie cigariet, si náklady súvisiace so zničením môžu uplatniť ako uznateľný náklad do daňových výdavkov.</w:t>
            </w:r>
          </w:p>
        </w:tc>
      </w:tr>
      <w:tr w:rsidR="00534FA2" w:rsidRPr="00B10210" w:rsidTr="00FC66D4">
        <w:tc>
          <w:tcPr>
            <w:tcW w:w="9212" w:type="dxa"/>
            <w:shd w:val="clear" w:color="auto" w:fill="auto"/>
          </w:tcPr>
          <w:p w:rsidR="00534FA2" w:rsidRPr="00B10210" w:rsidRDefault="00534FA2" w:rsidP="00FC66D4">
            <w:pPr>
              <w:rPr>
                <w:b/>
                <w:i/>
              </w:rPr>
            </w:pPr>
            <w:r w:rsidRPr="00B10210">
              <w:rPr>
                <w:b/>
                <w:i/>
              </w:rPr>
              <w:t>3.3.2 Nepriame finančné náklady</w:t>
            </w:r>
          </w:p>
          <w:p w:rsidR="00534FA2" w:rsidRPr="00B10210" w:rsidRDefault="00534FA2" w:rsidP="00FC66D4">
            <w:pPr>
              <w:jc w:val="both"/>
              <w:rPr>
                <w:i/>
              </w:rPr>
            </w:pPr>
            <w:r w:rsidRPr="00B10210">
              <w:rPr>
                <w:i/>
              </w:rPr>
              <w:t>Vyžaduje si predkladaný návrh dodatočné náklady na nákup tovarov alebo služieb? Zvyšuje predkladaný návrh náklady súvisiace so zamestnávaním? Ak áno, popíšte a vyčíslite ich. Uveďte tiež spôsob ich výpočtu.</w:t>
            </w:r>
          </w:p>
        </w:tc>
      </w:tr>
      <w:tr w:rsidR="00534FA2" w:rsidRPr="00B10210" w:rsidTr="00FC66D4">
        <w:tc>
          <w:tcPr>
            <w:tcW w:w="9212" w:type="dxa"/>
            <w:shd w:val="clear" w:color="auto" w:fill="auto"/>
          </w:tcPr>
          <w:p w:rsidR="00534FA2" w:rsidRPr="00B10210" w:rsidRDefault="00534FA2" w:rsidP="00FC66D4">
            <w:r w:rsidRPr="00B10210">
              <w:t>Nepredpokladajú sa nepriame finančné náklady.</w:t>
            </w:r>
          </w:p>
          <w:p w:rsidR="00534FA2" w:rsidRPr="00B10210" w:rsidRDefault="00534FA2" w:rsidP="00FC66D4">
            <w:pPr>
              <w:rPr>
                <w:sz w:val="8"/>
                <w:szCs w:val="8"/>
              </w:rPr>
            </w:pPr>
          </w:p>
        </w:tc>
      </w:tr>
      <w:tr w:rsidR="00534FA2" w:rsidRPr="00B10210" w:rsidTr="00FC66D4">
        <w:tc>
          <w:tcPr>
            <w:tcW w:w="9212" w:type="dxa"/>
            <w:shd w:val="clear" w:color="auto" w:fill="auto"/>
          </w:tcPr>
          <w:p w:rsidR="00534FA2" w:rsidRPr="00B10210" w:rsidRDefault="00534FA2" w:rsidP="00FC66D4">
            <w:pPr>
              <w:rPr>
                <w:b/>
                <w:i/>
              </w:rPr>
            </w:pPr>
            <w:r w:rsidRPr="00B10210">
              <w:rPr>
                <w:b/>
                <w:i/>
              </w:rPr>
              <w:t>3.3.3 Administratívne náklady</w:t>
            </w:r>
          </w:p>
          <w:p w:rsidR="00534FA2" w:rsidRPr="00B10210" w:rsidRDefault="00534FA2" w:rsidP="00FC66D4">
            <w:pPr>
              <w:jc w:val="both"/>
              <w:rPr>
                <w:i/>
              </w:rPr>
            </w:pPr>
            <w:r w:rsidRPr="00B10210">
              <w:rPr>
                <w:i/>
              </w:rPr>
              <w:t xml:space="preserve">Dochádza k zavedeniu nových informačných povinností alebo odstráneniu, príp. úprave existujúcich informačných povinností? (napr. zmena požadovaných dát, zmena frekvencie </w:t>
            </w:r>
            <w:r w:rsidRPr="00B10210">
              <w:rPr>
                <w:i/>
              </w:rPr>
              <w:lastRenderedPageBreak/>
              <w:t>reportovania, zmena formy predkladania a pod.) Ak áno, popíšte a vyčíslite administratívne náklady. Uveďte tiež spôsob ich výpočtu.</w:t>
            </w:r>
          </w:p>
        </w:tc>
      </w:tr>
      <w:tr w:rsidR="00534FA2" w:rsidRPr="00B10210" w:rsidTr="00FC66D4">
        <w:tc>
          <w:tcPr>
            <w:tcW w:w="9212" w:type="dxa"/>
            <w:shd w:val="clear" w:color="auto" w:fill="auto"/>
          </w:tcPr>
          <w:p w:rsidR="00534FA2" w:rsidRPr="00B10210" w:rsidRDefault="00534FA2" w:rsidP="00FC66D4">
            <w:r w:rsidRPr="00B10210">
              <w:lastRenderedPageBreak/>
              <w:t>Predpokladá sa zvýšenie administratívnej záťaže pre tie subjekty, ktoré budú povinné požiadať colný úrad o registráciu schváleného odosielateľa a schváleného príjemcu. Uvedené náklady nie je možné jednoznačne kvantifikovať.</w:t>
            </w:r>
          </w:p>
        </w:tc>
      </w:tr>
      <w:tr w:rsidR="00534FA2" w:rsidRPr="00B10210" w:rsidTr="00FC66D4">
        <w:trPr>
          <w:trHeight w:val="2318"/>
        </w:trPr>
        <w:tc>
          <w:tcPr>
            <w:tcW w:w="9212" w:type="dxa"/>
            <w:shd w:val="clear" w:color="auto" w:fill="auto"/>
          </w:tcPr>
          <w:p w:rsidR="00534FA2" w:rsidRPr="00B10210" w:rsidRDefault="00534FA2" w:rsidP="00FC66D4">
            <w:pPr>
              <w:rPr>
                <w:i/>
              </w:rPr>
            </w:pPr>
            <w:r w:rsidRPr="00B10210">
              <w:rPr>
                <w:b/>
                <w:i/>
              </w:rPr>
              <w:t>3.3.4 Súhrnná tabuľka nákladov regulácie</w:t>
            </w:r>
          </w:p>
          <w:p w:rsidR="00534FA2" w:rsidRPr="00B10210" w:rsidRDefault="00534FA2" w:rsidP="00FC66D4">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2939"/>
              <w:gridCol w:w="2945"/>
            </w:tblGrid>
            <w:tr w:rsidR="00534FA2" w:rsidRPr="00B10210" w:rsidTr="00FC66D4">
              <w:tc>
                <w:tcPr>
                  <w:tcW w:w="2993" w:type="dxa"/>
                  <w:tcBorders>
                    <w:top w:val="single" w:sz="4" w:space="0" w:color="auto"/>
                    <w:left w:val="single" w:sz="4" w:space="0" w:color="auto"/>
                    <w:bottom w:val="single" w:sz="4" w:space="0" w:color="auto"/>
                    <w:right w:val="single" w:sz="4" w:space="0" w:color="auto"/>
                  </w:tcBorders>
                  <w:shd w:val="clear" w:color="auto" w:fill="auto"/>
                </w:tcPr>
                <w:p w:rsidR="00534FA2" w:rsidRPr="00B10210" w:rsidRDefault="00534FA2" w:rsidP="00FC66D4">
                  <w:pPr>
                    <w:rPr>
                      <w:i/>
                    </w:rPr>
                  </w:pPr>
                </w:p>
              </w:tc>
              <w:tc>
                <w:tcPr>
                  <w:tcW w:w="2994" w:type="dxa"/>
                  <w:tcBorders>
                    <w:top w:val="single" w:sz="4" w:space="0" w:color="auto"/>
                    <w:left w:val="single" w:sz="4" w:space="0" w:color="auto"/>
                    <w:bottom w:val="single" w:sz="4" w:space="0" w:color="auto"/>
                    <w:right w:val="single" w:sz="4" w:space="0" w:color="auto"/>
                  </w:tcBorders>
                  <w:shd w:val="clear" w:color="auto" w:fill="auto"/>
                </w:tcPr>
                <w:p w:rsidR="00534FA2" w:rsidRPr="00B10210" w:rsidRDefault="00534FA2" w:rsidP="00FC66D4">
                  <w:pPr>
                    <w:jc w:val="center"/>
                    <w:rPr>
                      <w:i/>
                    </w:rPr>
                  </w:pPr>
                  <w:r w:rsidRPr="00B10210">
                    <w:rPr>
                      <w:i/>
                    </w:rPr>
                    <w:t>Náklady na 1 podnikateľa</w:t>
                  </w:r>
                </w:p>
              </w:tc>
              <w:tc>
                <w:tcPr>
                  <w:tcW w:w="2994" w:type="dxa"/>
                  <w:tcBorders>
                    <w:top w:val="single" w:sz="4" w:space="0" w:color="auto"/>
                    <w:left w:val="single" w:sz="4" w:space="0" w:color="auto"/>
                    <w:bottom w:val="single" w:sz="4" w:space="0" w:color="auto"/>
                    <w:right w:val="single" w:sz="4" w:space="0" w:color="auto"/>
                  </w:tcBorders>
                  <w:shd w:val="clear" w:color="auto" w:fill="auto"/>
                </w:tcPr>
                <w:p w:rsidR="00534FA2" w:rsidRPr="00B10210" w:rsidRDefault="00534FA2" w:rsidP="00FC66D4">
                  <w:pPr>
                    <w:jc w:val="center"/>
                    <w:rPr>
                      <w:i/>
                    </w:rPr>
                  </w:pPr>
                  <w:r w:rsidRPr="00B10210">
                    <w:rPr>
                      <w:i/>
                    </w:rPr>
                    <w:t>Náklady na celé podnikateľské prostredie</w:t>
                  </w:r>
                </w:p>
              </w:tc>
            </w:tr>
            <w:tr w:rsidR="00534FA2" w:rsidRPr="00B10210" w:rsidTr="00FC66D4">
              <w:tc>
                <w:tcPr>
                  <w:tcW w:w="2993" w:type="dxa"/>
                  <w:tcBorders>
                    <w:top w:val="single" w:sz="4" w:space="0" w:color="auto"/>
                    <w:left w:val="single" w:sz="4" w:space="0" w:color="auto"/>
                    <w:bottom w:val="single" w:sz="4" w:space="0" w:color="auto"/>
                    <w:right w:val="single" w:sz="4" w:space="0" w:color="auto"/>
                  </w:tcBorders>
                  <w:shd w:val="clear" w:color="auto" w:fill="auto"/>
                </w:tcPr>
                <w:p w:rsidR="00534FA2" w:rsidRPr="00B10210" w:rsidRDefault="00534FA2" w:rsidP="00FC66D4">
                  <w:pPr>
                    <w:rPr>
                      <w:i/>
                    </w:rPr>
                  </w:pPr>
                  <w:r w:rsidRPr="00B10210">
                    <w:rPr>
                      <w:i/>
                    </w:rPr>
                    <w:t>Priame finančné náklady</w:t>
                  </w:r>
                </w:p>
              </w:tc>
              <w:tc>
                <w:tcPr>
                  <w:tcW w:w="2994" w:type="dxa"/>
                  <w:tcBorders>
                    <w:top w:val="single" w:sz="4" w:space="0" w:color="auto"/>
                    <w:left w:val="single" w:sz="4" w:space="0" w:color="auto"/>
                    <w:bottom w:val="single" w:sz="4" w:space="0" w:color="auto"/>
                    <w:right w:val="single" w:sz="4" w:space="0" w:color="auto"/>
                  </w:tcBorders>
                  <w:shd w:val="clear" w:color="auto" w:fill="auto"/>
                </w:tcPr>
                <w:p w:rsidR="00534FA2" w:rsidRPr="00B10210" w:rsidRDefault="00534FA2" w:rsidP="00FC66D4">
                  <w:pPr>
                    <w:jc w:val="center"/>
                    <w:rPr>
                      <w:i/>
                    </w:rPr>
                  </w:pPr>
                  <w:r w:rsidRPr="00B10210">
                    <w:rPr>
                      <w:i/>
                    </w:rPr>
                    <w:t>0</w:t>
                  </w:r>
                </w:p>
              </w:tc>
              <w:tc>
                <w:tcPr>
                  <w:tcW w:w="2994" w:type="dxa"/>
                  <w:tcBorders>
                    <w:top w:val="single" w:sz="4" w:space="0" w:color="auto"/>
                    <w:left w:val="single" w:sz="4" w:space="0" w:color="auto"/>
                    <w:bottom w:val="single" w:sz="4" w:space="0" w:color="auto"/>
                    <w:right w:val="single" w:sz="4" w:space="0" w:color="auto"/>
                  </w:tcBorders>
                  <w:shd w:val="clear" w:color="auto" w:fill="auto"/>
                </w:tcPr>
                <w:p w:rsidR="00534FA2" w:rsidRPr="00B10210" w:rsidRDefault="00534FA2" w:rsidP="00FC66D4">
                  <w:pPr>
                    <w:jc w:val="center"/>
                    <w:rPr>
                      <w:i/>
                    </w:rPr>
                  </w:pPr>
                  <w:r w:rsidRPr="00B10210">
                    <w:rPr>
                      <w:i/>
                    </w:rPr>
                    <w:t>0</w:t>
                  </w:r>
                </w:p>
              </w:tc>
            </w:tr>
            <w:tr w:rsidR="00534FA2" w:rsidRPr="00B10210" w:rsidTr="00FC66D4">
              <w:tc>
                <w:tcPr>
                  <w:tcW w:w="2993" w:type="dxa"/>
                  <w:tcBorders>
                    <w:top w:val="single" w:sz="4" w:space="0" w:color="auto"/>
                    <w:left w:val="single" w:sz="4" w:space="0" w:color="auto"/>
                    <w:bottom w:val="single" w:sz="4" w:space="0" w:color="auto"/>
                    <w:right w:val="single" w:sz="4" w:space="0" w:color="auto"/>
                  </w:tcBorders>
                  <w:shd w:val="clear" w:color="auto" w:fill="auto"/>
                </w:tcPr>
                <w:p w:rsidR="00534FA2" w:rsidRPr="00B10210" w:rsidRDefault="00534FA2" w:rsidP="00FC66D4">
                  <w:pPr>
                    <w:rPr>
                      <w:i/>
                    </w:rPr>
                  </w:pPr>
                  <w:r w:rsidRPr="00B10210">
                    <w:rPr>
                      <w:i/>
                    </w:rPr>
                    <w:t>Nepriame finančné náklady</w:t>
                  </w:r>
                </w:p>
              </w:tc>
              <w:tc>
                <w:tcPr>
                  <w:tcW w:w="2994" w:type="dxa"/>
                  <w:tcBorders>
                    <w:top w:val="single" w:sz="4" w:space="0" w:color="auto"/>
                    <w:left w:val="single" w:sz="4" w:space="0" w:color="auto"/>
                    <w:bottom w:val="single" w:sz="4" w:space="0" w:color="auto"/>
                    <w:right w:val="single" w:sz="4" w:space="0" w:color="auto"/>
                  </w:tcBorders>
                  <w:shd w:val="clear" w:color="auto" w:fill="auto"/>
                </w:tcPr>
                <w:p w:rsidR="00534FA2" w:rsidRPr="00B10210" w:rsidRDefault="00534FA2" w:rsidP="00FC66D4">
                  <w:pPr>
                    <w:jc w:val="center"/>
                    <w:rPr>
                      <w:i/>
                    </w:rPr>
                  </w:pPr>
                  <w:r w:rsidRPr="00B10210">
                    <w:rPr>
                      <w:i/>
                    </w:rPr>
                    <w:t>0</w:t>
                  </w:r>
                </w:p>
              </w:tc>
              <w:tc>
                <w:tcPr>
                  <w:tcW w:w="2994" w:type="dxa"/>
                  <w:tcBorders>
                    <w:top w:val="single" w:sz="4" w:space="0" w:color="auto"/>
                    <w:left w:val="single" w:sz="4" w:space="0" w:color="auto"/>
                    <w:bottom w:val="single" w:sz="4" w:space="0" w:color="auto"/>
                    <w:right w:val="single" w:sz="4" w:space="0" w:color="auto"/>
                  </w:tcBorders>
                  <w:shd w:val="clear" w:color="auto" w:fill="auto"/>
                </w:tcPr>
                <w:p w:rsidR="00534FA2" w:rsidRPr="00B10210" w:rsidRDefault="00534FA2" w:rsidP="00FC66D4">
                  <w:pPr>
                    <w:jc w:val="center"/>
                    <w:rPr>
                      <w:i/>
                    </w:rPr>
                  </w:pPr>
                  <w:r w:rsidRPr="00B10210">
                    <w:rPr>
                      <w:i/>
                    </w:rPr>
                    <w:t>0</w:t>
                  </w:r>
                </w:p>
              </w:tc>
            </w:tr>
            <w:tr w:rsidR="00534FA2" w:rsidRPr="00B10210" w:rsidTr="00FC66D4">
              <w:tc>
                <w:tcPr>
                  <w:tcW w:w="2993" w:type="dxa"/>
                  <w:tcBorders>
                    <w:top w:val="single" w:sz="4" w:space="0" w:color="auto"/>
                    <w:left w:val="single" w:sz="4" w:space="0" w:color="auto"/>
                    <w:bottom w:val="single" w:sz="4" w:space="0" w:color="auto"/>
                    <w:right w:val="single" w:sz="4" w:space="0" w:color="auto"/>
                  </w:tcBorders>
                  <w:shd w:val="clear" w:color="auto" w:fill="auto"/>
                </w:tcPr>
                <w:p w:rsidR="00534FA2" w:rsidRPr="00B10210" w:rsidRDefault="00534FA2" w:rsidP="00FC66D4">
                  <w:pPr>
                    <w:rPr>
                      <w:i/>
                    </w:rPr>
                  </w:pPr>
                  <w:r w:rsidRPr="00B10210">
                    <w:rPr>
                      <w:i/>
                    </w:rPr>
                    <w:t>Administratívne náklady</w:t>
                  </w:r>
                </w:p>
              </w:tc>
              <w:tc>
                <w:tcPr>
                  <w:tcW w:w="2994" w:type="dxa"/>
                  <w:tcBorders>
                    <w:top w:val="single" w:sz="4" w:space="0" w:color="auto"/>
                    <w:left w:val="single" w:sz="4" w:space="0" w:color="auto"/>
                    <w:bottom w:val="single" w:sz="4" w:space="0" w:color="auto"/>
                    <w:right w:val="single" w:sz="4" w:space="0" w:color="auto"/>
                  </w:tcBorders>
                  <w:shd w:val="clear" w:color="auto" w:fill="auto"/>
                </w:tcPr>
                <w:p w:rsidR="00534FA2" w:rsidRPr="00B10210" w:rsidRDefault="00534FA2" w:rsidP="00FC66D4">
                  <w:pPr>
                    <w:jc w:val="center"/>
                    <w:rPr>
                      <w:i/>
                    </w:rPr>
                  </w:pPr>
                  <w:r w:rsidRPr="00B10210">
                    <w:rPr>
                      <w:i/>
                    </w:rPr>
                    <w:t>0</w:t>
                  </w:r>
                </w:p>
              </w:tc>
              <w:tc>
                <w:tcPr>
                  <w:tcW w:w="2994" w:type="dxa"/>
                  <w:tcBorders>
                    <w:top w:val="single" w:sz="4" w:space="0" w:color="auto"/>
                    <w:left w:val="single" w:sz="4" w:space="0" w:color="auto"/>
                    <w:bottom w:val="single" w:sz="4" w:space="0" w:color="auto"/>
                    <w:right w:val="single" w:sz="4" w:space="0" w:color="auto"/>
                  </w:tcBorders>
                  <w:shd w:val="clear" w:color="auto" w:fill="auto"/>
                </w:tcPr>
                <w:p w:rsidR="00534FA2" w:rsidRPr="00B10210" w:rsidRDefault="00534FA2" w:rsidP="00FC66D4">
                  <w:pPr>
                    <w:jc w:val="center"/>
                    <w:rPr>
                      <w:i/>
                    </w:rPr>
                  </w:pPr>
                  <w:r w:rsidRPr="00B10210">
                    <w:rPr>
                      <w:i/>
                    </w:rPr>
                    <w:t>0</w:t>
                  </w:r>
                </w:p>
              </w:tc>
            </w:tr>
            <w:tr w:rsidR="00534FA2" w:rsidRPr="00B10210" w:rsidTr="00FC66D4">
              <w:tc>
                <w:tcPr>
                  <w:tcW w:w="2993" w:type="dxa"/>
                  <w:tcBorders>
                    <w:top w:val="single" w:sz="4" w:space="0" w:color="auto"/>
                    <w:left w:val="single" w:sz="4" w:space="0" w:color="auto"/>
                    <w:bottom w:val="single" w:sz="4" w:space="0" w:color="auto"/>
                    <w:right w:val="single" w:sz="4" w:space="0" w:color="auto"/>
                  </w:tcBorders>
                  <w:shd w:val="clear" w:color="auto" w:fill="auto"/>
                </w:tcPr>
                <w:p w:rsidR="00534FA2" w:rsidRPr="00B10210" w:rsidRDefault="00534FA2" w:rsidP="00FC66D4">
                  <w:pPr>
                    <w:rPr>
                      <w:b/>
                      <w:i/>
                    </w:rPr>
                  </w:pPr>
                  <w:r w:rsidRPr="00B10210">
                    <w:rPr>
                      <w:b/>
                      <w:i/>
                    </w:rPr>
                    <w:t>Celkové náklady regulácie</w:t>
                  </w:r>
                </w:p>
              </w:tc>
              <w:tc>
                <w:tcPr>
                  <w:tcW w:w="2994" w:type="dxa"/>
                  <w:tcBorders>
                    <w:top w:val="single" w:sz="4" w:space="0" w:color="auto"/>
                    <w:left w:val="single" w:sz="4" w:space="0" w:color="auto"/>
                    <w:bottom w:val="single" w:sz="4" w:space="0" w:color="auto"/>
                    <w:right w:val="single" w:sz="4" w:space="0" w:color="auto"/>
                  </w:tcBorders>
                  <w:shd w:val="clear" w:color="auto" w:fill="auto"/>
                </w:tcPr>
                <w:p w:rsidR="00534FA2" w:rsidRPr="00B10210" w:rsidRDefault="00534FA2" w:rsidP="00FC66D4">
                  <w:pPr>
                    <w:jc w:val="center"/>
                    <w:rPr>
                      <w:b/>
                      <w:i/>
                    </w:rPr>
                  </w:pPr>
                  <w:r w:rsidRPr="00B10210">
                    <w:rPr>
                      <w:b/>
                      <w:i/>
                    </w:rPr>
                    <w:t>0</w:t>
                  </w:r>
                </w:p>
              </w:tc>
              <w:tc>
                <w:tcPr>
                  <w:tcW w:w="2994" w:type="dxa"/>
                  <w:tcBorders>
                    <w:top w:val="single" w:sz="4" w:space="0" w:color="auto"/>
                    <w:left w:val="single" w:sz="4" w:space="0" w:color="auto"/>
                    <w:bottom w:val="single" w:sz="4" w:space="0" w:color="auto"/>
                    <w:right w:val="single" w:sz="4" w:space="0" w:color="auto"/>
                  </w:tcBorders>
                  <w:shd w:val="clear" w:color="auto" w:fill="auto"/>
                </w:tcPr>
                <w:p w:rsidR="00534FA2" w:rsidRPr="00B10210" w:rsidRDefault="00534FA2" w:rsidP="00FC66D4">
                  <w:pPr>
                    <w:jc w:val="center"/>
                    <w:rPr>
                      <w:b/>
                      <w:i/>
                    </w:rPr>
                  </w:pPr>
                  <w:r w:rsidRPr="00B10210">
                    <w:rPr>
                      <w:b/>
                      <w:i/>
                    </w:rPr>
                    <w:t>0</w:t>
                  </w:r>
                </w:p>
              </w:tc>
            </w:tr>
          </w:tbl>
          <w:p w:rsidR="00534FA2" w:rsidRPr="00B10210" w:rsidRDefault="00534FA2" w:rsidP="00FC66D4">
            <w:pPr>
              <w:rPr>
                <w:i/>
              </w:rPr>
            </w:pPr>
          </w:p>
        </w:tc>
      </w:tr>
      <w:tr w:rsidR="00534FA2" w:rsidRPr="00B10210" w:rsidTr="00FC66D4">
        <w:tc>
          <w:tcPr>
            <w:tcW w:w="9212" w:type="dxa"/>
            <w:shd w:val="clear" w:color="auto" w:fill="D9D9D9"/>
          </w:tcPr>
          <w:p w:rsidR="00534FA2" w:rsidRPr="00B10210" w:rsidRDefault="00534FA2" w:rsidP="00FC66D4">
            <w:pPr>
              <w:rPr>
                <w:b/>
              </w:rPr>
            </w:pPr>
            <w:r w:rsidRPr="00B10210">
              <w:rPr>
                <w:b/>
              </w:rPr>
              <w:t>3.4 Konkurencieschopnosť a správanie sa podnikov na trhu</w:t>
            </w:r>
          </w:p>
          <w:p w:rsidR="00534FA2" w:rsidRPr="00B10210" w:rsidRDefault="00534FA2" w:rsidP="00FC66D4">
            <w:r w:rsidRPr="00B10210">
              <w:rPr>
                <w:b/>
              </w:rPr>
              <w:t xml:space="preserve">       </w:t>
            </w:r>
            <w:r w:rsidRPr="00B10210">
              <w:t xml:space="preserve">- </w:t>
            </w:r>
            <w:r w:rsidRPr="00B10210">
              <w:rPr>
                <w:b/>
              </w:rPr>
              <w:t>z toho MSP</w:t>
            </w:r>
          </w:p>
        </w:tc>
      </w:tr>
      <w:tr w:rsidR="00534FA2" w:rsidRPr="00B10210" w:rsidTr="00FC66D4">
        <w:tc>
          <w:tcPr>
            <w:tcW w:w="9212" w:type="dxa"/>
            <w:shd w:val="clear" w:color="auto" w:fill="auto"/>
          </w:tcPr>
          <w:p w:rsidR="00534FA2" w:rsidRPr="00B10210" w:rsidRDefault="00534FA2" w:rsidP="00FC66D4">
            <w:pPr>
              <w:jc w:val="both"/>
              <w:rPr>
                <w:i/>
              </w:rPr>
            </w:pPr>
            <w:r w:rsidRPr="00B10210">
              <w:rPr>
                <w:i/>
              </w:rPr>
              <w:t xml:space="preserve">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w:t>
            </w:r>
            <w:proofErr w:type="spellStart"/>
            <w:r w:rsidRPr="00B10210">
              <w:rPr>
                <w:i/>
              </w:rPr>
              <w:t>mikro</w:t>
            </w:r>
            <w:proofErr w:type="spellEnd"/>
            <w:r w:rsidRPr="00B10210">
              <w:rPr>
                <w:i/>
              </w:rPr>
              <w:t>, malé a stredné podniky tzv. MSP)? Ak áno, popíšte.</w:t>
            </w:r>
          </w:p>
          <w:p w:rsidR="00534FA2" w:rsidRPr="00B10210" w:rsidRDefault="00534FA2" w:rsidP="00FC66D4">
            <w:pPr>
              <w:jc w:val="both"/>
              <w:rPr>
                <w:i/>
              </w:rPr>
            </w:pPr>
            <w:r w:rsidRPr="00B10210">
              <w:rPr>
                <w:i/>
              </w:rPr>
              <w:t>Aký vplyv bude mať navrhovaná zmena na obchodné bariéry? Bude mať vplyv na vyvolanie cezhraničných investícií (príliv /odliv zahraničných investícií resp. uplatnenie slovenských podnikov na zahraničných trhoch)? Ak áno, popíšte.</w:t>
            </w:r>
          </w:p>
          <w:p w:rsidR="00534FA2" w:rsidRPr="00B10210" w:rsidRDefault="00534FA2" w:rsidP="00FC66D4">
            <w:pPr>
              <w:jc w:val="both"/>
              <w:rPr>
                <w:i/>
              </w:rPr>
            </w:pPr>
            <w:r w:rsidRPr="00B10210">
              <w:rPr>
                <w:i/>
              </w:rPr>
              <w:t>Ako ovplyvní cenu alebo dostupnosť základných zdrojov (suroviny, mechanizmy, pracovná sila, energie atď.)?</w:t>
            </w:r>
          </w:p>
          <w:p w:rsidR="00534FA2" w:rsidRPr="00B10210" w:rsidRDefault="00534FA2" w:rsidP="00FC66D4">
            <w:pPr>
              <w:jc w:val="both"/>
              <w:rPr>
                <w:i/>
              </w:rPr>
            </w:pPr>
            <w:r w:rsidRPr="00B10210">
              <w:rPr>
                <w:i/>
              </w:rPr>
              <w:t>Ovplyvňuje prístup k financiám? Ak áno, ako?</w:t>
            </w:r>
          </w:p>
        </w:tc>
      </w:tr>
      <w:tr w:rsidR="00534FA2" w:rsidRPr="00B10210" w:rsidTr="00FC66D4">
        <w:trPr>
          <w:trHeight w:val="522"/>
        </w:trPr>
        <w:tc>
          <w:tcPr>
            <w:tcW w:w="9212" w:type="dxa"/>
            <w:shd w:val="clear" w:color="auto" w:fill="auto"/>
          </w:tcPr>
          <w:p w:rsidR="00534FA2" w:rsidRPr="00B10210" w:rsidRDefault="00534FA2" w:rsidP="00FC66D4">
            <w:pPr>
              <w:jc w:val="both"/>
            </w:pPr>
            <w:r w:rsidRPr="00B10210">
              <w:t>Nepredpokladá sa vplyv navrhovaných zmien na konkurencieschopnosť a správanie podnikov na trhu, keďže návrh zákona zavádza rovnaké podmienky pre všetkých účastníkov tohto segmentu na slovenskom trhu. Na území SR sa historicky premieta zvýšenie spotrebnej dane v plnom rozsahu do zvýšenia cien cigariet. Ceny cigariet sa však zvyšujú aj v rokoch, keď sa sadzby nezvyšovali. BTV prepravuje na územie SR jeden podnikateľský subjekt, ktorý tieto výrobky dodáva aj do okolitých krajín, kde je cenotvorba závislá od rôznych faktorov. BTV sú na slovenskom trhu krátke obdobie (od roku 2017) a ich cena sa zatiaľ nemenila. Výrobcovi zostáva z ceny BTV 70 %, čo indikuje priestor na zmenu marží. Nepredpokladáme preto významnejší vplyv na konkurencieschopnosť.</w:t>
            </w:r>
          </w:p>
        </w:tc>
      </w:tr>
      <w:tr w:rsidR="00534FA2" w:rsidRPr="00B10210" w:rsidTr="00FC66D4">
        <w:tc>
          <w:tcPr>
            <w:tcW w:w="9212" w:type="dxa"/>
            <w:shd w:val="clear" w:color="auto" w:fill="D9D9D9"/>
          </w:tcPr>
          <w:p w:rsidR="00534FA2" w:rsidRPr="00B10210" w:rsidRDefault="00534FA2" w:rsidP="00FC66D4">
            <w:pPr>
              <w:rPr>
                <w:b/>
              </w:rPr>
            </w:pPr>
            <w:r w:rsidRPr="00B10210">
              <w:rPr>
                <w:b/>
              </w:rPr>
              <w:t xml:space="preserve">3.5 Inovácie </w:t>
            </w:r>
          </w:p>
          <w:p w:rsidR="00534FA2" w:rsidRPr="00B10210" w:rsidRDefault="00534FA2" w:rsidP="00FC66D4">
            <w:pPr>
              <w:rPr>
                <w:b/>
              </w:rPr>
            </w:pPr>
            <w:r w:rsidRPr="00B10210">
              <w:t xml:space="preserve">       - </w:t>
            </w:r>
            <w:r w:rsidRPr="00B10210">
              <w:rPr>
                <w:b/>
              </w:rPr>
              <w:t>z toho MSP</w:t>
            </w:r>
          </w:p>
        </w:tc>
      </w:tr>
      <w:tr w:rsidR="00534FA2" w:rsidRPr="00B10210" w:rsidTr="00FC66D4">
        <w:tc>
          <w:tcPr>
            <w:tcW w:w="9212" w:type="dxa"/>
            <w:shd w:val="clear" w:color="auto" w:fill="auto"/>
          </w:tcPr>
          <w:p w:rsidR="00534FA2" w:rsidRPr="00B10210" w:rsidRDefault="00534FA2" w:rsidP="00FC66D4">
            <w:pPr>
              <w:jc w:val="both"/>
              <w:rPr>
                <w:i/>
              </w:rPr>
            </w:pPr>
            <w:r w:rsidRPr="00B10210">
              <w:rPr>
                <w:i/>
              </w:rPr>
              <w:t>Uveďte, ako podporuje navrhovaná zmena inovácie.</w:t>
            </w:r>
          </w:p>
          <w:p w:rsidR="00534FA2" w:rsidRPr="00B10210" w:rsidRDefault="00534FA2" w:rsidP="00FC66D4">
            <w:pPr>
              <w:jc w:val="both"/>
              <w:rPr>
                <w:i/>
              </w:rPr>
            </w:pPr>
            <w:r w:rsidRPr="00B10210">
              <w:rPr>
                <w:i/>
              </w:rPr>
              <w:t>Zjednodušuje uvedenie alebo rozšírenie nových výrobných metód, technológií a výrobkov na trh?</w:t>
            </w:r>
          </w:p>
          <w:p w:rsidR="00534FA2" w:rsidRPr="00B10210" w:rsidRDefault="00534FA2" w:rsidP="00FC66D4">
            <w:pPr>
              <w:jc w:val="both"/>
              <w:rPr>
                <w:i/>
              </w:rPr>
            </w:pPr>
            <w:r w:rsidRPr="00B10210">
              <w:rPr>
                <w:i/>
              </w:rPr>
              <w:t>Uveďte, ako vplýva navrhovaná zmena na jednotlivé práva duševného vlastníctva (napr. patenty, ochranné známky, autorské práva, vlastníctvo know-how).</w:t>
            </w:r>
          </w:p>
          <w:p w:rsidR="00534FA2" w:rsidRPr="00B10210" w:rsidRDefault="00534FA2" w:rsidP="00FC66D4">
            <w:pPr>
              <w:jc w:val="both"/>
              <w:rPr>
                <w:i/>
              </w:rPr>
            </w:pPr>
            <w:r w:rsidRPr="00B10210">
              <w:rPr>
                <w:i/>
              </w:rPr>
              <w:t>Podporuje vyššiu efektivitu výroby/využívania zdrojov? Ak áno, ako?</w:t>
            </w:r>
          </w:p>
          <w:p w:rsidR="00534FA2" w:rsidRPr="00B10210" w:rsidRDefault="00534FA2" w:rsidP="00FC66D4">
            <w:pPr>
              <w:jc w:val="both"/>
            </w:pPr>
            <w:r w:rsidRPr="00B10210">
              <w:rPr>
                <w:i/>
              </w:rPr>
              <w:t>Vytvorí zmena nové pracovné miesta pre zamestnancov výskumu a vývoja v SR?</w:t>
            </w:r>
          </w:p>
        </w:tc>
      </w:tr>
      <w:tr w:rsidR="00534FA2" w:rsidRPr="00B10210" w:rsidTr="00FC66D4">
        <w:trPr>
          <w:trHeight w:val="418"/>
        </w:trPr>
        <w:tc>
          <w:tcPr>
            <w:tcW w:w="9212" w:type="dxa"/>
            <w:shd w:val="clear" w:color="auto" w:fill="auto"/>
          </w:tcPr>
          <w:p w:rsidR="00534FA2" w:rsidRPr="00B10210" w:rsidRDefault="00534FA2" w:rsidP="00FC66D4">
            <w:r w:rsidRPr="00B10210">
              <w:t>Navrhovaná zmena nemá vplyv na inovácie.</w:t>
            </w:r>
          </w:p>
          <w:p w:rsidR="00534FA2" w:rsidRPr="00B10210" w:rsidRDefault="00534FA2" w:rsidP="00FC66D4">
            <w:pPr>
              <w:rPr>
                <w:sz w:val="8"/>
                <w:szCs w:val="8"/>
              </w:rPr>
            </w:pPr>
          </w:p>
        </w:tc>
      </w:tr>
    </w:tbl>
    <w:p w:rsidR="00534FA2" w:rsidRPr="00B10210" w:rsidRDefault="00534FA2" w:rsidP="00534FA2">
      <w:pPr>
        <w:tabs>
          <w:tab w:val="num" w:pos="1080"/>
        </w:tabs>
        <w:ind w:left="-900"/>
        <w:jc w:val="both"/>
        <w:rPr>
          <w:bCs/>
          <w:sz w:val="20"/>
          <w:szCs w:val="20"/>
        </w:rPr>
      </w:pPr>
    </w:p>
    <w:p w:rsidR="00534FA2" w:rsidRPr="00B10210" w:rsidRDefault="00534FA2" w:rsidP="00534FA2">
      <w:pPr>
        <w:tabs>
          <w:tab w:val="num" w:pos="1080"/>
        </w:tabs>
        <w:ind w:left="-900"/>
        <w:jc w:val="both"/>
        <w:rPr>
          <w:bCs/>
          <w:sz w:val="20"/>
          <w:szCs w:val="20"/>
        </w:rPr>
      </w:pPr>
    </w:p>
    <w:p w:rsidR="00534FA2" w:rsidRPr="00B10210" w:rsidRDefault="00534FA2" w:rsidP="00534FA2">
      <w:pPr>
        <w:tabs>
          <w:tab w:val="num" w:pos="1080"/>
        </w:tabs>
        <w:ind w:left="-900"/>
        <w:jc w:val="both"/>
        <w:rPr>
          <w:bCs/>
          <w:sz w:val="20"/>
          <w:szCs w:val="20"/>
        </w:rPr>
      </w:pPr>
    </w:p>
    <w:p w:rsidR="00534FA2" w:rsidRPr="00B10210" w:rsidRDefault="00534FA2" w:rsidP="00534FA2">
      <w:pPr>
        <w:tabs>
          <w:tab w:val="num" w:pos="1080"/>
        </w:tabs>
        <w:ind w:left="-900"/>
        <w:jc w:val="both"/>
        <w:rPr>
          <w:bCs/>
          <w:sz w:val="20"/>
          <w:szCs w:val="20"/>
        </w:rPr>
      </w:pPr>
    </w:p>
    <w:p w:rsidR="00534FA2" w:rsidRPr="00B10210" w:rsidRDefault="00534FA2" w:rsidP="00534FA2">
      <w:pPr>
        <w:rPr>
          <w:bCs/>
          <w:sz w:val="20"/>
          <w:szCs w:val="20"/>
        </w:rPr>
      </w:pPr>
      <w:r w:rsidRPr="00B10210">
        <w:rPr>
          <w:bCs/>
          <w:sz w:val="20"/>
          <w:szCs w:val="20"/>
        </w:rPr>
        <w:br w:type="page"/>
      </w: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403"/>
        <w:gridCol w:w="1275"/>
        <w:gridCol w:w="1560"/>
        <w:gridCol w:w="2268"/>
        <w:gridCol w:w="1417"/>
      </w:tblGrid>
      <w:tr w:rsidR="00534FA2" w:rsidRPr="00B10210" w:rsidTr="00FC66D4">
        <w:trPr>
          <w:trHeight w:val="807"/>
        </w:trPr>
        <w:tc>
          <w:tcPr>
            <w:tcW w:w="9923" w:type="dxa"/>
            <w:gridSpan w:val="5"/>
            <w:shd w:val="clear" w:color="auto" w:fill="BFBFBF"/>
            <w:vAlign w:val="center"/>
          </w:tcPr>
          <w:p w:rsidR="00534FA2" w:rsidRPr="00B10210" w:rsidRDefault="00534FA2" w:rsidP="00FC66D4">
            <w:pPr>
              <w:spacing w:after="120"/>
              <w:jc w:val="center"/>
              <w:rPr>
                <w:b/>
                <w:bCs/>
              </w:rPr>
            </w:pPr>
            <w:r w:rsidRPr="00B10210">
              <w:rPr>
                <w:b/>
                <w:bCs/>
              </w:rPr>
              <w:lastRenderedPageBreak/>
              <w:t>Analýza vplyvov na informatizáciu spoločnosti</w:t>
            </w:r>
          </w:p>
          <w:p w:rsidR="00534FA2" w:rsidRPr="00B10210" w:rsidRDefault="00534FA2" w:rsidP="00FC66D4">
            <w:pPr>
              <w:spacing w:after="120"/>
              <w:jc w:val="center"/>
              <w:rPr>
                <w:b/>
                <w:i/>
                <w:iCs/>
              </w:rPr>
            </w:pPr>
            <w:r w:rsidRPr="00B10210">
              <w:rPr>
                <w:b/>
              </w:rPr>
              <w:t>Budovanie základných pilierov informatizácie</w:t>
            </w:r>
          </w:p>
        </w:tc>
      </w:tr>
      <w:tr w:rsidR="00534FA2" w:rsidRPr="00B10210" w:rsidTr="00FC66D4">
        <w:trPr>
          <w:trHeight w:val="681"/>
        </w:trPr>
        <w:tc>
          <w:tcPr>
            <w:tcW w:w="3403" w:type="dxa"/>
            <w:shd w:val="clear" w:color="auto" w:fill="C0C0C0"/>
            <w:vAlign w:val="center"/>
          </w:tcPr>
          <w:p w:rsidR="00534FA2" w:rsidRPr="00B10210" w:rsidRDefault="00534FA2" w:rsidP="00FC66D4">
            <w:pPr>
              <w:jc w:val="center"/>
              <w:rPr>
                <w:b/>
              </w:rPr>
            </w:pPr>
            <w:r w:rsidRPr="00B10210">
              <w:rPr>
                <w:b/>
              </w:rPr>
              <w:t>Obsah</w:t>
            </w:r>
          </w:p>
        </w:tc>
        <w:tc>
          <w:tcPr>
            <w:tcW w:w="1275" w:type="dxa"/>
            <w:shd w:val="clear" w:color="auto" w:fill="C0C0C0"/>
            <w:vAlign w:val="center"/>
          </w:tcPr>
          <w:p w:rsidR="00534FA2" w:rsidRPr="00B10210" w:rsidRDefault="00534FA2" w:rsidP="00FC66D4">
            <w:pPr>
              <w:jc w:val="center"/>
              <w:rPr>
                <w:b/>
              </w:rPr>
            </w:pPr>
            <w:r w:rsidRPr="00B10210">
              <w:rPr>
                <w:b/>
              </w:rPr>
              <w:t>A – nová služba</w:t>
            </w:r>
          </w:p>
          <w:p w:rsidR="00534FA2" w:rsidRPr="00B10210" w:rsidRDefault="00534FA2" w:rsidP="00FC66D4">
            <w:pPr>
              <w:jc w:val="center"/>
              <w:rPr>
                <w:i/>
                <w:iCs/>
              </w:rPr>
            </w:pPr>
            <w:r w:rsidRPr="00B10210">
              <w:rPr>
                <w:b/>
              </w:rPr>
              <w:t>B – zmena služby</w:t>
            </w:r>
          </w:p>
        </w:tc>
        <w:tc>
          <w:tcPr>
            <w:tcW w:w="1560" w:type="dxa"/>
            <w:shd w:val="clear" w:color="auto" w:fill="C0C0C0"/>
            <w:vAlign w:val="center"/>
          </w:tcPr>
          <w:p w:rsidR="00534FA2" w:rsidRPr="00B10210" w:rsidRDefault="00534FA2" w:rsidP="00FC66D4">
            <w:pPr>
              <w:jc w:val="center"/>
              <w:rPr>
                <w:i/>
                <w:iCs/>
              </w:rPr>
            </w:pPr>
          </w:p>
          <w:p w:rsidR="00534FA2" w:rsidRPr="00B10210" w:rsidRDefault="00534FA2" w:rsidP="00FC66D4">
            <w:pPr>
              <w:jc w:val="center"/>
            </w:pPr>
            <w:r w:rsidRPr="00B10210">
              <w:rPr>
                <w:b/>
              </w:rPr>
              <w:t>Kód služby</w:t>
            </w:r>
          </w:p>
        </w:tc>
        <w:tc>
          <w:tcPr>
            <w:tcW w:w="2268" w:type="dxa"/>
            <w:shd w:val="clear" w:color="auto" w:fill="C0C0C0"/>
            <w:vAlign w:val="center"/>
          </w:tcPr>
          <w:p w:rsidR="00534FA2" w:rsidRPr="00B10210" w:rsidRDefault="00534FA2" w:rsidP="00FC66D4">
            <w:pPr>
              <w:jc w:val="center"/>
              <w:rPr>
                <w:b/>
              </w:rPr>
            </w:pPr>
          </w:p>
          <w:p w:rsidR="00534FA2" w:rsidRPr="00B10210" w:rsidRDefault="00534FA2" w:rsidP="00FC66D4">
            <w:pPr>
              <w:jc w:val="center"/>
              <w:rPr>
                <w:i/>
                <w:iCs/>
              </w:rPr>
            </w:pPr>
            <w:r w:rsidRPr="00B10210">
              <w:rPr>
                <w:b/>
              </w:rPr>
              <w:t>Názov služby</w:t>
            </w:r>
          </w:p>
        </w:tc>
        <w:tc>
          <w:tcPr>
            <w:tcW w:w="1417" w:type="dxa"/>
            <w:shd w:val="clear" w:color="auto" w:fill="C0C0C0"/>
            <w:vAlign w:val="center"/>
          </w:tcPr>
          <w:p w:rsidR="00534FA2" w:rsidRPr="00B10210" w:rsidRDefault="00534FA2" w:rsidP="00FC66D4">
            <w:pPr>
              <w:jc w:val="center"/>
              <w:rPr>
                <w:b/>
              </w:rPr>
            </w:pPr>
            <w:r w:rsidRPr="00B10210">
              <w:rPr>
                <w:b/>
              </w:rPr>
              <w:t>Úroveň elektronizácie služby</w:t>
            </w:r>
          </w:p>
          <w:p w:rsidR="00534FA2" w:rsidRPr="00B10210" w:rsidRDefault="00534FA2" w:rsidP="00FC66D4">
            <w:pPr>
              <w:jc w:val="center"/>
              <w:rPr>
                <w:i/>
                <w:iCs/>
              </w:rPr>
            </w:pPr>
            <w:r w:rsidRPr="00B10210">
              <w:rPr>
                <w:b/>
              </w:rPr>
              <w:t>(0 až 5)</w:t>
            </w:r>
          </w:p>
        </w:tc>
      </w:tr>
      <w:tr w:rsidR="00534FA2" w:rsidRPr="00B10210" w:rsidTr="00FC66D4">
        <w:trPr>
          <w:trHeight w:val="2935"/>
        </w:trPr>
        <w:tc>
          <w:tcPr>
            <w:tcW w:w="3403" w:type="dxa"/>
          </w:tcPr>
          <w:p w:rsidR="00534FA2" w:rsidRPr="00B10210" w:rsidRDefault="00534FA2" w:rsidP="00FC66D4">
            <w:pPr>
              <w:jc w:val="both"/>
            </w:pPr>
            <w:r w:rsidRPr="00B10210">
              <w:rPr>
                <w:b/>
              </w:rPr>
              <w:t>6.1.</w:t>
            </w:r>
            <w:r w:rsidRPr="00B10210">
              <w:t xml:space="preserve"> Predpokladá predložený návrh zmenu existujúcich elektronických služieb verejnej správy alebo vytvorenie nových služieb?</w:t>
            </w:r>
          </w:p>
          <w:p w:rsidR="00534FA2" w:rsidRPr="00B10210" w:rsidRDefault="00534FA2" w:rsidP="00FC66D4">
            <w:pPr>
              <w:jc w:val="both"/>
              <w:rPr>
                <w:b/>
              </w:rPr>
            </w:pPr>
            <w:r w:rsidRPr="00B10210">
              <w:rPr>
                <w:i/>
                <w:iCs/>
              </w:rPr>
              <w:t xml:space="preserve">(Ak áno, uveďte zmenu služby alebo vytvorenie novej služby, ďalej  jej kód, názov a úroveň elektronizácie podľa katalógu </w:t>
            </w:r>
            <w:proofErr w:type="spellStart"/>
            <w:r w:rsidRPr="00B10210">
              <w:rPr>
                <w:i/>
                <w:iCs/>
              </w:rPr>
              <w:t>eGovernment</w:t>
            </w:r>
            <w:proofErr w:type="spellEnd"/>
            <w:r w:rsidRPr="00B10210">
              <w:rPr>
                <w:i/>
                <w:iCs/>
              </w:rPr>
              <w:t xml:space="preserve"> služieb, ktorý je vedený v centrálnom </w:t>
            </w:r>
            <w:proofErr w:type="spellStart"/>
            <w:r w:rsidRPr="00B10210">
              <w:rPr>
                <w:i/>
                <w:iCs/>
              </w:rPr>
              <w:t>metainformačnom</w:t>
            </w:r>
            <w:proofErr w:type="spellEnd"/>
            <w:r w:rsidRPr="00B10210">
              <w:rPr>
                <w:i/>
                <w:iCs/>
              </w:rPr>
              <w:t xml:space="preserve"> systéme verejnej správy.)</w:t>
            </w:r>
            <w:r w:rsidRPr="00B10210">
              <w:t xml:space="preserve"> </w:t>
            </w:r>
          </w:p>
        </w:tc>
        <w:tc>
          <w:tcPr>
            <w:tcW w:w="1275" w:type="dxa"/>
          </w:tcPr>
          <w:p w:rsidR="00534FA2" w:rsidRPr="00B10210" w:rsidRDefault="00534FA2" w:rsidP="00FC66D4">
            <w:pPr>
              <w:jc w:val="center"/>
              <w:rPr>
                <w:b/>
              </w:rPr>
            </w:pPr>
          </w:p>
          <w:p w:rsidR="00534FA2" w:rsidRPr="00B10210" w:rsidRDefault="00534FA2" w:rsidP="00FC66D4">
            <w:pPr>
              <w:jc w:val="center"/>
              <w:rPr>
                <w:b/>
              </w:rPr>
            </w:pPr>
            <w:r w:rsidRPr="00B10210">
              <w:rPr>
                <w:b/>
              </w:rPr>
              <w:t>B</w:t>
            </w:r>
          </w:p>
        </w:tc>
        <w:tc>
          <w:tcPr>
            <w:tcW w:w="1560" w:type="dxa"/>
          </w:tcPr>
          <w:p w:rsidR="00534FA2" w:rsidRPr="00B10210" w:rsidRDefault="00534FA2" w:rsidP="00FC66D4">
            <w:pPr>
              <w:jc w:val="center"/>
              <w:rPr>
                <w:b/>
              </w:rPr>
            </w:pPr>
          </w:p>
          <w:p w:rsidR="00534FA2" w:rsidRPr="00B10210" w:rsidRDefault="00534FA2" w:rsidP="00FC66D4">
            <w:pPr>
              <w:jc w:val="center"/>
              <w:rPr>
                <w:b/>
              </w:rPr>
            </w:pPr>
            <w:r w:rsidRPr="00B10210">
              <w:rPr>
                <w:color w:val="333333"/>
                <w:shd w:val="clear" w:color="auto" w:fill="FFFFFF"/>
              </w:rPr>
              <w:t>ks_339008</w:t>
            </w:r>
          </w:p>
        </w:tc>
        <w:tc>
          <w:tcPr>
            <w:tcW w:w="2268" w:type="dxa"/>
          </w:tcPr>
          <w:p w:rsidR="00534FA2" w:rsidRPr="00B10210" w:rsidRDefault="00534FA2" w:rsidP="00FC66D4">
            <w:pPr>
              <w:jc w:val="both"/>
              <w:rPr>
                <w:b/>
              </w:rPr>
            </w:pPr>
            <w:r w:rsidRPr="00B10210">
              <w:t>Podávanie daňového priznania k spotrebnej dani z tabakových výrobkov</w:t>
            </w:r>
            <w:r w:rsidRPr="00B10210">
              <w:rPr>
                <w:b/>
              </w:rPr>
              <w:t xml:space="preserve"> </w:t>
            </w:r>
          </w:p>
        </w:tc>
        <w:tc>
          <w:tcPr>
            <w:tcW w:w="1417" w:type="dxa"/>
          </w:tcPr>
          <w:p w:rsidR="00534FA2" w:rsidRPr="00B10210" w:rsidRDefault="00534FA2" w:rsidP="00FC66D4">
            <w:pPr>
              <w:rPr>
                <w:b/>
                <w:i/>
              </w:rPr>
            </w:pPr>
          </w:p>
          <w:p w:rsidR="00534FA2" w:rsidRPr="00B10210" w:rsidRDefault="00534FA2" w:rsidP="00FC66D4">
            <w:pPr>
              <w:jc w:val="center"/>
              <w:rPr>
                <w:b/>
              </w:rPr>
            </w:pPr>
            <w:r w:rsidRPr="00B10210">
              <w:rPr>
                <w:b/>
              </w:rPr>
              <w:t>4</w:t>
            </w:r>
          </w:p>
          <w:p w:rsidR="00534FA2" w:rsidRPr="00B10210" w:rsidRDefault="00534FA2" w:rsidP="00FC66D4">
            <w:pPr>
              <w:jc w:val="center"/>
              <w:rPr>
                <w:b/>
              </w:rPr>
            </w:pPr>
          </w:p>
        </w:tc>
      </w:tr>
      <w:tr w:rsidR="00534FA2" w:rsidRPr="00B10210" w:rsidTr="00FC66D4">
        <w:trPr>
          <w:trHeight w:val="20"/>
        </w:trPr>
        <w:tc>
          <w:tcPr>
            <w:tcW w:w="3403" w:type="dxa"/>
            <w:shd w:val="clear" w:color="auto" w:fill="C0C0C0"/>
            <w:vAlign w:val="center"/>
          </w:tcPr>
          <w:p w:rsidR="00534FA2" w:rsidRPr="00B10210" w:rsidRDefault="00534FA2" w:rsidP="00FC66D4">
            <w:pPr>
              <w:spacing w:after="120"/>
              <w:jc w:val="center"/>
              <w:rPr>
                <w:b/>
              </w:rPr>
            </w:pPr>
            <w:r w:rsidRPr="00B10210">
              <w:rPr>
                <w:b/>
              </w:rPr>
              <w:t>Infraštruktúra</w:t>
            </w:r>
          </w:p>
        </w:tc>
        <w:tc>
          <w:tcPr>
            <w:tcW w:w="1275" w:type="dxa"/>
            <w:shd w:val="clear" w:color="auto" w:fill="C0C0C0"/>
            <w:vAlign w:val="center"/>
          </w:tcPr>
          <w:p w:rsidR="00534FA2" w:rsidRPr="00B10210" w:rsidRDefault="00534FA2" w:rsidP="00FC66D4">
            <w:pPr>
              <w:spacing w:after="120"/>
              <w:jc w:val="center"/>
              <w:rPr>
                <w:b/>
              </w:rPr>
            </w:pPr>
            <w:r w:rsidRPr="00B10210">
              <w:rPr>
                <w:b/>
              </w:rPr>
              <w:t>A – nový systém</w:t>
            </w:r>
          </w:p>
          <w:p w:rsidR="00534FA2" w:rsidRPr="00B10210" w:rsidRDefault="00534FA2" w:rsidP="00FC66D4">
            <w:pPr>
              <w:spacing w:after="120"/>
              <w:jc w:val="center"/>
              <w:rPr>
                <w:b/>
              </w:rPr>
            </w:pPr>
            <w:r w:rsidRPr="00B10210">
              <w:rPr>
                <w:b/>
              </w:rPr>
              <w:t>B – zmena systému</w:t>
            </w:r>
          </w:p>
        </w:tc>
        <w:tc>
          <w:tcPr>
            <w:tcW w:w="1560" w:type="dxa"/>
            <w:shd w:val="clear" w:color="auto" w:fill="C0C0C0"/>
            <w:vAlign w:val="center"/>
          </w:tcPr>
          <w:p w:rsidR="00534FA2" w:rsidRPr="00B10210" w:rsidRDefault="00534FA2" w:rsidP="00FC66D4">
            <w:pPr>
              <w:spacing w:after="120"/>
              <w:jc w:val="center"/>
              <w:rPr>
                <w:b/>
              </w:rPr>
            </w:pPr>
            <w:r w:rsidRPr="00B10210">
              <w:rPr>
                <w:b/>
              </w:rPr>
              <w:t>Kód systému</w:t>
            </w:r>
          </w:p>
        </w:tc>
        <w:tc>
          <w:tcPr>
            <w:tcW w:w="3685" w:type="dxa"/>
            <w:gridSpan w:val="2"/>
            <w:shd w:val="clear" w:color="auto" w:fill="C0C0C0"/>
            <w:vAlign w:val="center"/>
          </w:tcPr>
          <w:p w:rsidR="00534FA2" w:rsidRPr="00B10210" w:rsidRDefault="00534FA2" w:rsidP="00FC66D4">
            <w:pPr>
              <w:spacing w:after="120"/>
              <w:jc w:val="center"/>
              <w:rPr>
                <w:b/>
              </w:rPr>
            </w:pPr>
            <w:r w:rsidRPr="00B10210">
              <w:rPr>
                <w:b/>
              </w:rPr>
              <w:t>Názov systému</w:t>
            </w:r>
          </w:p>
        </w:tc>
      </w:tr>
      <w:tr w:rsidR="00534FA2" w:rsidRPr="00B10210" w:rsidTr="00FC66D4">
        <w:trPr>
          <w:trHeight w:val="20"/>
        </w:trPr>
        <w:tc>
          <w:tcPr>
            <w:tcW w:w="3403" w:type="dxa"/>
          </w:tcPr>
          <w:p w:rsidR="00534FA2" w:rsidRPr="00B10210" w:rsidRDefault="00534FA2" w:rsidP="00FC66D4">
            <w:pPr>
              <w:jc w:val="both"/>
            </w:pPr>
            <w:r w:rsidRPr="00B10210">
              <w:rPr>
                <w:b/>
              </w:rPr>
              <w:t>6.2.</w:t>
            </w:r>
            <w:r w:rsidRPr="00B10210">
              <w:t xml:space="preserve"> Predpokladá predložený návrh zmenu existujúceho alebo vytvorenie nového informačného systému verejnej správy?</w:t>
            </w:r>
          </w:p>
          <w:p w:rsidR="00534FA2" w:rsidRPr="00B10210" w:rsidRDefault="00534FA2" w:rsidP="00FC66D4">
            <w:pPr>
              <w:spacing w:line="20" w:lineRule="atLeast"/>
              <w:jc w:val="both"/>
            </w:pPr>
            <w:r w:rsidRPr="00B10210">
              <w:rPr>
                <w:i/>
                <w:iCs/>
              </w:rPr>
              <w:t xml:space="preserve">(Ak áno, uveďte zmenu systému alebo vytvorenie nového systému, ďalej jeho kód a názov z centrálneho </w:t>
            </w:r>
            <w:proofErr w:type="spellStart"/>
            <w:r w:rsidRPr="00B10210">
              <w:rPr>
                <w:i/>
                <w:iCs/>
              </w:rPr>
              <w:t>metainformačného</w:t>
            </w:r>
            <w:proofErr w:type="spellEnd"/>
            <w:r w:rsidRPr="00B10210">
              <w:rPr>
                <w:i/>
                <w:iCs/>
              </w:rPr>
              <w:t xml:space="preserve"> systému verejnej správy.)</w:t>
            </w:r>
          </w:p>
        </w:tc>
        <w:tc>
          <w:tcPr>
            <w:tcW w:w="1275" w:type="dxa"/>
          </w:tcPr>
          <w:p w:rsidR="00534FA2" w:rsidRPr="00B10210" w:rsidRDefault="00534FA2" w:rsidP="00FC66D4">
            <w:pPr>
              <w:jc w:val="center"/>
              <w:rPr>
                <w:i/>
                <w:iCs/>
              </w:rPr>
            </w:pPr>
          </w:p>
          <w:p w:rsidR="00534FA2" w:rsidRPr="00B10210" w:rsidRDefault="00534FA2" w:rsidP="00FC66D4">
            <w:pPr>
              <w:jc w:val="center"/>
              <w:rPr>
                <w:i/>
                <w:iCs/>
              </w:rPr>
            </w:pPr>
            <w:r w:rsidRPr="00B10210">
              <w:rPr>
                <w:i/>
                <w:iCs/>
              </w:rPr>
              <w:t>B</w:t>
            </w:r>
          </w:p>
          <w:p w:rsidR="00534FA2" w:rsidRPr="00B10210" w:rsidRDefault="00534FA2" w:rsidP="00FC66D4">
            <w:pPr>
              <w:jc w:val="center"/>
              <w:rPr>
                <w:i/>
                <w:iCs/>
              </w:rPr>
            </w:pPr>
          </w:p>
          <w:p w:rsidR="00534FA2" w:rsidRPr="00B10210" w:rsidRDefault="00534FA2" w:rsidP="00FC66D4">
            <w:pPr>
              <w:jc w:val="center"/>
              <w:rPr>
                <w:i/>
                <w:iCs/>
              </w:rPr>
            </w:pPr>
            <w:r w:rsidRPr="00B10210">
              <w:rPr>
                <w:i/>
                <w:iCs/>
              </w:rPr>
              <w:t>B</w:t>
            </w:r>
          </w:p>
        </w:tc>
        <w:tc>
          <w:tcPr>
            <w:tcW w:w="1560" w:type="dxa"/>
          </w:tcPr>
          <w:p w:rsidR="00534FA2" w:rsidRPr="00B10210" w:rsidRDefault="00534FA2" w:rsidP="00FC66D4">
            <w:pPr>
              <w:rPr>
                <w:i/>
                <w:iCs/>
              </w:rPr>
            </w:pPr>
          </w:p>
          <w:p w:rsidR="00534FA2" w:rsidRPr="00B10210" w:rsidRDefault="00534FA2" w:rsidP="00FC66D4">
            <w:pPr>
              <w:rPr>
                <w:iCs/>
              </w:rPr>
            </w:pPr>
            <w:r w:rsidRPr="00B10210">
              <w:rPr>
                <w:iCs/>
              </w:rPr>
              <w:t>isvs_7205</w:t>
            </w:r>
          </w:p>
          <w:p w:rsidR="00534FA2" w:rsidRPr="00B10210" w:rsidRDefault="00534FA2" w:rsidP="00FC66D4"/>
          <w:p w:rsidR="00534FA2" w:rsidRPr="00B10210" w:rsidRDefault="00534FA2" w:rsidP="00FC66D4">
            <w:r w:rsidRPr="00B10210">
              <w:t>isvs_7213</w:t>
            </w:r>
          </w:p>
        </w:tc>
        <w:tc>
          <w:tcPr>
            <w:tcW w:w="3685" w:type="dxa"/>
            <w:gridSpan w:val="2"/>
          </w:tcPr>
          <w:p w:rsidR="00534FA2" w:rsidRPr="00B10210" w:rsidRDefault="00534FA2" w:rsidP="00FC66D4">
            <w:pPr>
              <w:jc w:val="center"/>
            </w:pPr>
          </w:p>
          <w:p w:rsidR="00534FA2" w:rsidRPr="00B10210" w:rsidRDefault="00534FA2" w:rsidP="00FC66D4">
            <w:pPr>
              <w:jc w:val="center"/>
              <w:rPr>
                <w:i/>
                <w:iCs/>
              </w:rPr>
            </w:pPr>
            <w:r w:rsidRPr="00B10210">
              <w:t>Systém správy nepriamych daní (</w:t>
            </w:r>
            <w:proofErr w:type="spellStart"/>
            <w:r w:rsidRPr="00B10210">
              <w:t>SySNeD</w:t>
            </w:r>
            <w:proofErr w:type="spellEnd"/>
            <w:r w:rsidRPr="00B10210">
              <w:t>)</w:t>
            </w:r>
          </w:p>
          <w:p w:rsidR="00534FA2" w:rsidRPr="00B10210" w:rsidRDefault="00534FA2" w:rsidP="00FC66D4">
            <w:pPr>
              <w:jc w:val="center"/>
              <w:rPr>
                <w:i/>
                <w:iCs/>
              </w:rPr>
            </w:pPr>
          </w:p>
          <w:p w:rsidR="00534FA2" w:rsidRPr="00B10210" w:rsidRDefault="00534FA2" w:rsidP="00FC66D4">
            <w:pPr>
              <w:jc w:val="center"/>
              <w:rPr>
                <w:i/>
                <w:iCs/>
              </w:rPr>
            </w:pPr>
            <w:r w:rsidRPr="00B10210">
              <w:t xml:space="preserve">Portál Finančnej správy (PFS) </w:t>
            </w:r>
          </w:p>
        </w:tc>
      </w:tr>
      <w:tr w:rsidR="00534FA2" w:rsidRPr="00B10210" w:rsidTr="00FC66D4">
        <w:trPr>
          <w:trHeight w:val="20"/>
        </w:trPr>
        <w:tc>
          <w:tcPr>
            <w:tcW w:w="3403" w:type="dxa"/>
            <w:shd w:val="clear" w:color="auto" w:fill="BFBFBF"/>
            <w:vAlign w:val="center"/>
          </w:tcPr>
          <w:p w:rsidR="00534FA2" w:rsidRPr="00B10210" w:rsidRDefault="00534FA2" w:rsidP="00FC66D4">
            <w:pPr>
              <w:spacing w:after="120" w:line="20" w:lineRule="atLeast"/>
              <w:ind w:hanging="55"/>
              <w:jc w:val="center"/>
              <w:rPr>
                <w:b/>
              </w:rPr>
            </w:pPr>
            <w:r w:rsidRPr="00B10210">
              <w:rPr>
                <w:b/>
              </w:rPr>
              <w:t>Financovanie procesu informatizácie</w:t>
            </w:r>
          </w:p>
        </w:tc>
        <w:tc>
          <w:tcPr>
            <w:tcW w:w="1275" w:type="dxa"/>
            <w:shd w:val="clear" w:color="auto" w:fill="BFBFBF"/>
            <w:vAlign w:val="center"/>
          </w:tcPr>
          <w:p w:rsidR="00534FA2" w:rsidRPr="00B10210" w:rsidRDefault="00534FA2" w:rsidP="00FC66D4">
            <w:pPr>
              <w:spacing w:after="120"/>
              <w:jc w:val="center"/>
              <w:rPr>
                <w:b/>
                <w:i/>
                <w:iCs/>
              </w:rPr>
            </w:pPr>
            <w:r w:rsidRPr="00B10210">
              <w:rPr>
                <w:b/>
              </w:rPr>
              <w:t>Rezortná úroveň</w:t>
            </w:r>
          </w:p>
        </w:tc>
        <w:tc>
          <w:tcPr>
            <w:tcW w:w="1560" w:type="dxa"/>
            <w:shd w:val="clear" w:color="auto" w:fill="BFBFBF"/>
            <w:vAlign w:val="center"/>
          </w:tcPr>
          <w:p w:rsidR="00534FA2" w:rsidRPr="00B10210" w:rsidRDefault="00534FA2" w:rsidP="00FC66D4">
            <w:pPr>
              <w:spacing w:after="120"/>
              <w:jc w:val="center"/>
              <w:rPr>
                <w:b/>
                <w:i/>
                <w:iCs/>
              </w:rPr>
            </w:pPr>
            <w:r w:rsidRPr="00B10210">
              <w:rPr>
                <w:b/>
              </w:rPr>
              <w:t>Nadrezortná úroveň</w:t>
            </w:r>
          </w:p>
          <w:p w:rsidR="00534FA2" w:rsidRPr="00B10210" w:rsidRDefault="00534FA2" w:rsidP="00FC66D4">
            <w:pPr>
              <w:spacing w:after="120"/>
              <w:jc w:val="center"/>
              <w:rPr>
                <w:b/>
              </w:rPr>
            </w:pPr>
          </w:p>
        </w:tc>
        <w:tc>
          <w:tcPr>
            <w:tcW w:w="3685" w:type="dxa"/>
            <w:gridSpan w:val="2"/>
            <w:shd w:val="clear" w:color="auto" w:fill="BFBFBF"/>
            <w:vAlign w:val="center"/>
          </w:tcPr>
          <w:p w:rsidR="00534FA2" w:rsidRPr="00B10210" w:rsidRDefault="00534FA2" w:rsidP="00FC66D4">
            <w:pPr>
              <w:spacing w:after="120"/>
              <w:rPr>
                <w:b/>
              </w:rPr>
            </w:pPr>
            <w:r w:rsidRPr="00B10210">
              <w:rPr>
                <w:b/>
              </w:rPr>
              <w:t xml:space="preserve">A - z prostriedkov EÚ  </w:t>
            </w:r>
          </w:p>
          <w:p w:rsidR="00534FA2" w:rsidRPr="00B10210" w:rsidRDefault="00534FA2" w:rsidP="00FC66D4">
            <w:pPr>
              <w:spacing w:after="120"/>
              <w:rPr>
                <w:b/>
              </w:rPr>
            </w:pPr>
            <w:r w:rsidRPr="00B10210">
              <w:rPr>
                <w:b/>
              </w:rPr>
              <w:t>B - z ďalších zdrojov financovania</w:t>
            </w:r>
          </w:p>
        </w:tc>
      </w:tr>
      <w:tr w:rsidR="00534FA2" w:rsidRPr="00B10210" w:rsidTr="00FC66D4">
        <w:trPr>
          <w:trHeight w:val="1799"/>
        </w:trPr>
        <w:tc>
          <w:tcPr>
            <w:tcW w:w="3403" w:type="dxa"/>
          </w:tcPr>
          <w:p w:rsidR="00534FA2" w:rsidRPr="00B10210" w:rsidRDefault="00534FA2" w:rsidP="00FC66D4">
            <w:pPr>
              <w:jc w:val="both"/>
            </w:pPr>
            <w:r w:rsidRPr="00B10210">
              <w:rPr>
                <w:b/>
              </w:rPr>
              <w:t>6.3.</w:t>
            </w:r>
            <w:r w:rsidRPr="00B10210">
              <w:t xml:space="preserve"> Vyžaduje si proces informatizácie  finančné investície?</w:t>
            </w:r>
          </w:p>
          <w:p w:rsidR="00534FA2" w:rsidRPr="00B10210" w:rsidRDefault="00534FA2" w:rsidP="00FC66D4">
            <w:pPr>
              <w:spacing w:line="20" w:lineRule="atLeast"/>
              <w:jc w:val="both"/>
            </w:pPr>
            <w:r w:rsidRPr="00B10210">
              <w:rPr>
                <w:i/>
                <w:iCs/>
              </w:rPr>
              <w:t>(Uveďte príslušnú úroveň financovania a kvantifikáciu finančných výdavkov uveďte  v analýze vplyvov na rozpočet verejnej správy.)</w:t>
            </w:r>
          </w:p>
        </w:tc>
        <w:tc>
          <w:tcPr>
            <w:tcW w:w="1275" w:type="dxa"/>
          </w:tcPr>
          <w:p w:rsidR="00534FA2" w:rsidRPr="00B10210" w:rsidRDefault="00534FA2" w:rsidP="00FC66D4">
            <w:pPr>
              <w:jc w:val="center"/>
              <w:rPr>
                <w:i/>
                <w:iCs/>
              </w:rPr>
            </w:pPr>
          </w:p>
          <w:p w:rsidR="00534FA2" w:rsidRPr="00B10210" w:rsidRDefault="00534FA2" w:rsidP="00FC66D4">
            <w:pPr>
              <w:jc w:val="center"/>
              <w:rPr>
                <w:b/>
                <w:i/>
                <w:iCs/>
              </w:rPr>
            </w:pPr>
            <w:r w:rsidRPr="00B10210">
              <w:rPr>
                <w:b/>
                <w:i/>
                <w:iCs/>
              </w:rPr>
              <w:t>X</w:t>
            </w:r>
          </w:p>
        </w:tc>
        <w:tc>
          <w:tcPr>
            <w:tcW w:w="1560" w:type="dxa"/>
          </w:tcPr>
          <w:p w:rsidR="00534FA2" w:rsidRPr="00B10210" w:rsidRDefault="00534FA2" w:rsidP="00FC66D4">
            <w:pPr>
              <w:rPr>
                <w:i/>
                <w:iCs/>
              </w:rPr>
            </w:pPr>
          </w:p>
        </w:tc>
        <w:tc>
          <w:tcPr>
            <w:tcW w:w="3685" w:type="dxa"/>
            <w:gridSpan w:val="2"/>
          </w:tcPr>
          <w:p w:rsidR="00534FA2" w:rsidRPr="00B10210" w:rsidRDefault="00534FA2" w:rsidP="00FC66D4">
            <w:pPr>
              <w:jc w:val="center"/>
              <w:rPr>
                <w:b/>
                <w:i/>
                <w:iCs/>
              </w:rPr>
            </w:pPr>
            <w:r w:rsidRPr="00B10210">
              <w:rPr>
                <w:b/>
                <w:i/>
                <w:iCs/>
              </w:rPr>
              <w:t>B</w:t>
            </w:r>
          </w:p>
          <w:p w:rsidR="00534FA2" w:rsidRPr="00B10210" w:rsidRDefault="00534FA2" w:rsidP="00FC66D4">
            <w:pPr>
              <w:pBdr>
                <w:top w:val="single" w:sz="4" w:space="1" w:color="auto"/>
                <w:left w:val="single" w:sz="4" w:space="4" w:color="auto"/>
                <w:bottom w:val="single" w:sz="4" w:space="0" w:color="auto"/>
                <w:right w:val="single" w:sz="4" w:space="4" w:color="auto"/>
              </w:pBdr>
              <w:jc w:val="both"/>
              <w:rPr>
                <w:i/>
                <w:iCs/>
              </w:rPr>
            </w:pPr>
          </w:p>
        </w:tc>
      </w:tr>
    </w:tbl>
    <w:p w:rsidR="00534FA2" w:rsidRPr="00B10210" w:rsidRDefault="00534FA2" w:rsidP="00534FA2">
      <w:pPr>
        <w:tabs>
          <w:tab w:val="num" w:pos="1080"/>
        </w:tabs>
        <w:jc w:val="both"/>
        <w:rPr>
          <w:bCs/>
        </w:rPr>
      </w:pPr>
    </w:p>
    <w:p w:rsidR="00534FA2" w:rsidRDefault="00534FA2" w:rsidP="009636F8">
      <w:pPr>
        <w:jc w:val="both"/>
      </w:pPr>
    </w:p>
    <w:p w:rsidR="004B2E31" w:rsidRPr="00B10210" w:rsidRDefault="004B2E31" w:rsidP="009636F8">
      <w:pPr>
        <w:jc w:val="both"/>
      </w:pPr>
    </w:p>
    <w:p w:rsidR="00534FA2" w:rsidRPr="00B10210" w:rsidRDefault="00534FA2" w:rsidP="00534FA2">
      <w:pPr>
        <w:pStyle w:val="Nzov"/>
      </w:pPr>
      <w:r w:rsidRPr="00B10210">
        <w:lastRenderedPageBreak/>
        <w:t>DOLOŽKA  ZLUČITEĽNOSTI</w:t>
      </w:r>
    </w:p>
    <w:p w:rsidR="00534FA2" w:rsidRPr="00B10210" w:rsidRDefault="00534FA2" w:rsidP="00534FA2">
      <w:pPr>
        <w:pStyle w:val="Nzov"/>
      </w:pPr>
      <w:r w:rsidRPr="00B10210">
        <w:t>návrhu zákona s právom Európskej únie</w:t>
      </w:r>
    </w:p>
    <w:p w:rsidR="00534FA2" w:rsidRPr="00B10210" w:rsidRDefault="00534FA2" w:rsidP="00534FA2">
      <w:pPr>
        <w:pStyle w:val="Zkladntext1"/>
        <w:tabs>
          <w:tab w:val="left" w:pos="284"/>
        </w:tabs>
        <w:spacing w:before="120"/>
        <w:rPr>
          <w:b/>
          <w:bCs/>
          <w:color w:val="auto"/>
          <w:sz w:val="24"/>
          <w:szCs w:val="24"/>
        </w:rPr>
      </w:pPr>
      <w:r w:rsidRPr="00B10210">
        <w:rPr>
          <w:b/>
          <w:bCs/>
          <w:color w:val="auto"/>
          <w:sz w:val="24"/>
          <w:szCs w:val="24"/>
        </w:rPr>
        <w:t>1.</w:t>
      </w:r>
      <w:r w:rsidRPr="00B10210">
        <w:rPr>
          <w:b/>
          <w:bCs/>
          <w:color w:val="auto"/>
          <w:sz w:val="24"/>
          <w:szCs w:val="24"/>
        </w:rPr>
        <w:tab/>
        <w:t xml:space="preserve">Navrhovateľ zákona: </w:t>
      </w:r>
    </w:p>
    <w:p w:rsidR="00534FA2" w:rsidRPr="00B10210" w:rsidRDefault="00534FA2" w:rsidP="00534FA2">
      <w:pPr>
        <w:pStyle w:val="Zkladntext1"/>
        <w:spacing w:before="120"/>
        <w:ind w:left="284"/>
        <w:jc w:val="both"/>
        <w:rPr>
          <w:color w:val="auto"/>
          <w:sz w:val="24"/>
          <w:szCs w:val="24"/>
        </w:rPr>
      </w:pPr>
      <w:r w:rsidRPr="00B10210">
        <w:rPr>
          <w:color w:val="auto"/>
          <w:sz w:val="24"/>
          <w:szCs w:val="24"/>
        </w:rPr>
        <w:t>Vláda Slovenskej republiky.</w:t>
      </w:r>
    </w:p>
    <w:p w:rsidR="00534FA2" w:rsidRPr="00B10210" w:rsidRDefault="00534FA2" w:rsidP="00534FA2">
      <w:pPr>
        <w:pStyle w:val="Zkladntext1"/>
        <w:numPr>
          <w:ilvl w:val="0"/>
          <w:numId w:val="31"/>
        </w:numPr>
        <w:tabs>
          <w:tab w:val="clear" w:pos="360"/>
          <w:tab w:val="left" w:pos="284"/>
        </w:tabs>
        <w:spacing w:before="120" w:after="120"/>
        <w:ind w:left="0" w:firstLine="0"/>
        <w:jc w:val="both"/>
        <w:rPr>
          <w:b/>
          <w:bCs/>
          <w:color w:val="auto"/>
          <w:sz w:val="24"/>
          <w:szCs w:val="24"/>
        </w:rPr>
      </w:pPr>
      <w:r w:rsidRPr="00B10210">
        <w:rPr>
          <w:b/>
          <w:bCs/>
          <w:color w:val="auto"/>
          <w:sz w:val="24"/>
          <w:szCs w:val="24"/>
        </w:rPr>
        <w:t xml:space="preserve">Názov návrhu zákona: </w:t>
      </w:r>
    </w:p>
    <w:p w:rsidR="00534FA2" w:rsidRPr="00B10210" w:rsidRDefault="00534FA2" w:rsidP="00534FA2">
      <w:pPr>
        <w:pStyle w:val="Zkladntext0"/>
        <w:ind w:left="284"/>
        <w:jc w:val="both"/>
        <w:rPr>
          <w:rFonts w:ascii="Times New Roman" w:hAnsi="Times New Roman" w:cs="Times New Roman"/>
          <w:b/>
          <w:color w:val="auto"/>
        </w:rPr>
      </w:pPr>
      <w:r w:rsidRPr="00B10210">
        <w:rPr>
          <w:rFonts w:ascii="Times New Roman" w:hAnsi="Times New Roman" w:cs="Times New Roman"/>
          <w:color w:val="auto"/>
        </w:rPr>
        <w:t>Návrh zákona, ktorým sa mení a dopĺňa zákon č. 106/2004 Z. z. o spotrebnej dani z tabakových výrobkov v znení neskorších predpisov</w:t>
      </w:r>
      <w:r w:rsidRPr="00B10210">
        <w:rPr>
          <w:rFonts w:ascii="Times New Roman" w:hAnsi="Times New Roman" w:cs="Times New Roman"/>
          <w:bCs/>
          <w:color w:val="auto"/>
        </w:rPr>
        <w:t>.</w:t>
      </w:r>
    </w:p>
    <w:p w:rsidR="00534FA2" w:rsidRPr="00B10210" w:rsidRDefault="00534FA2" w:rsidP="00534FA2">
      <w:pPr>
        <w:pStyle w:val="Zkladntext1"/>
        <w:numPr>
          <w:ilvl w:val="0"/>
          <w:numId w:val="31"/>
        </w:numPr>
        <w:tabs>
          <w:tab w:val="clear" w:pos="360"/>
          <w:tab w:val="left" w:pos="284"/>
        </w:tabs>
        <w:spacing w:before="120" w:after="120"/>
        <w:ind w:left="0" w:firstLine="0"/>
        <w:jc w:val="both"/>
        <w:rPr>
          <w:b/>
          <w:bCs/>
          <w:color w:val="auto"/>
          <w:sz w:val="24"/>
          <w:szCs w:val="24"/>
        </w:rPr>
      </w:pPr>
      <w:r w:rsidRPr="00B10210">
        <w:rPr>
          <w:b/>
          <w:bCs/>
          <w:color w:val="auto"/>
          <w:sz w:val="24"/>
          <w:szCs w:val="24"/>
        </w:rPr>
        <w:t xml:space="preserve">Predmet návrhu zákona </w:t>
      </w:r>
      <w:r w:rsidRPr="00B10210">
        <w:rPr>
          <w:b/>
          <w:color w:val="auto"/>
          <w:sz w:val="24"/>
          <w:szCs w:val="24"/>
        </w:rPr>
        <w:t>je upravený v práve Európskej únie:</w:t>
      </w:r>
    </w:p>
    <w:p w:rsidR="00534FA2" w:rsidRPr="00B10210" w:rsidRDefault="00534FA2" w:rsidP="00534FA2">
      <w:pPr>
        <w:pStyle w:val="Zkladntext1"/>
        <w:numPr>
          <w:ilvl w:val="0"/>
          <w:numId w:val="33"/>
        </w:numPr>
        <w:spacing w:after="120"/>
        <w:rPr>
          <w:b/>
          <w:color w:val="auto"/>
          <w:sz w:val="24"/>
          <w:szCs w:val="24"/>
        </w:rPr>
      </w:pPr>
      <w:r w:rsidRPr="00B10210">
        <w:rPr>
          <w:b/>
          <w:color w:val="auto"/>
          <w:sz w:val="24"/>
          <w:szCs w:val="24"/>
        </w:rPr>
        <w:t>Primárne právo:</w:t>
      </w:r>
    </w:p>
    <w:p w:rsidR="00534FA2" w:rsidRPr="00B10210" w:rsidRDefault="00534FA2" w:rsidP="00534FA2">
      <w:pPr>
        <w:pStyle w:val="Zkladntext1"/>
        <w:numPr>
          <w:ilvl w:val="0"/>
          <w:numId w:val="30"/>
        </w:numPr>
        <w:spacing w:after="120"/>
        <w:ind w:left="658" w:hanging="357"/>
        <w:jc w:val="both"/>
        <w:rPr>
          <w:color w:val="auto"/>
          <w:sz w:val="24"/>
          <w:szCs w:val="24"/>
        </w:rPr>
      </w:pPr>
      <w:r w:rsidRPr="00B10210">
        <w:rPr>
          <w:color w:val="auto"/>
          <w:sz w:val="24"/>
          <w:szCs w:val="24"/>
        </w:rPr>
        <w:t>čl. 106, 110 až 113 a čl. 355 Zmluvy o fungovaní Európskej únie (</w:t>
      </w:r>
      <w:r w:rsidRPr="00B10210">
        <w:rPr>
          <w:rStyle w:val="awspan1"/>
          <w:color w:val="auto"/>
        </w:rPr>
        <w:t>Ú. v. EÚ C 202, 7.6.2016) v platnom znení</w:t>
      </w:r>
      <w:r w:rsidRPr="00B10210">
        <w:rPr>
          <w:color w:val="auto"/>
          <w:sz w:val="24"/>
          <w:szCs w:val="24"/>
        </w:rPr>
        <w:t xml:space="preserve">, </w:t>
      </w:r>
    </w:p>
    <w:p w:rsidR="00534FA2" w:rsidRPr="00B10210" w:rsidRDefault="00534FA2" w:rsidP="00534FA2">
      <w:pPr>
        <w:pStyle w:val="Zkladntext1"/>
        <w:numPr>
          <w:ilvl w:val="0"/>
          <w:numId w:val="30"/>
        </w:numPr>
        <w:spacing w:after="120"/>
        <w:rPr>
          <w:color w:val="auto"/>
          <w:sz w:val="24"/>
          <w:szCs w:val="24"/>
        </w:rPr>
      </w:pPr>
      <w:r w:rsidRPr="00B10210">
        <w:rPr>
          <w:color w:val="auto"/>
          <w:sz w:val="24"/>
          <w:szCs w:val="24"/>
        </w:rPr>
        <w:t>čl. 52 Zmluvy o Európskej únii (</w:t>
      </w:r>
      <w:r w:rsidRPr="00B10210">
        <w:rPr>
          <w:rStyle w:val="awspan1"/>
          <w:color w:val="auto"/>
        </w:rPr>
        <w:t>Ú. v. EÚ C 202, 7.6.2016) v platnom znení</w:t>
      </w:r>
      <w:r w:rsidRPr="00B10210">
        <w:rPr>
          <w:color w:val="auto"/>
          <w:sz w:val="24"/>
          <w:szCs w:val="24"/>
        </w:rPr>
        <w:t>.</w:t>
      </w:r>
    </w:p>
    <w:p w:rsidR="00534FA2" w:rsidRPr="00B10210" w:rsidRDefault="00534FA2" w:rsidP="00534FA2">
      <w:pPr>
        <w:pStyle w:val="Zarkazkladnhotextu"/>
        <w:numPr>
          <w:ilvl w:val="0"/>
          <w:numId w:val="33"/>
        </w:numPr>
        <w:jc w:val="both"/>
      </w:pPr>
      <w:r w:rsidRPr="00B10210">
        <w:rPr>
          <w:b/>
          <w:bCs/>
          <w:iCs/>
        </w:rPr>
        <w:t>Sekundárne právo:</w:t>
      </w:r>
    </w:p>
    <w:p w:rsidR="00534FA2" w:rsidRPr="00B10210" w:rsidRDefault="00534FA2" w:rsidP="00534FA2">
      <w:pPr>
        <w:numPr>
          <w:ilvl w:val="0"/>
          <w:numId w:val="30"/>
        </w:numPr>
        <w:spacing w:before="120" w:after="120"/>
        <w:jc w:val="both"/>
        <w:rPr>
          <w:rStyle w:val="Zvraznenie"/>
          <w:i w:val="0"/>
          <w:iCs w:val="0"/>
        </w:rPr>
      </w:pPr>
      <w:r w:rsidRPr="00B10210">
        <w:rPr>
          <w:rStyle w:val="Zvraznenie"/>
          <w:i w:val="0"/>
          <w:iCs w:val="0"/>
        </w:rPr>
        <w:t xml:space="preserve">smernica Rady (EÚ) </w:t>
      </w:r>
      <w:r w:rsidRPr="00B10210">
        <w:rPr>
          <w:rStyle w:val="Zvraznenie"/>
          <w:i w:val="0"/>
          <w:iCs w:val="0"/>
          <w:u w:val="single"/>
        </w:rPr>
        <w:t>2020/262</w:t>
      </w:r>
      <w:r w:rsidRPr="00B10210">
        <w:rPr>
          <w:rStyle w:val="Zvraznenie"/>
          <w:i w:val="0"/>
          <w:iCs w:val="0"/>
        </w:rPr>
        <w:t xml:space="preserve"> z 19. decembra 2019, ktorou sa ustanovuje všeobecný systém spotrebných daní (prepracované znenie) (</w:t>
      </w:r>
      <w:r w:rsidRPr="00B10210">
        <w:rPr>
          <w:iCs/>
          <w:shd w:val="clear" w:color="auto" w:fill="FFFFFF"/>
        </w:rPr>
        <w:t>Ú. v. EÚ L 58, 27.2.2020)</w:t>
      </w:r>
      <w:r w:rsidRPr="00B10210">
        <w:rPr>
          <w:rStyle w:val="Zvraznenie"/>
          <w:i w:val="0"/>
          <w:iCs w:val="0"/>
        </w:rPr>
        <w:t>, gestor: zatiaľ nebol určený,</w:t>
      </w:r>
    </w:p>
    <w:p w:rsidR="00534FA2" w:rsidRPr="00B10210" w:rsidRDefault="00534FA2" w:rsidP="00534FA2">
      <w:pPr>
        <w:numPr>
          <w:ilvl w:val="0"/>
          <w:numId w:val="30"/>
        </w:numPr>
        <w:spacing w:before="120" w:after="120"/>
        <w:jc w:val="both"/>
        <w:rPr>
          <w:rStyle w:val="Zvraznenie"/>
          <w:i w:val="0"/>
          <w:iCs w:val="0"/>
        </w:rPr>
      </w:pPr>
      <w:r w:rsidRPr="00B10210">
        <w:t xml:space="preserve">smernica Rady (EÚ) </w:t>
      </w:r>
      <w:r w:rsidRPr="00B10210">
        <w:rPr>
          <w:u w:val="single"/>
        </w:rPr>
        <w:t>2019/2235</w:t>
      </w:r>
      <w:r w:rsidRPr="00B10210">
        <w:t xml:space="preserve"> zo 16. decembra 2019, ktorou sa mení smernica 2006/112/ES o spoločnom systéme dane z pridanej hodnoty a smernica 2008/118/ES o</w:t>
      </w:r>
      <w:r w:rsidR="00D5552B" w:rsidRPr="00B10210">
        <w:t> </w:t>
      </w:r>
      <w:r w:rsidRPr="00B10210">
        <w:t>všeobecnom</w:t>
      </w:r>
      <w:r w:rsidR="00D5552B" w:rsidRPr="00B10210">
        <w:t xml:space="preserve"> </w:t>
      </w:r>
      <w:r w:rsidRPr="00B10210">
        <w:t>systéme spotrebných daní, pokiaľ ide o obranné úsilie v rámci Únie</w:t>
      </w:r>
      <w:r w:rsidR="00D5552B" w:rsidRPr="00B10210">
        <w:t xml:space="preserve">  </w:t>
      </w:r>
      <w:r w:rsidRPr="00B10210">
        <w:t xml:space="preserve"> </w:t>
      </w:r>
      <w:r w:rsidR="00011D6C">
        <w:t xml:space="preserve">     </w:t>
      </w:r>
      <w:r w:rsidRPr="00B10210">
        <w:t>(</w:t>
      </w:r>
      <w:r w:rsidRPr="00B10210">
        <w:rPr>
          <w:rStyle w:val="Zvraznenie"/>
          <w:i w:val="0"/>
        </w:rPr>
        <w:t xml:space="preserve">Ú. v. EÚ L 336, 30.12.2019), </w:t>
      </w:r>
      <w:r w:rsidRPr="00B10210">
        <w:rPr>
          <w:rStyle w:val="Zvraznenie"/>
          <w:i w:val="0"/>
          <w:iCs w:val="0"/>
        </w:rPr>
        <w:t>gestor: MF SR,</w:t>
      </w:r>
    </w:p>
    <w:p w:rsidR="00534FA2" w:rsidRPr="00B10210" w:rsidRDefault="00534FA2" w:rsidP="00534FA2">
      <w:pPr>
        <w:numPr>
          <w:ilvl w:val="0"/>
          <w:numId w:val="30"/>
        </w:numPr>
        <w:spacing w:after="120"/>
        <w:jc w:val="both"/>
      </w:pPr>
      <w:r w:rsidRPr="00B10210">
        <w:t xml:space="preserve">smernica Rady (EÚ) </w:t>
      </w:r>
      <w:r w:rsidRPr="00B10210">
        <w:rPr>
          <w:u w:val="single"/>
        </w:rPr>
        <w:t>2019/475</w:t>
      </w:r>
      <w:r w:rsidRPr="00B10210">
        <w:t xml:space="preserve"> z 18. februára 2019, ktorou sa menia smernice 2006/112/ES a 2008/118/ES, pokiaľ ide o začlenenie talianskej obce </w:t>
      </w:r>
      <w:proofErr w:type="spellStart"/>
      <w:r w:rsidRPr="00B10210">
        <w:t>Campione</w:t>
      </w:r>
      <w:proofErr w:type="spellEnd"/>
      <w:r w:rsidRPr="00B10210">
        <w:t xml:space="preserve"> </w:t>
      </w:r>
      <w:proofErr w:type="spellStart"/>
      <w:r w:rsidRPr="00B10210">
        <w:t>d´Italia</w:t>
      </w:r>
      <w:proofErr w:type="spellEnd"/>
      <w:r w:rsidRPr="00B10210">
        <w:t xml:space="preserve"> a talianskych vôd jazera </w:t>
      </w:r>
      <w:proofErr w:type="spellStart"/>
      <w:r w:rsidRPr="00B10210">
        <w:t>Lugano</w:t>
      </w:r>
      <w:proofErr w:type="spellEnd"/>
      <w:r w:rsidRPr="00B10210">
        <w:t xml:space="preserve"> do colného územia Únie a do územnej pôsobnosti smernice 2008/118/ES (</w:t>
      </w:r>
      <w:r w:rsidRPr="00B10210">
        <w:rPr>
          <w:iCs/>
        </w:rPr>
        <w:t xml:space="preserve">Ú. v. EÚ L 83, 25.3.2019), gestor: </w:t>
      </w:r>
      <w:r w:rsidRPr="00B10210">
        <w:rPr>
          <w:noProof/>
        </w:rPr>
        <w:t>MF SR,</w:t>
      </w:r>
    </w:p>
    <w:p w:rsidR="00534FA2" w:rsidRPr="00B10210" w:rsidRDefault="00534FA2" w:rsidP="00534FA2">
      <w:pPr>
        <w:numPr>
          <w:ilvl w:val="0"/>
          <w:numId w:val="30"/>
        </w:numPr>
        <w:spacing w:after="120"/>
        <w:jc w:val="both"/>
        <w:rPr>
          <w:rStyle w:val="Zvraznenie"/>
          <w:i w:val="0"/>
          <w:iCs w:val="0"/>
        </w:rPr>
      </w:pPr>
      <w:r w:rsidRPr="00B10210">
        <w:t xml:space="preserve">smernica Rady </w:t>
      </w:r>
      <w:r w:rsidRPr="00B10210">
        <w:rPr>
          <w:u w:val="single"/>
        </w:rPr>
        <w:t>2011/64/EÚ</w:t>
      </w:r>
      <w:r w:rsidRPr="00B10210">
        <w:t xml:space="preserve"> </w:t>
      </w:r>
      <w:r w:rsidRPr="00B10210">
        <w:rPr>
          <w:rStyle w:val="Siln"/>
          <w:b w:val="0"/>
        </w:rPr>
        <w:t xml:space="preserve">z 21. júna 2011 o štruktúre a sadzbách spotrebnej dane </w:t>
      </w:r>
      <w:r w:rsidRPr="00B10210">
        <w:rPr>
          <w:rStyle w:val="Siln"/>
          <w:b w:val="0"/>
        </w:rPr>
        <w:br/>
        <w:t>z tabakových výrobkov</w:t>
      </w:r>
      <w:r w:rsidRPr="00B10210">
        <w:rPr>
          <w:rStyle w:val="Siln"/>
        </w:rPr>
        <w:t xml:space="preserve"> </w:t>
      </w:r>
      <w:r w:rsidRPr="00B10210">
        <w:rPr>
          <w:rStyle w:val="Siln"/>
          <w:b w:val="0"/>
        </w:rPr>
        <w:t>(kodifikované znenie)</w:t>
      </w:r>
      <w:r w:rsidRPr="00B10210">
        <w:t xml:space="preserve"> (</w:t>
      </w:r>
      <w:r w:rsidRPr="00B10210">
        <w:rPr>
          <w:rStyle w:val="Zvraznenie"/>
          <w:i w:val="0"/>
        </w:rPr>
        <w:t>Ú. v. EÚ L 176, 5.7.2011), gestor: MF SR,</w:t>
      </w:r>
    </w:p>
    <w:p w:rsidR="00534FA2" w:rsidRPr="00B10210" w:rsidRDefault="00534FA2" w:rsidP="00534FA2">
      <w:pPr>
        <w:numPr>
          <w:ilvl w:val="0"/>
          <w:numId w:val="30"/>
        </w:numPr>
        <w:spacing w:after="120"/>
        <w:jc w:val="both"/>
        <w:rPr>
          <w:i/>
        </w:rPr>
      </w:pPr>
      <w:r w:rsidRPr="00B10210">
        <w:t xml:space="preserve">smernica Rady </w:t>
      </w:r>
      <w:r w:rsidRPr="00B10210">
        <w:rPr>
          <w:u w:val="single"/>
        </w:rPr>
        <w:t>2008/118/ES</w:t>
      </w:r>
      <w:r w:rsidRPr="00B10210">
        <w:t xml:space="preserve"> z 16. decembra 2008 o všeobecnom systéme spotrebných daní a o zrušení smernice 92/12/EHS (Ú. v. EÚ L 9, 14.1.2009) v platnom znení, </w:t>
      </w:r>
      <w:r w:rsidRPr="00B10210">
        <w:rPr>
          <w:rStyle w:val="Zvraznenie"/>
          <w:i w:val="0"/>
          <w:noProof/>
        </w:rPr>
        <w:t xml:space="preserve">gestor: </w:t>
      </w:r>
      <w:r w:rsidRPr="00B10210">
        <w:rPr>
          <w:noProof/>
        </w:rPr>
        <w:t>MF SR,</w:t>
      </w:r>
    </w:p>
    <w:p w:rsidR="00534FA2" w:rsidRPr="00B10210" w:rsidRDefault="00534FA2" w:rsidP="00534FA2">
      <w:pPr>
        <w:numPr>
          <w:ilvl w:val="0"/>
          <w:numId w:val="30"/>
        </w:numPr>
        <w:spacing w:after="120"/>
        <w:ind w:left="658" w:hanging="357"/>
        <w:jc w:val="both"/>
        <w:rPr>
          <w:i/>
        </w:rPr>
      </w:pPr>
      <w:r w:rsidRPr="00B10210">
        <w:t xml:space="preserve">smernica Rady </w:t>
      </w:r>
      <w:r w:rsidRPr="00B10210">
        <w:rPr>
          <w:u w:val="single"/>
        </w:rPr>
        <w:t>2007/74/ES</w:t>
      </w:r>
      <w:r w:rsidRPr="00B10210">
        <w:t xml:space="preserve"> z 20. decembra 2007 o oslobodení tovaru, ktorý dovážajú osoby cestujúce z tretích krajín, od dane z pridanej hodnoty a spotrebnej dane (Ú. v. EÚ L 346,</w:t>
      </w:r>
      <w:r w:rsidR="00D5552B" w:rsidRPr="00B10210">
        <w:t xml:space="preserve"> </w:t>
      </w:r>
      <w:r w:rsidRPr="00B10210">
        <w:t xml:space="preserve">29.12.2007), </w:t>
      </w:r>
      <w:r w:rsidRPr="00B10210">
        <w:rPr>
          <w:rStyle w:val="Zvraznenie"/>
          <w:i w:val="0"/>
          <w:noProof/>
        </w:rPr>
        <w:t xml:space="preserve">gestor: </w:t>
      </w:r>
      <w:r w:rsidRPr="00B10210">
        <w:rPr>
          <w:noProof/>
        </w:rPr>
        <w:t>MF SR,</w:t>
      </w:r>
    </w:p>
    <w:p w:rsidR="00534FA2" w:rsidRPr="00B10210" w:rsidRDefault="00534FA2" w:rsidP="00534FA2">
      <w:pPr>
        <w:numPr>
          <w:ilvl w:val="0"/>
          <w:numId w:val="30"/>
        </w:numPr>
        <w:spacing w:after="120"/>
        <w:jc w:val="both"/>
      </w:pPr>
      <w:r w:rsidRPr="00B10210">
        <w:rPr>
          <w:shd w:val="clear" w:color="auto" w:fill="FFFFFF"/>
        </w:rPr>
        <w:t xml:space="preserve">delegované nariadenie Komisie (EÚ) </w:t>
      </w:r>
      <w:r w:rsidRPr="00B10210">
        <w:rPr>
          <w:u w:val="single"/>
          <w:shd w:val="clear" w:color="auto" w:fill="FFFFFF"/>
        </w:rPr>
        <w:t>2015/2446</w:t>
      </w:r>
      <w:r w:rsidRPr="00B10210">
        <w:rPr>
          <w:shd w:val="clear" w:color="auto" w:fill="FFFFFF"/>
        </w:rPr>
        <w:t xml:space="preserve"> z 28. júla 2015, ktorým sa dopĺňa nariadenie Európskeho parlamentu a Rady (EÚ) č. 952/2013, pokiaľ ide o podrobné pravidlá, ktorými sa bližšie určujú niektoré ustanovenia Colného kódexu Únie (</w:t>
      </w:r>
      <w:r w:rsidRPr="00B10210">
        <w:rPr>
          <w:rStyle w:val="Zvraznenie"/>
          <w:i w:val="0"/>
          <w:shd w:val="clear" w:color="auto" w:fill="FFFFFF"/>
        </w:rPr>
        <w:t>Ú. v. EÚ L 343, 29.12.2015)</w:t>
      </w:r>
      <w:r w:rsidRPr="00B10210">
        <w:rPr>
          <w:rStyle w:val="Zvraznenie"/>
          <w:shd w:val="clear" w:color="auto" w:fill="FFFFFF"/>
        </w:rPr>
        <w:t xml:space="preserve"> </w:t>
      </w:r>
      <w:r w:rsidRPr="00B10210">
        <w:t xml:space="preserve">v platnom znení, gestor: </w:t>
      </w:r>
      <w:r w:rsidRPr="00B10210">
        <w:rPr>
          <w:noProof/>
        </w:rPr>
        <w:t>MF SR,</w:t>
      </w:r>
    </w:p>
    <w:p w:rsidR="00534FA2" w:rsidRPr="00B10210" w:rsidRDefault="00534FA2" w:rsidP="00534FA2">
      <w:pPr>
        <w:numPr>
          <w:ilvl w:val="0"/>
          <w:numId w:val="30"/>
        </w:numPr>
        <w:spacing w:after="120"/>
        <w:jc w:val="both"/>
      </w:pPr>
      <w:r w:rsidRPr="00B10210">
        <w:rPr>
          <w:shd w:val="clear" w:color="auto" w:fill="FFFFFF"/>
        </w:rPr>
        <w:t xml:space="preserve">vykonávacie nariadenie Komisie (EÚ) </w:t>
      </w:r>
      <w:r w:rsidRPr="00B10210">
        <w:rPr>
          <w:u w:val="single"/>
          <w:shd w:val="clear" w:color="auto" w:fill="FFFFFF"/>
        </w:rPr>
        <w:t>2015/2447</w:t>
      </w:r>
      <w:r w:rsidRPr="00B10210">
        <w:rPr>
          <w:shd w:val="clear" w:color="auto" w:fill="FFFFFF"/>
        </w:rPr>
        <w:t xml:space="preserve"> z 24. novembra 2015, ktorým sa stanovujú podrobné pravidlá vykonávania určitých ustanovení nariadenia Európskeho parlamentu a Rady (EÚ) č. 952/2013, ktorým sa ustanovuje Colný kódex Únie (</w:t>
      </w:r>
      <w:r w:rsidRPr="00B10210">
        <w:rPr>
          <w:rStyle w:val="Zvraznenie"/>
          <w:i w:val="0"/>
          <w:shd w:val="clear" w:color="auto" w:fill="FFFFFF"/>
        </w:rPr>
        <w:t>Ú. v. EÚ L 343, 29.12.2015)</w:t>
      </w:r>
      <w:r w:rsidRPr="00B10210">
        <w:rPr>
          <w:rStyle w:val="Zvraznenie"/>
          <w:shd w:val="clear" w:color="auto" w:fill="FFFFFF"/>
        </w:rPr>
        <w:t xml:space="preserve"> </w:t>
      </w:r>
      <w:r w:rsidRPr="00B10210">
        <w:t xml:space="preserve">v platnom znení, gestor: </w:t>
      </w:r>
      <w:r w:rsidRPr="00B10210">
        <w:rPr>
          <w:noProof/>
        </w:rPr>
        <w:t>MF SR,</w:t>
      </w:r>
    </w:p>
    <w:p w:rsidR="00534FA2" w:rsidRPr="00B10210" w:rsidRDefault="00534FA2" w:rsidP="00534FA2">
      <w:pPr>
        <w:numPr>
          <w:ilvl w:val="0"/>
          <w:numId w:val="30"/>
        </w:numPr>
        <w:spacing w:after="120"/>
        <w:jc w:val="both"/>
      </w:pPr>
      <w:r w:rsidRPr="00B10210">
        <w:lastRenderedPageBreak/>
        <w:t>nariadenie Európskeho parlamentu a Rady (EÚ) č. 910/2014 z 23. júla 2014 o</w:t>
      </w:r>
      <w:r w:rsidR="00D5552B" w:rsidRPr="00B10210">
        <w:t> </w:t>
      </w:r>
      <w:r w:rsidRPr="00B10210">
        <w:t>elektronickej</w:t>
      </w:r>
      <w:r w:rsidR="00D5552B" w:rsidRPr="00B10210">
        <w:t xml:space="preserve"> </w:t>
      </w:r>
      <w:r w:rsidRPr="00B10210">
        <w:t>identifikácii a dôveryhodných službách pre elektronické transakcie na vnútornom trhu a o zrušení smernice 1999/93/ES (Ú. v. EÚ L 257, 28.8.2014), gestori: NBÚ, MIRRI SR, MV SR,</w:t>
      </w:r>
    </w:p>
    <w:p w:rsidR="00534FA2" w:rsidRPr="00B10210" w:rsidRDefault="00534FA2" w:rsidP="00534FA2">
      <w:pPr>
        <w:numPr>
          <w:ilvl w:val="0"/>
          <w:numId w:val="30"/>
        </w:numPr>
        <w:spacing w:after="120"/>
        <w:jc w:val="both"/>
      </w:pPr>
      <w:r w:rsidRPr="00B10210">
        <w:rPr>
          <w:shd w:val="clear" w:color="auto" w:fill="FFFFFF"/>
        </w:rPr>
        <w:t>nariadenie Európskeho parlamentu a Rady (EÚ) č. </w:t>
      </w:r>
      <w:r w:rsidRPr="00B10210">
        <w:rPr>
          <w:u w:val="single"/>
          <w:shd w:val="clear" w:color="auto" w:fill="FFFFFF"/>
        </w:rPr>
        <w:t>952/2013</w:t>
      </w:r>
      <w:r w:rsidRPr="00B10210">
        <w:rPr>
          <w:shd w:val="clear" w:color="auto" w:fill="FFFFFF"/>
        </w:rPr>
        <w:t xml:space="preserve"> z  9. októbra 2013, ktorým sa ustanovuje Colný kódex Únie </w:t>
      </w:r>
      <w:r w:rsidRPr="00B10210">
        <w:rPr>
          <w:bCs/>
          <w:shd w:val="clear" w:color="auto" w:fill="FFFFFF"/>
        </w:rPr>
        <w:t>(prepracované znenie) (</w:t>
      </w:r>
      <w:r w:rsidRPr="00B10210">
        <w:rPr>
          <w:rStyle w:val="Zvraznenie"/>
          <w:i w:val="0"/>
          <w:shd w:val="clear" w:color="auto" w:fill="FFFFFF"/>
        </w:rPr>
        <w:t>Ú. v. EÚ L 269, 10.10.2013),</w:t>
      </w:r>
      <w:r w:rsidRPr="00B10210">
        <w:t xml:space="preserve"> v platnom znení, </w:t>
      </w:r>
      <w:r w:rsidRPr="00B10210">
        <w:rPr>
          <w:rStyle w:val="Zvraznenie"/>
          <w:i w:val="0"/>
          <w:noProof/>
        </w:rPr>
        <w:t xml:space="preserve">gestor: </w:t>
      </w:r>
      <w:r w:rsidRPr="00B10210">
        <w:rPr>
          <w:noProof/>
        </w:rPr>
        <w:t>MF SR</w:t>
      </w:r>
      <w:r w:rsidRPr="00B10210">
        <w:rPr>
          <w:rStyle w:val="Zvraznenie"/>
          <w:i w:val="0"/>
        </w:rPr>
        <w:t>,</w:t>
      </w:r>
    </w:p>
    <w:p w:rsidR="00534FA2" w:rsidRPr="00B10210" w:rsidRDefault="00534FA2" w:rsidP="00534FA2">
      <w:pPr>
        <w:numPr>
          <w:ilvl w:val="0"/>
          <w:numId w:val="30"/>
        </w:numPr>
        <w:spacing w:after="120"/>
        <w:jc w:val="both"/>
      </w:pPr>
      <w:r w:rsidRPr="00B10210">
        <w:t xml:space="preserve">nariadenie Rady (EÚ) č. </w:t>
      </w:r>
      <w:r w:rsidRPr="00B10210">
        <w:rPr>
          <w:u w:val="single"/>
        </w:rPr>
        <w:t>389/2012</w:t>
      </w:r>
      <w:r w:rsidRPr="00B10210">
        <w:t xml:space="preserve"> z 2. mája 2012 o administratívnej spolupráci v oblasti spotrebných daní a zrušení nariadenia ES č. 2073/2004 (</w:t>
      </w:r>
      <w:r w:rsidRPr="00B10210">
        <w:rPr>
          <w:rStyle w:val="Zvraznenie"/>
          <w:i w:val="0"/>
        </w:rPr>
        <w:t>Ú. v. EÚ L 121, 8.5.2012) v</w:t>
      </w:r>
      <w:r w:rsidR="00011D6C">
        <w:rPr>
          <w:rStyle w:val="Zvraznenie"/>
          <w:i w:val="0"/>
        </w:rPr>
        <w:t> </w:t>
      </w:r>
      <w:r w:rsidRPr="00B10210">
        <w:rPr>
          <w:rStyle w:val="Zvraznenie"/>
          <w:i w:val="0"/>
        </w:rPr>
        <w:t>platnom</w:t>
      </w:r>
      <w:r w:rsidR="00011D6C">
        <w:rPr>
          <w:rStyle w:val="Zvraznenie"/>
          <w:i w:val="0"/>
        </w:rPr>
        <w:t xml:space="preserve"> </w:t>
      </w:r>
      <w:r w:rsidRPr="00B10210">
        <w:rPr>
          <w:rStyle w:val="Zvraznenie"/>
          <w:i w:val="0"/>
        </w:rPr>
        <w:t xml:space="preserve">znení, </w:t>
      </w:r>
      <w:r w:rsidRPr="00B10210">
        <w:rPr>
          <w:rStyle w:val="Zvraznenie"/>
          <w:i w:val="0"/>
          <w:noProof/>
        </w:rPr>
        <w:t xml:space="preserve">gestor: </w:t>
      </w:r>
      <w:r w:rsidRPr="00B10210">
        <w:rPr>
          <w:noProof/>
        </w:rPr>
        <w:t>MF SR</w:t>
      </w:r>
      <w:r w:rsidRPr="00B10210">
        <w:rPr>
          <w:rStyle w:val="Zvraznenie"/>
          <w:i w:val="0"/>
        </w:rPr>
        <w:t>,</w:t>
      </w:r>
    </w:p>
    <w:p w:rsidR="00534FA2" w:rsidRPr="00B10210" w:rsidRDefault="00534FA2" w:rsidP="00534FA2">
      <w:pPr>
        <w:numPr>
          <w:ilvl w:val="0"/>
          <w:numId w:val="30"/>
        </w:numPr>
        <w:spacing w:after="120"/>
        <w:jc w:val="both"/>
        <w:rPr>
          <w:i/>
        </w:rPr>
      </w:pPr>
      <w:r w:rsidRPr="00B10210">
        <w:t xml:space="preserve">nariadenie Komisie (ES) č. </w:t>
      </w:r>
      <w:r w:rsidRPr="00B10210">
        <w:rPr>
          <w:u w:val="single"/>
        </w:rPr>
        <w:t>684/2009</w:t>
      </w:r>
      <w:r w:rsidRPr="00B10210">
        <w:t xml:space="preserve"> z 24. júla 2009, ktorým sa implementuje smernica Rady 2008/118/ES, pokiaľ ide o elektronické postupy pri preprave tovaru podliehajúceho spotrebnej dani v režime pozastavenia dane (Ú. v. EÚ L 197, 29.7.2009) v platnom znení, </w:t>
      </w:r>
      <w:r w:rsidRPr="00B10210">
        <w:rPr>
          <w:rStyle w:val="Zvraznenie"/>
          <w:i w:val="0"/>
          <w:noProof/>
        </w:rPr>
        <w:t xml:space="preserve">gestor: </w:t>
      </w:r>
      <w:r w:rsidRPr="00B10210">
        <w:rPr>
          <w:noProof/>
        </w:rPr>
        <w:t>MF SR</w:t>
      </w:r>
      <w:r w:rsidRPr="00B10210">
        <w:rPr>
          <w:rStyle w:val="Zvraznenie"/>
          <w:i w:val="0"/>
        </w:rPr>
        <w:t>,</w:t>
      </w:r>
    </w:p>
    <w:p w:rsidR="00534FA2" w:rsidRPr="00B10210" w:rsidRDefault="00534FA2" w:rsidP="00534FA2">
      <w:pPr>
        <w:numPr>
          <w:ilvl w:val="0"/>
          <w:numId w:val="30"/>
        </w:numPr>
        <w:spacing w:after="120"/>
        <w:jc w:val="both"/>
        <w:rPr>
          <w:rStyle w:val="Zvraznenie"/>
          <w:iCs w:val="0"/>
        </w:rPr>
      </w:pPr>
      <w:r w:rsidRPr="00B10210">
        <w:rPr>
          <w:shd w:val="clear" w:color="auto" w:fill="FFFFFF"/>
        </w:rPr>
        <w:t xml:space="preserve">nariadenie Komisie (ES) </w:t>
      </w:r>
      <w:r w:rsidRPr="00B10210">
        <w:rPr>
          <w:u w:val="single"/>
          <w:shd w:val="clear" w:color="auto" w:fill="FFFFFF"/>
        </w:rPr>
        <w:t>31/96</w:t>
      </w:r>
      <w:r w:rsidRPr="00B10210">
        <w:rPr>
          <w:shd w:val="clear" w:color="auto" w:fill="FFFFFF"/>
        </w:rPr>
        <w:t xml:space="preserve"> z 10. januára 1996 o osvedčení o oslobodení od spotrebnej dane (</w:t>
      </w:r>
      <w:r w:rsidRPr="00B10210">
        <w:rPr>
          <w:rStyle w:val="Zvraznenie"/>
          <w:i w:val="0"/>
          <w:shd w:val="clear" w:color="auto" w:fill="FFFFFF"/>
        </w:rPr>
        <w:t>Ú. v. ES L 8, 11.1.1996;</w:t>
      </w:r>
      <w:r w:rsidRPr="00B10210">
        <w:rPr>
          <w:rStyle w:val="Zvraznenie"/>
          <w:shd w:val="clear" w:color="auto" w:fill="FFFFFF"/>
        </w:rPr>
        <w:t xml:space="preserve"> </w:t>
      </w:r>
      <w:r w:rsidRPr="00B10210">
        <w:t xml:space="preserve">Mimoriadne vydanie </w:t>
      </w:r>
      <w:proofErr w:type="spellStart"/>
      <w:r w:rsidRPr="00B10210">
        <w:rPr>
          <w:snapToGrid w:val="0"/>
        </w:rPr>
        <w:t>Ú.v</w:t>
      </w:r>
      <w:proofErr w:type="spellEnd"/>
      <w:r w:rsidRPr="00B10210">
        <w:rPr>
          <w:snapToGrid w:val="0"/>
        </w:rPr>
        <w:t>.</w:t>
      </w:r>
      <w:r w:rsidRPr="00B10210">
        <w:rPr>
          <w:i/>
          <w:iCs/>
          <w:snapToGrid w:val="0"/>
        </w:rPr>
        <w:t xml:space="preserve"> </w:t>
      </w:r>
      <w:r w:rsidRPr="00B10210">
        <w:t xml:space="preserve">EÚ, kap. 9/ zv. 1), </w:t>
      </w:r>
      <w:r w:rsidRPr="00B10210">
        <w:rPr>
          <w:rStyle w:val="Zvraznenie"/>
          <w:i w:val="0"/>
          <w:noProof/>
        </w:rPr>
        <w:t>gestor: nebol určený,</w:t>
      </w:r>
    </w:p>
    <w:p w:rsidR="00534FA2" w:rsidRPr="00B10210" w:rsidRDefault="00534FA2" w:rsidP="00534FA2">
      <w:pPr>
        <w:numPr>
          <w:ilvl w:val="0"/>
          <w:numId w:val="30"/>
        </w:numPr>
        <w:spacing w:before="120" w:after="360"/>
        <w:jc w:val="both"/>
      </w:pPr>
      <w:r w:rsidRPr="00B10210">
        <w:rPr>
          <w:shd w:val="clear" w:color="auto" w:fill="FFFFFF"/>
        </w:rPr>
        <w:t xml:space="preserve">rozhodnutie Európskeho Parlamentu a Rady (EÚ) </w:t>
      </w:r>
      <w:r w:rsidRPr="00B10210">
        <w:rPr>
          <w:u w:val="single"/>
          <w:shd w:val="clear" w:color="auto" w:fill="FFFFFF"/>
        </w:rPr>
        <w:t>2020/263</w:t>
      </w:r>
      <w:r w:rsidRPr="00B10210">
        <w:rPr>
          <w:shd w:val="clear" w:color="auto" w:fill="FFFFFF"/>
        </w:rPr>
        <w:t xml:space="preserve"> z 15. januára 2020 o</w:t>
      </w:r>
      <w:r w:rsidR="00D5552B" w:rsidRPr="00B10210">
        <w:rPr>
          <w:shd w:val="clear" w:color="auto" w:fill="FFFFFF"/>
        </w:rPr>
        <w:t> </w:t>
      </w:r>
      <w:r w:rsidRPr="00B10210">
        <w:rPr>
          <w:shd w:val="clear" w:color="auto" w:fill="FFFFFF"/>
        </w:rPr>
        <w:t>informatizácii</w:t>
      </w:r>
      <w:r w:rsidR="00D5552B" w:rsidRPr="00B10210">
        <w:rPr>
          <w:shd w:val="clear" w:color="auto" w:fill="FFFFFF"/>
        </w:rPr>
        <w:t xml:space="preserve"> </w:t>
      </w:r>
      <w:r w:rsidRPr="00B10210">
        <w:rPr>
          <w:shd w:val="clear" w:color="auto" w:fill="FFFFFF"/>
        </w:rPr>
        <w:t>prepravy a kontroly tovaru podliehajúceho spotrebnej dani (prepracované znenie) (</w:t>
      </w:r>
      <w:r w:rsidRPr="00B10210">
        <w:rPr>
          <w:rStyle w:val="Zvraznenie"/>
          <w:i w:val="0"/>
          <w:shd w:val="clear" w:color="auto" w:fill="FFFFFF"/>
        </w:rPr>
        <w:t xml:space="preserve">Ú. v. EÚ L 58, 27.2.2020), </w:t>
      </w:r>
      <w:r w:rsidRPr="00B10210">
        <w:rPr>
          <w:rStyle w:val="Zvraznenie"/>
          <w:i w:val="0"/>
          <w:iCs w:val="0"/>
        </w:rPr>
        <w:t>gestor: zatiaľ nebol určený.</w:t>
      </w:r>
    </w:p>
    <w:p w:rsidR="00534FA2" w:rsidRPr="00B10210" w:rsidRDefault="00534FA2" w:rsidP="00534FA2">
      <w:pPr>
        <w:pStyle w:val="Zkladntext"/>
        <w:ind w:left="681" w:hanging="397"/>
        <w:jc w:val="both"/>
        <w:rPr>
          <w:b/>
        </w:rPr>
      </w:pPr>
      <w:r w:rsidRPr="00B10210">
        <w:rPr>
          <w:b/>
        </w:rPr>
        <w:t>c)</w:t>
      </w:r>
      <w:r w:rsidRPr="00B10210">
        <w:rPr>
          <w:b/>
        </w:rPr>
        <w:tab/>
        <w:t>Judikatúra Súdneho dvora Európskej únie:</w:t>
      </w:r>
    </w:p>
    <w:p w:rsidR="00534FA2" w:rsidRPr="00B10210" w:rsidRDefault="00534FA2" w:rsidP="00534FA2">
      <w:pPr>
        <w:pStyle w:val="Zkladntext"/>
        <w:numPr>
          <w:ilvl w:val="0"/>
          <w:numId w:val="30"/>
        </w:numPr>
        <w:autoSpaceDE w:val="0"/>
        <w:autoSpaceDN w:val="0"/>
        <w:jc w:val="both"/>
      </w:pPr>
      <w:r w:rsidRPr="00B10210">
        <w:rPr>
          <w:bCs/>
        </w:rPr>
        <w:t xml:space="preserve">rozhodnutie Súdneho dvora (druhá komora) vo veci C - 140/05, </w:t>
      </w:r>
      <w:proofErr w:type="spellStart"/>
      <w:r w:rsidRPr="00B10210">
        <w:rPr>
          <w:bCs/>
        </w:rPr>
        <w:t>Amalia</w:t>
      </w:r>
      <w:proofErr w:type="spellEnd"/>
      <w:r w:rsidRPr="00B10210">
        <w:rPr>
          <w:bCs/>
        </w:rPr>
        <w:t xml:space="preserve"> </w:t>
      </w:r>
      <w:proofErr w:type="spellStart"/>
      <w:r w:rsidRPr="00B10210">
        <w:rPr>
          <w:bCs/>
        </w:rPr>
        <w:t>Valeško</w:t>
      </w:r>
      <w:proofErr w:type="spellEnd"/>
      <w:r w:rsidRPr="00B10210">
        <w:rPr>
          <w:bCs/>
        </w:rPr>
        <w:t xml:space="preserve"> proti </w:t>
      </w:r>
      <w:proofErr w:type="spellStart"/>
      <w:r w:rsidRPr="00B10210">
        <w:rPr>
          <w:bCs/>
        </w:rPr>
        <w:t>Zollamt</w:t>
      </w:r>
      <w:proofErr w:type="spellEnd"/>
      <w:r w:rsidRPr="00B10210">
        <w:rPr>
          <w:bCs/>
        </w:rPr>
        <w:t xml:space="preserve"> </w:t>
      </w:r>
      <w:proofErr w:type="spellStart"/>
      <w:r w:rsidRPr="00B10210">
        <w:rPr>
          <w:bCs/>
        </w:rPr>
        <w:t>Klagenfurt</w:t>
      </w:r>
      <w:proofErr w:type="spellEnd"/>
      <w:r w:rsidRPr="00B10210">
        <w:rPr>
          <w:bCs/>
        </w:rPr>
        <w:t>, [2006].</w:t>
      </w:r>
    </w:p>
    <w:p w:rsidR="00534FA2" w:rsidRPr="00B10210" w:rsidRDefault="00534FA2" w:rsidP="00534FA2">
      <w:pPr>
        <w:pStyle w:val="Zkladntext"/>
        <w:autoSpaceDE w:val="0"/>
        <w:autoSpaceDN w:val="0"/>
        <w:ind w:left="660"/>
        <w:jc w:val="both"/>
      </w:pPr>
      <w:r w:rsidRPr="00B10210">
        <w:rPr>
          <w:bCs/>
        </w:rPr>
        <w:t>Výrok rozhodnutia:</w:t>
      </w:r>
    </w:p>
    <w:p w:rsidR="00534FA2" w:rsidRPr="00B10210" w:rsidRDefault="00534FA2" w:rsidP="00534FA2">
      <w:pPr>
        <w:pStyle w:val="c08dispositif"/>
        <w:spacing w:after="240" w:afterAutospacing="0"/>
        <w:ind w:left="660"/>
        <w:jc w:val="both"/>
        <w:rPr>
          <w:bCs/>
        </w:rPr>
      </w:pPr>
      <w:r w:rsidRPr="00B10210">
        <w:rPr>
          <w:bCs/>
        </w:rPr>
        <w:t>1. Bod 6 ods. 2 prílohy XIII Aktu o podmienkach pristúpenia Českej republiky, Estónskej republiky, Cyperskej republiky, Lotyšskej republiky, Litovskej republiky, Maďarskej republiky, Maltskej republiky, Poľskej republiky, Slovinskej republiky a Slovenskej republiky a o úpravách zmlúv, na ktorých je založená Európska únia, sa má vykladať tak, že mu neodporuje to, aby Rakúska republika prechodne zachovala svoju právnu úpravu týkajúcu sa oslobodenia od spotrebnej dane obmedzeného na 25 kusov pre cigarety pochádzajúce zo Slovinska, dovezené na územie Rakúskej republiky v osobnej batožine cestujúcich, ktorí majú bydlisko v Rakúskej republike a vstupujú priamo na jej územie cez pozemnú hranicu alebo vnútrozemské vody tohto členského štátu.</w:t>
      </w:r>
    </w:p>
    <w:p w:rsidR="00534FA2" w:rsidRPr="00B10210" w:rsidRDefault="00534FA2" w:rsidP="00534FA2">
      <w:pPr>
        <w:pStyle w:val="c08dispositif"/>
        <w:spacing w:after="240" w:afterAutospacing="0"/>
        <w:ind w:left="660"/>
        <w:jc w:val="both"/>
        <w:rPr>
          <w:bCs/>
        </w:rPr>
      </w:pPr>
      <w:r w:rsidRPr="00B10210">
        <w:rPr>
          <w:bCs/>
        </w:rPr>
        <w:t xml:space="preserve">2. Články 23 ES, 25 ES a 26 ES sa majú vykladať tak, že im neodporuje vnútroštátna právna úprava, akou je právna úprava sporná v konaní vo veci samej, podľa ktorej je oslobodenie od spotrebnej dane obmedzené na 25 kusov pre cigarety dovážané v osobnej batožine cestujúcich pri vstupe na územie Rakúskej republiky z niektorých iných členských štátov, najmä Slovinskej republiky, bez ohľadu na skutočnosť, že v dôsledku posledného rozšírenia Únie sa už toto obmedzené oslobodenie od spotrebnej dane neuplatňuje na žiadny tretí štát s jedinou výnimkou švajčiarskeho slobodného colného pásma </w:t>
      </w:r>
      <w:proofErr w:type="spellStart"/>
      <w:r w:rsidRPr="00B10210">
        <w:rPr>
          <w:bCs/>
        </w:rPr>
        <w:t>Samnauntal</w:t>
      </w:r>
      <w:proofErr w:type="spellEnd"/>
      <w:r w:rsidRPr="00B10210">
        <w:rPr>
          <w:bCs/>
        </w:rPr>
        <w:t xml:space="preserve"> a že pri dovozoch cigariet pochádzajúcich z tretích krajín sa vo všeobecnosti oslobodenie od spotrebnej dane vzťahuje na</w:t>
      </w:r>
      <w:r w:rsidR="00D5552B" w:rsidRPr="00B10210">
        <w:rPr>
          <w:bCs/>
        </w:rPr>
        <w:t xml:space="preserve"> </w:t>
      </w:r>
      <w:r w:rsidRPr="00B10210">
        <w:rPr>
          <w:bCs/>
        </w:rPr>
        <w:t>200 kusov.</w:t>
      </w:r>
    </w:p>
    <w:p w:rsidR="00534FA2" w:rsidRPr="00B10210" w:rsidRDefault="00534FA2" w:rsidP="00534FA2">
      <w:pPr>
        <w:pStyle w:val="Zkladntext"/>
        <w:numPr>
          <w:ilvl w:val="0"/>
          <w:numId w:val="30"/>
        </w:numPr>
        <w:autoSpaceDE w:val="0"/>
        <w:autoSpaceDN w:val="0"/>
        <w:jc w:val="both"/>
        <w:rPr>
          <w:rStyle w:val="Zvraznenie"/>
          <w:i w:val="0"/>
          <w:iCs w:val="0"/>
        </w:rPr>
      </w:pPr>
      <w:r w:rsidRPr="00B10210">
        <w:rPr>
          <w:bCs/>
        </w:rPr>
        <w:lastRenderedPageBreak/>
        <w:t xml:space="preserve">rozhodnutie Súdneho dvora (prvá komora) vo veci C - 64/15, BP </w:t>
      </w:r>
      <w:proofErr w:type="spellStart"/>
      <w:r w:rsidRPr="00B10210">
        <w:rPr>
          <w:bCs/>
        </w:rPr>
        <w:t>Europa</w:t>
      </w:r>
      <w:proofErr w:type="spellEnd"/>
      <w:r w:rsidRPr="00B10210">
        <w:rPr>
          <w:bCs/>
        </w:rPr>
        <w:t xml:space="preserve"> SE proti </w:t>
      </w:r>
      <w:proofErr w:type="spellStart"/>
      <w:r w:rsidRPr="00B10210">
        <w:rPr>
          <w:bCs/>
        </w:rPr>
        <w:t>Hauptzollamt</w:t>
      </w:r>
      <w:proofErr w:type="spellEnd"/>
      <w:r w:rsidRPr="00B10210">
        <w:rPr>
          <w:bCs/>
        </w:rPr>
        <w:t xml:space="preserve"> Hamburg</w:t>
      </w:r>
      <w:r w:rsidRPr="00B10210">
        <w:rPr>
          <w:bCs/>
        </w:rPr>
        <w:noBreakHyphen/>
      </w:r>
      <w:proofErr w:type="spellStart"/>
      <w:r w:rsidRPr="00B10210">
        <w:rPr>
          <w:bCs/>
        </w:rPr>
        <w:t>Stadt</w:t>
      </w:r>
      <w:proofErr w:type="spellEnd"/>
      <w:r w:rsidRPr="00B10210">
        <w:rPr>
          <w:bCs/>
        </w:rPr>
        <w:t>, [</w:t>
      </w:r>
      <w:r w:rsidRPr="00B10210">
        <w:rPr>
          <w:rStyle w:val="Zvraznenie"/>
          <w:i w:val="0"/>
        </w:rPr>
        <w:t>2016].</w:t>
      </w:r>
    </w:p>
    <w:p w:rsidR="00534FA2" w:rsidRPr="00B10210" w:rsidRDefault="00534FA2" w:rsidP="00534FA2">
      <w:pPr>
        <w:pStyle w:val="Zkladntext"/>
        <w:autoSpaceDE w:val="0"/>
        <w:autoSpaceDN w:val="0"/>
        <w:ind w:left="660"/>
        <w:jc w:val="both"/>
      </w:pPr>
      <w:r w:rsidRPr="00B10210">
        <w:rPr>
          <w:bCs/>
        </w:rPr>
        <w:t>Výrok rozhodnutia:</w:t>
      </w:r>
    </w:p>
    <w:p w:rsidR="00534FA2" w:rsidRPr="00B10210" w:rsidRDefault="00534FA2" w:rsidP="00534FA2">
      <w:pPr>
        <w:pStyle w:val="c08dispositif"/>
        <w:tabs>
          <w:tab w:val="left" w:pos="993"/>
        </w:tabs>
        <w:spacing w:after="240" w:afterAutospacing="0"/>
        <w:ind w:left="660"/>
        <w:jc w:val="both"/>
        <w:rPr>
          <w:bCs/>
        </w:rPr>
      </w:pPr>
      <w:r w:rsidRPr="00B10210">
        <w:rPr>
          <w:bCs/>
        </w:rPr>
        <w:t>1. Článok 20 ods. 2 smernice Rady </w:t>
      </w:r>
      <w:bookmarkStart w:id="0" w:name="ctx46"/>
      <w:r w:rsidRPr="00B10210">
        <w:rPr>
          <w:bCs/>
        </w:rPr>
        <w:t>2008/118</w:t>
      </w:r>
      <w:bookmarkEnd w:id="0"/>
      <w:r w:rsidRPr="00B10210">
        <w:rPr>
          <w:bCs/>
        </w:rPr>
        <w:t>/ES zo 16. decembra 2008 o všeobecnom systéme spotrebných daní a o zrušení smernice 92/12/EHS sa má vykladať v tom zmysle, že preprava tovaru podliehajúceho spotrebnej dani v režime pozastavenia dane v zmysle tohto ustanovenia v situácii, ako je situácia v konaní vo veci samej, končí v čase, keď príjemca tohto tovaru pri ukončení úplnej vykládky dopravného prostriedku obsahujúceho predmetný tovar konštatuje, že chýba určité množstvo tohto tovaru v porovnaní s množstvom, ktoré sa mu malo dodať.</w:t>
      </w:r>
    </w:p>
    <w:p w:rsidR="00534FA2" w:rsidRPr="00B10210" w:rsidRDefault="00534FA2" w:rsidP="00534FA2">
      <w:pPr>
        <w:pStyle w:val="c08dispositif"/>
        <w:tabs>
          <w:tab w:val="left" w:pos="993"/>
        </w:tabs>
        <w:spacing w:after="240" w:afterAutospacing="0"/>
        <w:ind w:left="660"/>
        <w:jc w:val="both"/>
        <w:rPr>
          <w:bCs/>
        </w:rPr>
      </w:pPr>
      <w:r w:rsidRPr="00B10210">
        <w:rPr>
          <w:bCs/>
        </w:rPr>
        <w:t>2. Spojené ustanovenia článku 7 ods. 2 písm. a) a článku 10 ods. 2 smernice </w:t>
      </w:r>
      <w:bookmarkStart w:id="1" w:name="ctx47"/>
      <w:r w:rsidRPr="00B10210">
        <w:rPr>
          <w:bCs/>
        </w:rPr>
        <w:t>2008/118</w:t>
      </w:r>
      <w:bookmarkEnd w:id="1"/>
      <w:r w:rsidRPr="00B10210">
        <w:rPr>
          <w:bCs/>
        </w:rPr>
        <w:t> sa majú vykladať v tom zmysle, že:</w:t>
      </w:r>
    </w:p>
    <w:p w:rsidR="00534FA2" w:rsidRPr="00B10210" w:rsidRDefault="00534FA2" w:rsidP="00534FA2">
      <w:pPr>
        <w:pStyle w:val="c31dispositiftiretlong"/>
        <w:spacing w:after="240" w:afterAutospacing="0"/>
        <w:ind w:left="660"/>
        <w:jc w:val="both"/>
        <w:rPr>
          <w:bCs/>
        </w:rPr>
      </w:pPr>
      <w:r w:rsidRPr="00B10210">
        <w:rPr>
          <w:bCs/>
        </w:rPr>
        <w:t>– situácie, ktoré upravujú, sa odlišujú od situácie upravenej článkom 7 ods. 4 tejto smernice a</w:t>
      </w:r>
    </w:p>
    <w:p w:rsidR="00534FA2" w:rsidRPr="00B10210" w:rsidRDefault="00534FA2" w:rsidP="00534FA2">
      <w:pPr>
        <w:pStyle w:val="c31dispositiftiretlong"/>
        <w:spacing w:after="240" w:afterAutospacing="0"/>
        <w:ind w:left="660"/>
        <w:jc w:val="both"/>
        <w:rPr>
          <w:bCs/>
        </w:rPr>
      </w:pPr>
      <w:r w:rsidRPr="00B10210">
        <w:rPr>
          <w:bCs/>
        </w:rPr>
        <w:t>– okolnosť, že vnútroštátne ustanovenie preberajúce článok 10 ods. 2 smernice </w:t>
      </w:r>
      <w:bookmarkStart w:id="2" w:name="ctx48"/>
      <w:r w:rsidRPr="00B10210">
        <w:rPr>
          <w:bCs/>
        </w:rPr>
        <w:t>2008/118</w:t>
      </w:r>
      <w:bookmarkEnd w:id="2"/>
      <w:r w:rsidRPr="00B10210">
        <w:rPr>
          <w:bCs/>
        </w:rPr>
        <w:t>, ako je ustanovenie sporné v konaní vo veci samej, výslovne neuvádza, že nezrovnalosť, ktorú toto ustanovenie smernice upravuje, musí mať za následok uvedenie predmetného tovaru do daňového voľného obehu, nemôže brániť uplatneniu tohto vnútroštátneho ustanovenia pri konštatovaní chýbajúceho množstva, pri ktorom sa nevyhnutne predpokladá takéto uvedenie do daňového voľného obehu.</w:t>
      </w:r>
    </w:p>
    <w:p w:rsidR="00534FA2" w:rsidRPr="00B10210" w:rsidRDefault="00534FA2" w:rsidP="00534FA2">
      <w:pPr>
        <w:pStyle w:val="c08dispositif"/>
        <w:tabs>
          <w:tab w:val="left" w:pos="1134"/>
        </w:tabs>
        <w:spacing w:after="240" w:afterAutospacing="0"/>
        <w:ind w:left="709"/>
        <w:jc w:val="both"/>
        <w:rPr>
          <w:bCs/>
        </w:rPr>
      </w:pPr>
      <w:r w:rsidRPr="00B10210">
        <w:rPr>
          <w:bCs/>
        </w:rPr>
        <w:t>3. Článok 10 ods. 4 smernice </w:t>
      </w:r>
      <w:bookmarkStart w:id="3" w:name="ctx49"/>
      <w:r w:rsidRPr="00B10210">
        <w:rPr>
          <w:bCs/>
        </w:rPr>
        <w:t>2008/118</w:t>
      </w:r>
      <w:bookmarkEnd w:id="3"/>
      <w:r w:rsidRPr="00B10210">
        <w:rPr>
          <w:bCs/>
        </w:rPr>
        <w:t> sa má vykladať v tom zmysle, že sa uplatňuje, nielen keď na miesto určenia nedorazí všetok tovar prepravovaný v režime pozastavenia dane, alebo tiež v prípade, ak na miesto určenia nedorazí len časť tohto tovaru.</w:t>
      </w:r>
    </w:p>
    <w:p w:rsidR="00534FA2" w:rsidRPr="00B10210" w:rsidRDefault="00534FA2" w:rsidP="00534FA2">
      <w:pPr>
        <w:pStyle w:val="Zkladntext"/>
        <w:numPr>
          <w:ilvl w:val="0"/>
          <w:numId w:val="30"/>
        </w:numPr>
        <w:autoSpaceDE w:val="0"/>
        <w:autoSpaceDN w:val="0"/>
        <w:jc w:val="both"/>
        <w:rPr>
          <w:rStyle w:val="Zvraznenie"/>
          <w:i w:val="0"/>
          <w:iCs w:val="0"/>
        </w:rPr>
      </w:pPr>
      <w:r w:rsidRPr="00B10210">
        <w:rPr>
          <w:bCs/>
        </w:rPr>
        <w:t xml:space="preserve">rozhodnutie Súdneho dvora (prvá komora) vo veci </w:t>
      </w:r>
      <w:r w:rsidRPr="00B10210">
        <w:t>C</w:t>
      </w:r>
      <w:r w:rsidRPr="00B10210">
        <w:noBreakHyphen/>
        <w:t>165/13</w:t>
      </w:r>
      <w:r w:rsidRPr="00B10210">
        <w:rPr>
          <w:bCs/>
        </w:rPr>
        <w:t xml:space="preserve">, Stanislav </w:t>
      </w:r>
      <w:proofErr w:type="spellStart"/>
      <w:r w:rsidRPr="00B10210">
        <w:rPr>
          <w:bCs/>
        </w:rPr>
        <w:t>Gross</w:t>
      </w:r>
      <w:proofErr w:type="spellEnd"/>
      <w:r w:rsidRPr="00B10210">
        <w:rPr>
          <w:bCs/>
        </w:rPr>
        <w:t xml:space="preserve"> proti </w:t>
      </w:r>
      <w:proofErr w:type="spellStart"/>
      <w:r w:rsidRPr="00B10210">
        <w:rPr>
          <w:bCs/>
        </w:rPr>
        <w:t>Hauptzollamt</w:t>
      </w:r>
      <w:proofErr w:type="spellEnd"/>
      <w:r w:rsidRPr="00B10210">
        <w:rPr>
          <w:bCs/>
        </w:rPr>
        <w:t xml:space="preserve"> </w:t>
      </w:r>
      <w:proofErr w:type="spellStart"/>
      <w:r w:rsidRPr="00B10210">
        <w:rPr>
          <w:bCs/>
        </w:rPr>
        <w:t>Braunschweig</w:t>
      </w:r>
      <w:proofErr w:type="spellEnd"/>
      <w:r w:rsidRPr="00B10210">
        <w:rPr>
          <w:bCs/>
        </w:rPr>
        <w:t>, [</w:t>
      </w:r>
      <w:r w:rsidRPr="00B10210">
        <w:rPr>
          <w:rStyle w:val="Zvraznenie"/>
          <w:i w:val="0"/>
        </w:rPr>
        <w:t>2014].</w:t>
      </w:r>
    </w:p>
    <w:p w:rsidR="00534FA2" w:rsidRPr="00B10210" w:rsidRDefault="00534FA2" w:rsidP="00534FA2">
      <w:pPr>
        <w:pStyle w:val="Zkladntext"/>
        <w:autoSpaceDE w:val="0"/>
        <w:autoSpaceDN w:val="0"/>
        <w:ind w:left="660"/>
        <w:jc w:val="both"/>
      </w:pPr>
      <w:r w:rsidRPr="00B10210">
        <w:rPr>
          <w:bCs/>
        </w:rPr>
        <w:t>Výrok rozhodnutia:</w:t>
      </w:r>
    </w:p>
    <w:p w:rsidR="00534FA2" w:rsidRPr="00B10210" w:rsidRDefault="00534FA2" w:rsidP="00534FA2">
      <w:pPr>
        <w:pStyle w:val="c08dispositif"/>
        <w:spacing w:after="240" w:afterAutospacing="0"/>
        <w:ind w:left="709"/>
        <w:jc w:val="both"/>
        <w:rPr>
          <w:bCs/>
        </w:rPr>
      </w:pPr>
      <w:r w:rsidRPr="00B10210">
        <w:rPr>
          <w:bCs/>
        </w:rPr>
        <w:t>Článok 9 ods. 1 smernice Rady 92/12/EHS z 25. februára 1992 o všeobecných systémoch pre výrobky podliehajúce spotrebnej dani a o vlastníctve, pohybe a monitorovaní takýchto výrobkov, zmenenej a doplnenej smernicou Rady 92/108/EHS zo 14. decembra 1992, v spojení s článkom 7 tejto smernice sa má vykladať v tom zmysle, že toto ustanovenie umožňuje, aby členský štát označil za platiteľa spotrebnej dane osobu, ktorá má v držbe na daňovom území tohto štátu na komerčné účely výrobky podliehajúce spotrebnej dani uvoľnené na spotrebu v inom členskom štáte, za okolností, akými sú okolnosti sporu vo veci samej, aj keď táto osoba nebola v členskom štáte určenia prvým držiteľom týchto výrobkov.</w:t>
      </w:r>
    </w:p>
    <w:p w:rsidR="00534FA2" w:rsidRPr="00B10210" w:rsidRDefault="00534FA2" w:rsidP="00534FA2">
      <w:pPr>
        <w:pStyle w:val="Zkladntext1"/>
        <w:tabs>
          <w:tab w:val="left" w:pos="284"/>
        </w:tabs>
        <w:spacing w:before="120" w:after="120"/>
        <w:ind w:left="3"/>
        <w:jc w:val="both"/>
        <w:rPr>
          <w:b/>
          <w:bCs/>
          <w:color w:val="auto"/>
          <w:sz w:val="24"/>
          <w:szCs w:val="24"/>
        </w:rPr>
      </w:pPr>
      <w:r w:rsidRPr="00B10210">
        <w:rPr>
          <w:b/>
          <w:bCs/>
          <w:color w:val="auto"/>
          <w:sz w:val="24"/>
          <w:szCs w:val="24"/>
        </w:rPr>
        <w:t>4.</w:t>
      </w:r>
      <w:r w:rsidRPr="00B10210">
        <w:rPr>
          <w:b/>
          <w:bCs/>
          <w:color w:val="auto"/>
          <w:sz w:val="24"/>
          <w:szCs w:val="24"/>
        </w:rPr>
        <w:tab/>
        <w:t>Záväzky Slovenskej republiky vo vzťahu k Európskej únii:</w:t>
      </w:r>
    </w:p>
    <w:p w:rsidR="00534FA2" w:rsidRPr="00B10210" w:rsidRDefault="00534FA2" w:rsidP="00534FA2">
      <w:pPr>
        <w:pStyle w:val="Odsekzoznamu"/>
        <w:numPr>
          <w:ilvl w:val="1"/>
          <w:numId w:val="32"/>
        </w:numPr>
        <w:spacing w:line="259" w:lineRule="auto"/>
        <w:jc w:val="both"/>
        <w:rPr>
          <w:rFonts w:ascii="Times New Roman" w:hAnsi="Times New Roman"/>
          <w:bCs/>
          <w:sz w:val="24"/>
          <w:szCs w:val="24"/>
          <w:lang w:eastAsia="sk-SK"/>
        </w:rPr>
      </w:pPr>
      <w:r w:rsidRPr="00B10210">
        <w:rPr>
          <w:rFonts w:ascii="Times New Roman" w:hAnsi="Times New Roman"/>
          <w:bCs/>
          <w:sz w:val="24"/>
          <w:szCs w:val="24"/>
          <w:lang w:eastAsia="sk-SK"/>
        </w:rPr>
        <w:t>Lehota na prebratie smernice (EÚ) 2020/262 je stanovená do 31. decembra 2021.</w:t>
      </w:r>
    </w:p>
    <w:p w:rsidR="00534FA2" w:rsidRPr="00B10210" w:rsidRDefault="00534FA2" w:rsidP="00534FA2">
      <w:pPr>
        <w:pStyle w:val="Odsekzoznamu"/>
        <w:jc w:val="both"/>
        <w:rPr>
          <w:rFonts w:ascii="Times New Roman" w:hAnsi="Times New Roman"/>
          <w:bCs/>
          <w:sz w:val="24"/>
          <w:szCs w:val="24"/>
          <w:lang w:eastAsia="sk-SK"/>
        </w:rPr>
      </w:pPr>
      <w:r w:rsidRPr="00B10210">
        <w:rPr>
          <w:rFonts w:ascii="Times New Roman" w:hAnsi="Times New Roman"/>
          <w:bCs/>
          <w:sz w:val="24"/>
          <w:szCs w:val="24"/>
          <w:lang w:eastAsia="sk-SK"/>
        </w:rPr>
        <w:t>Lehota na prebratie smernice (EÚ) 2019/475 bola stanovená do 31. decembra 2019.</w:t>
      </w:r>
    </w:p>
    <w:p w:rsidR="00534FA2" w:rsidRPr="00B10210" w:rsidRDefault="00534FA2" w:rsidP="00534FA2">
      <w:pPr>
        <w:pStyle w:val="Odsekzoznamu"/>
        <w:jc w:val="both"/>
        <w:rPr>
          <w:rFonts w:ascii="Times New Roman" w:hAnsi="Times New Roman"/>
          <w:bCs/>
          <w:sz w:val="24"/>
          <w:szCs w:val="24"/>
          <w:lang w:eastAsia="sk-SK"/>
        </w:rPr>
      </w:pPr>
      <w:r w:rsidRPr="00B10210">
        <w:rPr>
          <w:rFonts w:ascii="Times New Roman" w:hAnsi="Times New Roman"/>
          <w:bCs/>
          <w:sz w:val="24"/>
          <w:szCs w:val="24"/>
          <w:lang w:eastAsia="sk-SK"/>
        </w:rPr>
        <w:t>Lehota na prebratie smernice (EÚ) 2019/2235 je stanovená do 30. júna 2022.</w:t>
      </w:r>
    </w:p>
    <w:p w:rsidR="00534FA2" w:rsidRPr="00B10210" w:rsidRDefault="00534FA2" w:rsidP="00534FA2">
      <w:pPr>
        <w:pStyle w:val="Odsekzoznamu"/>
        <w:jc w:val="both"/>
        <w:rPr>
          <w:rFonts w:ascii="Times New Roman" w:hAnsi="Times New Roman"/>
          <w:bCs/>
          <w:sz w:val="24"/>
          <w:szCs w:val="24"/>
          <w:lang w:eastAsia="sk-SK"/>
        </w:rPr>
      </w:pPr>
      <w:r w:rsidRPr="00B10210">
        <w:rPr>
          <w:rFonts w:ascii="Times New Roman" w:hAnsi="Times New Roman"/>
          <w:bCs/>
          <w:sz w:val="24"/>
          <w:szCs w:val="24"/>
          <w:lang w:eastAsia="sk-SK"/>
        </w:rPr>
        <w:t>Lehota na prebratie smernice 2011/64/EÚ: ide o kodifikované znenie pričom termíny prebratia vyplývajú z pôvodných smerníc.</w:t>
      </w:r>
    </w:p>
    <w:p w:rsidR="00534FA2" w:rsidRPr="00B10210" w:rsidRDefault="00534FA2" w:rsidP="00534FA2">
      <w:pPr>
        <w:pStyle w:val="Odsekzoznamu"/>
        <w:jc w:val="both"/>
        <w:rPr>
          <w:rFonts w:ascii="Times New Roman" w:hAnsi="Times New Roman"/>
          <w:bCs/>
          <w:sz w:val="24"/>
          <w:szCs w:val="24"/>
          <w:lang w:eastAsia="sk-SK"/>
        </w:rPr>
      </w:pPr>
    </w:p>
    <w:p w:rsidR="00534FA2" w:rsidRPr="00B10210" w:rsidRDefault="00534FA2" w:rsidP="00534FA2">
      <w:pPr>
        <w:pStyle w:val="Odsekzoznamu"/>
        <w:numPr>
          <w:ilvl w:val="1"/>
          <w:numId w:val="32"/>
        </w:numPr>
        <w:spacing w:line="259" w:lineRule="auto"/>
        <w:jc w:val="both"/>
        <w:rPr>
          <w:rFonts w:ascii="Times New Roman" w:hAnsi="Times New Roman"/>
          <w:sz w:val="24"/>
          <w:szCs w:val="24"/>
          <w:lang w:eastAsia="sk-SK"/>
        </w:rPr>
      </w:pPr>
      <w:r w:rsidRPr="00B10210">
        <w:rPr>
          <w:rFonts w:ascii="Times New Roman" w:hAnsi="Times New Roman"/>
          <w:sz w:val="24"/>
          <w:szCs w:val="24"/>
          <w:lang w:eastAsia="sk-SK"/>
        </w:rPr>
        <w:t xml:space="preserve">Proti SR bolo začaté konanie o porušení Zmluvy o fungovaní Európskej únie podľa </w:t>
      </w:r>
      <w:r w:rsidR="00011D6C">
        <w:rPr>
          <w:rFonts w:ascii="Times New Roman" w:hAnsi="Times New Roman"/>
          <w:sz w:val="24"/>
          <w:szCs w:val="24"/>
          <w:lang w:eastAsia="sk-SK"/>
        </w:rPr>
        <w:t xml:space="preserve">     </w:t>
      </w:r>
      <w:r w:rsidRPr="00B10210">
        <w:rPr>
          <w:rFonts w:ascii="Times New Roman" w:hAnsi="Times New Roman"/>
          <w:sz w:val="24"/>
          <w:szCs w:val="24"/>
          <w:lang w:eastAsia="sk-SK"/>
        </w:rPr>
        <w:t>čl. 258 až 260 a to:</w:t>
      </w:r>
    </w:p>
    <w:p w:rsidR="00534FA2" w:rsidRPr="00B10210" w:rsidRDefault="00534FA2" w:rsidP="00534FA2">
      <w:pPr>
        <w:pStyle w:val="Odsekzoznamu"/>
        <w:ind w:left="709"/>
        <w:jc w:val="both"/>
        <w:rPr>
          <w:rFonts w:ascii="Times New Roman" w:hAnsi="Times New Roman"/>
          <w:sz w:val="24"/>
          <w:szCs w:val="24"/>
          <w:lang w:eastAsia="sk-SK"/>
        </w:rPr>
      </w:pPr>
      <w:r w:rsidRPr="00B10210">
        <w:rPr>
          <w:rFonts w:ascii="Times New Roman" w:hAnsi="Times New Roman"/>
          <w:sz w:val="24"/>
          <w:szCs w:val="24"/>
          <w:lang w:eastAsia="sk-SK"/>
        </w:rPr>
        <w:t>- konanie č. 2020/116 v súvislosti s nesplnením si povinnosti vyplývajúcej zo smernice Rady (EÚ) 2019/475</w:t>
      </w:r>
    </w:p>
    <w:p w:rsidR="00534FA2" w:rsidRPr="00B10210" w:rsidRDefault="00534FA2" w:rsidP="00534FA2">
      <w:pPr>
        <w:pStyle w:val="Odsekzoznamu"/>
        <w:ind w:left="709"/>
        <w:jc w:val="both"/>
        <w:rPr>
          <w:rFonts w:ascii="Times New Roman" w:hAnsi="Times New Roman"/>
          <w:sz w:val="24"/>
          <w:szCs w:val="24"/>
          <w:lang w:eastAsia="sk-SK"/>
        </w:rPr>
      </w:pPr>
      <w:r w:rsidRPr="00B10210">
        <w:rPr>
          <w:rFonts w:ascii="Times New Roman" w:hAnsi="Times New Roman"/>
          <w:sz w:val="24"/>
          <w:szCs w:val="24"/>
          <w:lang w:eastAsia="sk-SK"/>
        </w:rPr>
        <w:t>- formálna výzva Slovenskej republike listom SG(2020)D/721 zo dňa 15. júna 2020</w:t>
      </w:r>
      <w:r w:rsidR="00B82B1D" w:rsidRPr="00B10210">
        <w:rPr>
          <w:rFonts w:ascii="Times New Roman" w:hAnsi="Times New Roman"/>
          <w:sz w:val="24"/>
          <w:szCs w:val="24"/>
          <w:lang w:eastAsia="sk-SK"/>
        </w:rPr>
        <w:t>.</w:t>
      </w:r>
    </w:p>
    <w:p w:rsidR="00534FA2" w:rsidRPr="00B10210" w:rsidRDefault="00534FA2" w:rsidP="00534FA2">
      <w:pPr>
        <w:pStyle w:val="Zkladntext0"/>
        <w:numPr>
          <w:ilvl w:val="1"/>
          <w:numId w:val="32"/>
        </w:numPr>
        <w:autoSpaceDE/>
        <w:autoSpaceDN/>
        <w:spacing w:after="120"/>
        <w:jc w:val="both"/>
        <w:rPr>
          <w:rFonts w:ascii="Times New Roman" w:hAnsi="Times New Roman" w:cs="Times New Roman"/>
          <w:color w:val="auto"/>
        </w:rPr>
      </w:pPr>
      <w:r w:rsidRPr="00B10210">
        <w:rPr>
          <w:rFonts w:ascii="Times New Roman" w:hAnsi="Times New Roman" w:cs="Times New Roman"/>
          <w:bCs/>
          <w:color w:val="auto"/>
        </w:rPr>
        <w:t>Smernica 2011/64/EÚ</w:t>
      </w:r>
      <w:r w:rsidRPr="00B10210">
        <w:rPr>
          <w:rFonts w:ascii="Times New Roman" w:hAnsi="Times New Roman" w:cs="Times New Roman"/>
          <w:color w:val="auto"/>
        </w:rPr>
        <w:t xml:space="preserve"> bola prebratá do zákona č. 106/2004 Z. z. o spotrebnej dani z tabakových výrobkov v znení neskorších predpisov.</w:t>
      </w:r>
    </w:p>
    <w:p w:rsidR="00534FA2" w:rsidRPr="00B10210" w:rsidRDefault="00534FA2" w:rsidP="00534FA2">
      <w:pPr>
        <w:pStyle w:val="Zkladntext0"/>
        <w:spacing w:after="120"/>
        <w:jc w:val="both"/>
        <w:rPr>
          <w:color w:val="auto"/>
        </w:rPr>
      </w:pPr>
    </w:p>
    <w:p w:rsidR="00534FA2" w:rsidRPr="00B10210" w:rsidRDefault="00534FA2" w:rsidP="00534FA2">
      <w:pPr>
        <w:pStyle w:val="Zkladntext1"/>
        <w:tabs>
          <w:tab w:val="left" w:pos="284"/>
        </w:tabs>
        <w:spacing w:before="120"/>
        <w:ind w:firstLine="11"/>
        <w:jc w:val="both"/>
        <w:rPr>
          <w:b/>
          <w:color w:val="auto"/>
          <w:sz w:val="24"/>
          <w:szCs w:val="24"/>
        </w:rPr>
      </w:pPr>
      <w:r w:rsidRPr="00B10210">
        <w:rPr>
          <w:b/>
          <w:color w:val="auto"/>
          <w:sz w:val="24"/>
          <w:szCs w:val="24"/>
        </w:rPr>
        <w:t>5.</w:t>
      </w:r>
      <w:r w:rsidRPr="00B10210">
        <w:rPr>
          <w:b/>
          <w:color w:val="auto"/>
          <w:sz w:val="24"/>
          <w:szCs w:val="24"/>
        </w:rPr>
        <w:tab/>
        <w:t>Návrh zákona je zlučiteľný s právom Európskej únie:</w:t>
      </w:r>
    </w:p>
    <w:p w:rsidR="00534FA2" w:rsidRPr="00B10210" w:rsidRDefault="00534FA2" w:rsidP="00534FA2">
      <w:pPr>
        <w:pStyle w:val="Zkladntext1"/>
        <w:spacing w:before="120"/>
        <w:ind w:left="284"/>
        <w:jc w:val="both"/>
        <w:rPr>
          <w:color w:val="auto"/>
          <w:sz w:val="24"/>
          <w:szCs w:val="24"/>
        </w:rPr>
      </w:pPr>
      <w:r w:rsidRPr="00B10210">
        <w:rPr>
          <w:color w:val="auto"/>
          <w:sz w:val="24"/>
          <w:szCs w:val="24"/>
        </w:rPr>
        <w:t>Úplne.</w:t>
      </w:r>
    </w:p>
    <w:p w:rsidR="00534FA2" w:rsidRPr="00B10210" w:rsidRDefault="00534FA2" w:rsidP="00534FA2">
      <w:pPr>
        <w:pStyle w:val="dka"/>
        <w:spacing w:before="120"/>
        <w:ind w:left="284"/>
        <w:jc w:val="both"/>
        <w:rPr>
          <w:color w:val="auto"/>
          <w:sz w:val="24"/>
          <w:szCs w:val="24"/>
        </w:rPr>
      </w:pPr>
    </w:p>
    <w:p w:rsidR="00534FA2" w:rsidRPr="00B10210" w:rsidRDefault="00534FA2" w:rsidP="00534FA2"/>
    <w:p w:rsidR="00534FA2" w:rsidRPr="00B10210" w:rsidRDefault="00534FA2" w:rsidP="009636F8">
      <w:pPr>
        <w:jc w:val="both"/>
      </w:pPr>
    </w:p>
    <w:p w:rsidR="00B82B1D" w:rsidRPr="00B10210" w:rsidRDefault="00B82B1D" w:rsidP="009636F8">
      <w:pPr>
        <w:jc w:val="both"/>
      </w:pPr>
    </w:p>
    <w:p w:rsidR="00B82B1D" w:rsidRPr="00B10210" w:rsidRDefault="00B82B1D" w:rsidP="009636F8">
      <w:pPr>
        <w:jc w:val="both"/>
      </w:pPr>
    </w:p>
    <w:p w:rsidR="00B82B1D" w:rsidRPr="00B10210" w:rsidRDefault="00B82B1D" w:rsidP="009636F8">
      <w:pPr>
        <w:jc w:val="both"/>
      </w:pPr>
    </w:p>
    <w:p w:rsidR="00B82B1D" w:rsidRPr="00B10210" w:rsidRDefault="00B82B1D" w:rsidP="009636F8">
      <w:pPr>
        <w:jc w:val="both"/>
      </w:pPr>
    </w:p>
    <w:p w:rsidR="00B82B1D" w:rsidRPr="00B10210" w:rsidRDefault="00B82B1D" w:rsidP="009636F8">
      <w:pPr>
        <w:jc w:val="both"/>
      </w:pPr>
    </w:p>
    <w:p w:rsidR="00B82B1D" w:rsidRPr="00B10210" w:rsidRDefault="00B82B1D" w:rsidP="009636F8">
      <w:pPr>
        <w:jc w:val="both"/>
      </w:pPr>
    </w:p>
    <w:p w:rsidR="00B82B1D" w:rsidRPr="00B10210" w:rsidRDefault="00B82B1D" w:rsidP="009636F8">
      <w:pPr>
        <w:jc w:val="both"/>
      </w:pPr>
    </w:p>
    <w:p w:rsidR="00B82B1D" w:rsidRPr="00B10210" w:rsidRDefault="00B82B1D" w:rsidP="009636F8">
      <w:pPr>
        <w:jc w:val="both"/>
      </w:pPr>
    </w:p>
    <w:p w:rsidR="00B82B1D" w:rsidRPr="00B10210" w:rsidRDefault="00B82B1D" w:rsidP="009636F8">
      <w:pPr>
        <w:jc w:val="both"/>
      </w:pPr>
    </w:p>
    <w:p w:rsidR="00B82B1D" w:rsidRPr="00B10210" w:rsidRDefault="00B82B1D" w:rsidP="009636F8">
      <w:pPr>
        <w:jc w:val="both"/>
      </w:pPr>
    </w:p>
    <w:p w:rsidR="00B82B1D" w:rsidRPr="00B10210" w:rsidRDefault="00B82B1D" w:rsidP="009636F8">
      <w:pPr>
        <w:jc w:val="both"/>
      </w:pPr>
    </w:p>
    <w:p w:rsidR="00B82B1D" w:rsidRPr="00B10210" w:rsidRDefault="00B82B1D" w:rsidP="009636F8">
      <w:pPr>
        <w:jc w:val="both"/>
      </w:pPr>
    </w:p>
    <w:p w:rsidR="00B82B1D" w:rsidRPr="00B10210" w:rsidRDefault="00B82B1D" w:rsidP="009636F8">
      <w:pPr>
        <w:jc w:val="both"/>
      </w:pPr>
    </w:p>
    <w:p w:rsidR="00B82B1D" w:rsidRPr="00B10210" w:rsidRDefault="00B82B1D" w:rsidP="009636F8">
      <w:pPr>
        <w:jc w:val="both"/>
      </w:pPr>
    </w:p>
    <w:p w:rsidR="00B82B1D" w:rsidRPr="00B10210" w:rsidRDefault="00B82B1D" w:rsidP="009636F8">
      <w:pPr>
        <w:jc w:val="both"/>
      </w:pPr>
    </w:p>
    <w:p w:rsidR="00B82B1D" w:rsidRPr="00B10210" w:rsidRDefault="00B82B1D" w:rsidP="009636F8">
      <w:pPr>
        <w:jc w:val="both"/>
      </w:pPr>
    </w:p>
    <w:p w:rsidR="00B82B1D" w:rsidRPr="00B10210" w:rsidRDefault="00B82B1D" w:rsidP="009636F8">
      <w:pPr>
        <w:jc w:val="both"/>
      </w:pPr>
    </w:p>
    <w:p w:rsidR="00B82B1D" w:rsidRPr="00B10210" w:rsidRDefault="00B82B1D" w:rsidP="009636F8">
      <w:pPr>
        <w:jc w:val="both"/>
      </w:pPr>
    </w:p>
    <w:p w:rsidR="00B82B1D" w:rsidRPr="00B10210" w:rsidRDefault="00B82B1D" w:rsidP="009636F8">
      <w:pPr>
        <w:jc w:val="both"/>
      </w:pPr>
    </w:p>
    <w:p w:rsidR="00B82B1D" w:rsidRPr="00B10210" w:rsidRDefault="00B82B1D" w:rsidP="009636F8">
      <w:pPr>
        <w:jc w:val="both"/>
      </w:pPr>
    </w:p>
    <w:p w:rsidR="00B82B1D" w:rsidRPr="00B10210" w:rsidRDefault="00B82B1D" w:rsidP="009636F8">
      <w:pPr>
        <w:jc w:val="both"/>
      </w:pPr>
    </w:p>
    <w:p w:rsidR="00B82B1D" w:rsidRPr="00B10210" w:rsidRDefault="00B82B1D" w:rsidP="009636F8">
      <w:pPr>
        <w:jc w:val="both"/>
      </w:pPr>
    </w:p>
    <w:p w:rsidR="00B82B1D" w:rsidRPr="00B10210" w:rsidRDefault="00B82B1D" w:rsidP="009636F8">
      <w:pPr>
        <w:jc w:val="both"/>
      </w:pPr>
    </w:p>
    <w:p w:rsidR="00795247" w:rsidRPr="00B10210" w:rsidRDefault="00795247" w:rsidP="009636F8">
      <w:pPr>
        <w:jc w:val="both"/>
      </w:pPr>
    </w:p>
    <w:p w:rsidR="00B82B1D" w:rsidRPr="00B10210" w:rsidRDefault="00B82B1D" w:rsidP="009636F8">
      <w:pPr>
        <w:jc w:val="both"/>
      </w:pPr>
    </w:p>
    <w:p w:rsidR="00B82B1D" w:rsidRDefault="00B82B1D" w:rsidP="009636F8">
      <w:pPr>
        <w:jc w:val="both"/>
      </w:pPr>
    </w:p>
    <w:p w:rsidR="00011D6C" w:rsidRDefault="00011D6C" w:rsidP="009636F8">
      <w:pPr>
        <w:jc w:val="both"/>
      </w:pPr>
    </w:p>
    <w:p w:rsidR="00011D6C" w:rsidRDefault="00011D6C" w:rsidP="009636F8">
      <w:pPr>
        <w:jc w:val="both"/>
      </w:pPr>
    </w:p>
    <w:p w:rsidR="00011D6C" w:rsidRDefault="00011D6C" w:rsidP="009636F8">
      <w:pPr>
        <w:jc w:val="both"/>
      </w:pPr>
    </w:p>
    <w:p w:rsidR="00011D6C" w:rsidRPr="00B10210" w:rsidRDefault="00011D6C" w:rsidP="009636F8">
      <w:pPr>
        <w:jc w:val="both"/>
      </w:pPr>
    </w:p>
    <w:p w:rsidR="00B82B1D" w:rsidRPr="00B10210" w:rsidRDefault="00B82B1D" w:rsidP="009636F8">
      <w:pPr>
        <w:jc w:val="both"/>
      </w:pPr>
    </w:p>
    <w:p w:rsidR="00B82B1D" w:rsidRPr="00B10210" w:rsidRDefault="00B82B1D" w:rsidP="009636F8">
      <w:pPr>
        <w:jc w:val="both"/>
      </w:pPr>
    </w:p>
    <w:p w:rsidR="00B82B1D" w:rsidRPr="00B10210" w:rsidRDefault="00B82B1D" w:rsidP="009636F8">
      <w:pPr>
        <w:jc w:val="both"/>
      </w:pPr>
    </w:p>
    <w:p w:rsidR="00B82B1D" w:rsidRPr="00B10210" w:rsidRDefault="00B82B1D" w:rsidP="00B82B1D">
      <w:pPr>
        <w:jc w:val="both"/>
        <w:rPr>
          <w:b/>
          <w:color w:val="000000"/>
        </w:rPr>
      </w:pPr>
      <w:r w:rsidRPr="00B10210">
        <w:rPr>
          <w:b/>
          <w:color w:val="000000"/>
        </w:rPr>
        <w:lastRenderedPageBreak/>
        <w:t>B. Osobitná časť</w:t>
      </w:r>
    </w:p>
    <w:p w:rsidR="00B82B1D" w:rsidRPr="00B10210" w:rsidRDefault="00B82B1D" w:rsidP="00B82B1D">
      <w:pPr>
        <w:jc w:val="both"/>
        <w:rPr>
          <w:bCs/>
        </w:rPr>
      </w:pPr>
    </w:p>
    <w:p w:rsidR="00B82B1D" w:rsidRPr="00B10210" w:rsidRDefault="00B82B1D" w:rsidP="00B82B1D">
      <w:pPr>
        <w:jc w:val="both"/>
        <w:rPr>
          <w:bCs/>
        </w:rPr>
      </w:pPr>
    </w:p>
    <w:p w:rsidR="00B82B1D" w:rsidRPr="00B10210" w:rsidRDefault="00B82B1D" w:rsidP="00B82B1D">
      <w:pPr>
        <w:jc w:val="both"/>
        <w:rPr>
          <w:b/>
          <w:bCs/>
        </w:rPr>
      </w:pPr>
      <w:r w:rsidRPr="00B10210">
        <w:rPr>
          <w:b/>
          <w:bCs/>
        </w:rPr>
        <w:t>K článku I</w:t>
      </w:r>
    </w:p>
    <w:p w:rsidR="00B82B1D" w:rsidRPr="00B10210" w:rsidRDefault="00B82B1D" w:rsidP="00B82B1D">
      <w:pPr>
        <w:tabs>
          <w:tab w:val="left" w:pos="360"/>
        </w:tabs>
        <w:jc w:val="both"/>
      </w:pPr>
    </w:p>
    <w:p w:rsidR="00B82B1D" w:rsidRPr="00B10210" w:rsidRDefault="00B82B1D" w:rsidP="00B82B1D">
      <w:pPr>
        <w:autoSpaceDE w:val="0"/>
        <w:autoSpaceDN w:val="0"/>
        <w:adjustRightInd w:val="0"/>
        <w:jc w:val="both"/>
        <w:rPr>
          <w:bCs/>
          <w:color w:val="000000"/>
        </w:rPr>
      </w:pPr>
      <w:r w:rsidRPr="00B10210">
        <w:rPr>
          <w:b/>
          <w:bCs/>
          <w:color w:val="000000"/>
        </w:rPr>
        <w:t>K bodu 1</w:t>
      </w:r>
    </w:p>
    <w:p w:rsidR="00B82B1D" w:rsidRPr="00B10210" w:rsidRDefault="00B82B1D" w:rsidP="00B82B1D">
      <w:pPr>
        <w:autoSpaceDE w:val="0"/>
        <w:autoSpaceDN w:val="0"/>
        <w:adjustRightInd w:val="0"/>
        <w:jc w:val="both"/>
        <w:rPr>
          <w:bCs/>
          <w:color w:val="000000"/>
        </w:rPr>
      </w:pPr>
      <w:r w:rsidRPr="00B10210">
        <w:rPr>
          <w:bCs/>
          <w:color w:val="000000"/>
        </w:rPr>
        <w:tab/>
        <w:t xml:space="preserve">Vzhľadom na povinnosť transponovať legislatívu EÚ do národnej legislatívy sa upravuje definícia územia Európskej únie v súlade so smernicou Rady (EÚ) 2019/475 </w:t>
      </w:r>
      <w:r w:rsidR="00011D6C">
        <w:rPr>
          <w:bCs/>
          <w:color w:val="000000"/>
        </w:rPr>
        <w:t xml:space="preserve">      </w:t>
      </w:r>
      <w:r w:rsidRPr="00B10210">
        <w:rPr>
          <w:bCs/>
          <w:color w:val="000000"/>
        </w:rPr>
        <w:t xml:space="preserve">     z 18. februára 2019, ktorou sa menia smernice 2006/112/ES a 2008/118/ES, pokiaľ ide o začlenenie talianskej obce </w:t>
      </w:r>
      <w:proofErr w:type="spellStart"/>
      <w:r w:rsidRPr="00B10210">
        <w:rPr>
          <w:bCs/>
          <w:color w:val="000000"/>
        </w:rPr>
        <w:t>Campione</w:t>
      </w:r>
      <w:proofErr w:type="spellEnd"/>
      <w:r w:rsidRPr="00B10210">
        <w:rPr>
          <w:bCs/>
          <w:color w:val="000000"/>
        </w:rPr>
        <w:t xml:space="preserve"> </w:t>
      </w:r>
      <w:proofErr w:type="spellStart"/>
      <w:r w:rsidRPr="00B10210">
        <w:rPr>
          <w:bCs/>
          <w:color w:val="000000"/>
        </w:rPr>
        <w:t>d´Italia</w:t>
      </w:r>
      <w:proofErr w:type="spellEnd"/>
      <w:r w:rsidRPr="00B10210">
        <w:rPr>
          <w:bCs/>
          <w:color w:val="000000"/>
        </w:rPr>
        <w:t xml:space="preserve"> a talianskych vôd jazera </w:t>
      </w:r>
      <w:proofErr w:type="spellStart"/>
      <w:r w:rsidRPr="00B10210">
        <w:rPr>
          <w:bCs/>
          <w:color w:val="000000"/>
        </w:rPr>
        <w:t>Lugano</w:t>
      </w:r>
      <w:proofErr w:type="spellEnd"/>
      <w:r w:rsidRPr="00B10210">
        <w:rPr>
          <w:bCs/>
          <w:color w:val="000000"/>
        </w:rPr>
        <w:t xml:space="preserve"> do colného územia Únie a do územnej pôsobnosti smernice 2008/118/ES.</w:t>
      </w:r>
    </w:p>
    <w:p w:rsidR="00B82B1D" w:rsidRPr="00B10210" w:rsidRDefault="00B82B1D" w:rsidP="00B82B1D">
      <w:pPr>
        <w:autoSpaceDE w:val="0"/>
        <w:autoSpaceDN w:val="0"/>
        <w:adjustRightInd w:val="0"/>
        <w:jc w:val="both"/>
        <w:rPr>
          <w:b/>
          <w:bCs/>
          <w:color w:val="000000"/>
        </w:rPr>
      </w:pPr>
    </w:p>
    <w:p w:rsidR="00B82B1D" w:rsidRPr="00B10210" w:rsidRDefault="00B82B1D" w:rsidP="00B82B1D">
      <w:pPr>
        <w:autoSpaceDE w:val="0"/>
        <w:autoSpaceDN w:val="0"/>
        <w:adjustRightInd w:val="0"/>
        <w:jc w:val="both"/>
        <w:rPr>
          <w:b/>
          <w:bCs/>
          <w:color w:val="000000"/>
        </w:rPr>
      </w:pPr>
      <w:r w:rsidRPr="00B10210">
        <w:rPr>
          <w:b/>
          <w:bCs/>
          <w:color w:val="000000"/>
        </w:rPr>
        <w:t>K bodom 2, 4, 58 a 70</w:t>
      </w:r>
    </w:p>
    <w:p w:rsidR="00B82B1D" w:rsidRPr="00B10210" w:rsidRDefault="00B82B1D" w:rsidP="00B82B1D">
      <w:pPr>
        <w:tabs>
          <w:tab w:val="left" w:pos="360"/>
        </w:tabs>
        <w:jc w:val="both"/>
      </w:pPr>
      <w:r w:rsidRPr="00B10210">
        <w:tab/>
      </w:r>
      <w:r w:rsidRPr="00B10210">
        <w:tab/>
        <w:t xml:space="preserve">Legislatívno-technická úprava upresňujúca znenie </w:t>
      </w:r>
      <w:r w:rsidRPr="00B10210">
        <w:rPr>
          <w:bCs/>
        </w:rPr>
        <w:t>poznámok</w:t>
      </w:r>
      <w:r w:rsidRPr="00B10210">
        <w:t xml:space="preserve"> pod čiarou k </w:t>
      </w:r>
      <w:r w:rsidRPr="00B10210">
        <w:rPr>
          <w:bCs/>
        </w:rPr>
        <w:t xml:space="preserve">odkazom 2aa, 2ab, 2ac, 14a, 19b a 19c. </w:t>
      </w:r>
    </w:p>
    <w:p w:rsidR="00B82B1D" w:rsidRPr="00B10210" w:rsidRDefault="00B82B1D" w:rsidP="00B82B1D">
      <w:pPr>
        <w:tabs>
          <w:tab w:val="left" w:pos="709"/>
        </w:tabs>
        <w:jc w:val="both"/>
      </w:pPr>
    </w:p>
    <w:p w:rsidR="00B82B1D" w:rsidRPr="00B10210" w:rsidRDefault="00B82B1D" w:rsidP="00B82B1D">
      <w:pPr>
        <w:autoSpaceDE w:val="0"/>
        <w:autoSpaceDN w:val="0"/>
        <w:adjustRightInd w:val="0"/>
        <w:jc w:val="both"/>
        <w:rPr>
          <w:bCs/>
          <w:color w:val="000000"/>
        </w:rPr>
      </w:pPr>
      <w:r w:rsidRPr="00B10210">
        <w:rPr>
          <w:b/>
          <w:bCs/>
          <w:color w:val="000000"/>
        </w:rPr>
        <w:t>K bodu 3</w:t>
      </w:r>
    </w:p>
    <w:p w:rsidR="00B82B1D" w:rsidRPr="00B10210" w:rsidRDefault="00B82B1D" w:rsidP="00B82B1D">
      <w:pPr>
        <w:autoSpaceDE w:val="0"/>
        <w:autoSpaceDN w:val="0"/>
        <w:adjustRightInd w:val="0"/>
        <w:jc w:val="both"/>
        <w:rPr>
          <w:bCs/>
          <w:color w:val="000000"/>
        </w:rPr>
      </w:pPr>
      <w:r w:rsidRPr="00B10210">
        <w:rPr>
          <w:bCs/>
          <w:color w:val="000000"/>
        </w:rPr>
        <w:tab/>
        <w:t>V súlade so smernicou Rady (EÚ) 2020/262 z 19. decembra 2019, ktorou sa stanovuje všeobecný systém spotrebných daní (ďalej len „smernica Rady (EÚ) 2020/262“) sa ustanovuje definícia nových daňových subjektov, ktoré budú oprávnené prepravovať tabakové výrobky uvedené do daňového voľného obehu zjednodušeným elektronickým administratívnym dokumentom v systéme elektronických prepráv na daňovom území a na území EÚ.</w:t>
      </w:r>
    </w:p>
    <w:p w:rsidR="00B82B1D" w:rsidRPr="00B10210" w:rsidRDefault="00B82B1D" w:rsidP="00B82B1D">
      <w:pPr>
        <w:autoSpaceDE w:val="0"/>
        <w:autoSpaceDN w:val="0"/>
        <w:adjustRightInd w:val="0"/>
        <w:jc w:val="both"/>
        <w:rPr>
          <w:bCs/>
          <w:color w:val="000000"/>
        </w:rPr>
      </w:pPr>
    </w:p>
    <w:p w:rsidR="00B82B1D" w:rsidRPr="00B10210" w:rsidRDefault="00B82B1D" w:rsidP="00B82B1D">
      <w:pPr>
        <w:autoSpaceDE w:val="0"/>
        <w:autoSpaceDN w:val="0"/>
        <w:adjustRightInd w:val="0"/>
        <w:jc w:val="both"/>
        <w:rPr>
          <w:bCs/>
          <w:color w:val="000000"/>
        </w:rPr>
      </w:pPr>
      <w:r w:rsidRPr="00B10210">
        <w:rPr>
          <w:b/>
          <w:bCs/>
          <w:color w:val="000000"/>
        </w:rPr>
        <w:t>K bodom 5 a 51</w:t>
      </w:r>
    </w:p>
    <w:p w:rsidR="00B82B1D" w:rsidRPr="00B10210" w:rsidRDefault="00B82B1D" w:rsidP="00B82B1D">
      <w:pPr>
        <w:autoSpaceDE w:val="0"/>
        <w:autoSpaceDN w:val="0"/>
        <w:adjustRightInd w:val="0"/>
        <w:jc w:val="both"/>
        <w:rPr>
          <w:bCs/>
          <w:color w:val="000000"/>
        </w:rPr>
      </w:pPr>
      <w:r w:rsidRPr="00B10210">
        <w:rPr>
          <w:bCs/>
          <w:color w:val="000000"/>
        </w:rPr>
        <w:tab/>
        <w:t>Navrhovanou úpravou sa upravuje špecifická časť kombinovanej sadzby dane na cigarety, minimálna sadzba dane na cigarety, sadzba dane na cigary a </w:t>
      </w:r>
      <w:proofErr w:type="spellStart"/>
      <w:r w:rsidRPr="00B10210">
        <w:rPr>
          <w:bCs/>
          <w:color w:val="000000"/>
        </w:rPr>
        <w:t>cigarky</w:t>
      </w:r>
      <w:proofErr w:type="spellEnd"/>
      <w:r w:rsidRPr="00B10210">
        <w:rPr>
          <w:bCs/>
          <w:color w:val="000000"/>
        </w:rPr>
        <w:t xml:space="preserve">, sadzba dane na tabak a sadzba dane z tabaku v bezdymovom tabakovom výrobku, a to s účinnosťou od     </w:t>
      </w:r>
      <w:r w:rsidR="00011D6C">
        <w:rPr>
          <w:bCs/>
          <w:color w:val="000000"/>
        </w:rPr>
        <w:t xml:space="preserve">      </w:t>
      </w:r>
      <w:r w:rsidRPr="00B10210">
        <w:rPr>
          <w:bCs/>
          <w:color w:val="000000"/>
        </w:rPr>
        <w:t xml:space="preserve">    1. februára 2023.</w:t>
      </w:r>
    </w:p>
    <w:p w:rsidR="00B82B1D" w:rsidRPr="00B10210" w:rsidRDefault="00B82B1D" w:rsidP="00B82B1D">
      <w:pPr>
        <w:autoSpaceDE w:val="0"/>
        <w:autoSpaceDN w:val="0"/>
        <w:adjustRightInd w:val="0"/>
        <w:jc w:val="both"/>
        <w:rPr>
          <w:bCs/>
          <w:color w:val="000000"/>
        </w:rPr>
      </w:pPr>
    </w:p>
    <w:p w:rsidR="00B82B1D" w:rsidRPr="00B10210" w:rsidRDefault="00B82B1D" w:rsidP="00B82B1D">
      <w:pPr>
        <w:autoSpaceDE w:val="0"/>
        <w:autoSpaceDN w:val="0"/>
        <w:adjustRightInd w:val="0"/>
        <w:jc w:val="both"/>
        <w:rPr>
          <w:b/>
          <w:bCs/>
          <w:color w:val="000000"/>
        </w:rPr>
      </w:pPr>
      <w:r w:rsidRPr="00B10210">
        <w:rPr>
          <w:b/>
          <w:bCs/>
          <w:color w:val="000000"/>
        </w:rPr>
        <w:t>K bodom 6, 12, 18 a 19</w:t>
      </w:r>
    </w:p>
    <w:p w:rsidR="00B82B1D" w:rsidRPr="00B10210" w:rsidRDefault="00B82B1D" w:rsidP="00B82B1D">
      <w:pPr>
        <w:tabs>
          <w:tab w:val="left" w:pos="709"/>
        </w:tabs>
        <w:jc w:val="both"/>
      </w:pPr>
      <w:r w:rsidRPr="00B10210">
        <w:tab/>
        <w:t xml:space="preserve">Navrhovaná úprava a z nej vyplývajúce </w:t>
      </w:r>
      <w:r w:rsidRPr="00B10210">
        <w:rPr>
          <w:bCs/>
        </w:rPr>
        <w:t>legislatívno-technické úpravy súvisiacich ustanovení</w:t>
      </w:r>
      <w:r w:rsidRPr="00B10210">
        <w:t xml:space="preserve"> umožnia po zmene sadzby dane predávať, ponúkať na predaj alebo skladovať spotrebiteľské balenia cigár, </w:t>
      </w:r>
      <w:proofErr w:type="spellStart"/>
      <w:r w:rsidRPr="00B10210">
        <w:t>cigariek</w:t>
      </w:r>
      <w:proofErr w:type="spellEnd"/>
      <w:r w:rsidRPr="00B10210">
        <w:t xml:space="preserve"> s krycím listom výlučne z prírodného tabaku,</w:t>
      </w:r>
      <w:r w:rsidRPr="00B10210">
        <w:rPr>
          <w:lang w:eastAsia="en-US"/>
        </w:rPr>
        <w:t xml:space="preserve"> </w:t>
      </w:r>
      <w:r w:rsidRPr="00B10210">
        <w:t>označené kontrolnou známkou a uvedené do daňového voľného obehu, do vypredania zásob.</w:t>
      </w:r>
    </w:p>
    <w:p w:rsidR="00B82B1D" w:rsidRPr="00B10210" w:rsidRDefault="00B82B1D" w:rsidP="00B82B1D">
      <w:pPr>
        <w:tabs>
          <w:tab w:val="left" w:pos="709"/>
        </w:tabs>
        <w:ind w:firstLine="567"/>
        <w:jc w:val="both"/>
      </w:pPr>
    </w:p>
    <w:p w:rsidR="00B82B1D" w:rsidRPr="00B10210" w:rsidRDefault="00B82B1D" w:rsidP="00B82B1D">
      <w:pPr>
        <w:tabs>
          <w:tab w:val="left" w:pos="709"/>
        </w:tabs>
        <w:jc w:val="both"/>
      </w:pPr>
      <w:r w:rsidRPr="00B10210">
        <w:rPr>
          <w:b/>
          <w:bCs/>
        </w:rPr>
        <w:t xml:space="preserve">K bodu 7 </w:t>
      </w:r>
    </w:p>
    <w:p w:rsidR="00B82B1D" w:rsidRPr="00B10210" w:rsidRDefault="00B82B1D" w:rsidP="00B82B1D">
      <w:pPr>
        <w:tabs>
          <w:tab w:val="left" w:pos="709"/>
        </w:tabs>
        <w:jc w:val="both"/>
      </w:pPr>
      <w:r w:rsidRPr="00B10210">
        <w:tab/>
        <w:t xml:space="preserve">Navrhovanou úpravou sa transponuje zo smernice Rady (EÚ) 2019/2235 zo        </w:t>
      </w:r>
      <w:r w:rsidR="00011D6C">
        <w:t xml:space="preserve">        </w:t>
      </w:r>
      <w:r w:rsidRPr="00B10210">
        <w:t xml:space="preserve">     16. decembra 2019, ktorou sa mení smernica 2006/112/ES o spoločnom systéme dane z pridanej hodnoty a smernica 2008/118/ES o všeobecnom systéme spotrebných daní, pokiaľ ide o obranné úsilie v rámci Únie (ďalej len „smernica Rady (EÚ) 2019/2235“) oslobodenie od dane pre tabakové výrobky, ktoré boli prepravené na daňové územie v pozastavení dane ozbrojenými silami iných členských štátov na použitie týmito ozbrojenými silami a ich civilnými zamestnancami pri obrannom úsilí v rámci spoločnej bezpečnostnej a obrannej politiky Európskej únie. Zároveň sa stanovuje, že preprava týchto tabakových výrobkov v pozastavení dane sa uskutoční podľa ustanovenia § 22 ods. 11 zákona.</w:t>
      </w:r>
    </w:p>
    <w:p w:rsidR="00B82B1D" w:rsidRDefault="00B82B1D" w:rsidP="00B82B1D">
      <w:pPr>
        <w:tabs>
          <w:tab w:val="left" w:pos="709"/>
        </w:tabs>
        <w:jc w:val="both"/>
      </w:pPr>
    </w:p>
    <w:p w:rsidR="004F4E50" w:rsidRDefault="004F4E50" w:rsidP="00B82B1D">
      <w:pPr>
        <w:tabs>
          <w:tab w:val="left" w:pos="709"/>
        </w:tabs>
        <w:jc w:val="both"/>
      </w:pPr>
    </w:p>
    <w:p w:rsidR="004F4E50" w:rsidRDefault="004F4E50" w:rsidP="00B82B1D">
      <w:pPr>
        <w:tabs>
          <w:tab w:val="left" w:pos="709"/>
        </w:tabs>
        <w:jc w:val="both"/>
      </w:pPr>
    </w:p>
    <w:p w:rsidR="004F4E50" w:rsidRDefault="004F4E50" w:rsidP="00B82B1D">
      <w:pPr>
        <w:tabs>
          <w:tab w:val="left" w:pos="709"/>
        </w:tabs>
        <w:jc w:val="both"/>
      </w:pPr>
    </w:p>
    <w:p w:rsidR="004F4E50" w:rsidRPr="00B10210" w:rsidRDefault="004F4E50" w:rsidP="00B82B1D">
      <w:pPr>
        <w:tabs>
          <w:tab w:val="left" w:pos="709"/>
        </w:tabs>
        <w:jc w:val="both"/>
      </w:pPr>
    </w:p>
    <w:p w:rsidR="00B82B1D" w:rsidRPr="00B10210" w:rsidRDefault="00B82B1D" w:rsidP="00B82B1D">
      <w:pPr>
        <w:tabs>
          <w:tab w:val="left" w:pos="709"/>
        </w:tabs>
        <w:jc w:val="both"/>
        <w:rPr>
          <w:b/>
          <w:bCs/>
        </w:rPr>
      </w:pPr>
      <w:r w:rsidRPr="00B10210">
        <w:rPr>
          <w:b/>
          <w:bCs/>
        </w:rPr>
        <w:lastRenderedPageBreak/>
        <w:t>K bodom 8 až 11</w:t>
      </w:r>
    </w:p>
    <w:p w:rsidR="00B82B1D" w:rsidRDefault="00B82B1D" w:rsidP="00B82B1D">
      <w:pPr>
        <w:tabs>
          <w:tab w:val="left" w:pos="709"/>
        </w:tabs>
        <w:jc w:val="both"/>
      </w:pPr>
      <w:r w:rsidRPr="00B10210">
        <w:tab/>
      </w:r>
      <w:r w:rsidRPr="00B10210">
        <w:rPr>
          <w:bCs/>
        </w:rPr>
        <w:t>Na základe doterajších zistení a poznatkov z aplikačnej praxe sa navrhuje vypustiť ustanovenia</w:t>
      </w:r>
      <w:r w:rsidRPr="00B10210">
        <w:t xml:space="preserve"> týkajúce sa úpravy pre prevádzkovanie tranzitného daňového skladu (zavedené novelizačným čl. II zákona 92/2019 Z. z.).</w:t>
      </w:r>
    </w:p>
    <w:p w:rsidR="004F4E50" w:rsidRPr="00B10210" w:rsidRDefault="004F4E50" w:rsidP="00B82B1D">
      <w:pPr>
        <w:tabs>
          <w:tab w:val="left" w:pos="709"/>
        </w:tabs>
        <w:jc w:val="both"/>
      </w:pPr>
    </w:p>
    <w:p w:rsidR="00B82B1D" w:rsidRPr="00B10210" w:rsidRDefault="00B82B1D" w:rsidP="00B82B1D">
      <w:pPr>
        <w:tabs>
          <w:tab w:val="left" w:pos="709"/>
        </w:tabs>
        <w:jc w:val="both"/>
      </w:pPr>
      <w:r w:rsidRPr="00B10210">
        <w:rPr>
          <w:b/>
          <w:bCs/>
        </w:rPr>
        <w:t>K bodu 13</w:t>
      </w:r>
    </w:p>
    <w:p w:rsidR="00B82B1D" w:rsidRPr="00B10210" w:rsidRDefault="00B82B1D" w:rsidP="00B82B1D">
      <w:pPr>
        <w:tabs>
          <w:tab w:val="left" w:pos="709"/>
        </w:tabs>
        <w:jc w:val="both"/>
      </w:pPr>
      <w:r w:rsidRPr="00B10210">
        <w:tab/>
        <w:t>Spresnením znenia ustanovenia sa pre označovanie spotrebiteľských balení cigariet, ktorých kratší z rozmerov bočnej strany spotrebiteľského balenia je menší než kratší z rozmerov kontrolnej známky, kontrolnou známkou, ustanovuje výnimka z povinnosti nalepiť kontrolnú známku na spotrebiteľské balenie cigariet na časť určenú na otvorenie tak, aby sa cigarety nemohli vybrať bez viditeľného poškodenia kontrolnej známky alebo spotrebiteľského balenia cigariet.</w:t>
      </w:r>
    </w:p>
    <w:p w:rsidR="00B82B1D" w:rsidRPr="00B10210" w:rsidRDefault="00B82B1D" w:rsidP="00B82B1D">
      <w:pPr>
        <w:tabs>
          <w:tab w:val="left" w:pos="709"/>
        </w:tabs>
        <w:jc w:val="both"/>
      </w:pPr>
    </w:p>
    <w:p w:rsidR="00B82B1D" w:rsidRPr="00B10210" w:rsidRDefault="00B82B1D" w:rsidP="00B82B1D">
      <w:pPr>
        <w:tabs>
          <w:tab w:val="left" w:pos="709"/>
        </w:tabs>
        <w:jc w:val="both"/>
        <w:rPr>
          <w:b/>
          <w:bCs/>
        </w:rPr>
      </w:pPr>
      <w:r w:rsidRPr="00B10210">
        <w:rPr>
          <w:b/>
          <w:bCs/>
        </w:rPr>
        <w:t>K bodom 14 až 16</w:t>
      </w:r>
    </w:p>
    <w:p w:rsidR="00B82B1D" w:rsidRPr="00B10210" w:rsidRDefault="00B82B1D" w:rsidP="00B82B1D">
      <w:pPr>
        <w:tabs>
          <w:tab w:val="left" w:pos="709"/>
        </w:tabs>
        <w:jc w:val="both"/>
      </w:pPr>
      <w:r w:rsidRPr="00B10210">
        <w:rPr>
          <w:b/>
          <w:bCs/>
        </w:rPr>
        <w:tab/>
      </w:r>
      <w:r w:rsidRPr="00B10210">
        <w:rPr>
          <w:bCs/>
        </w:rPr>
        <w:t>Znenie ustanovení sa navrhuje spresniť tak, aby sa povinnosť označiť spotrebiteľské balenie tabakových výrobkov kontrolnou známkou nevzťahovala aj na spotrebiteľské balenie cigariet a spotrebiteľské balenie tabaku určené na predaj v tranzitnom priestore medzinárodných letísk a na palubách lietadiel ako tabakové výrobky oslobodené od dane, a to výlučne fyzickým osobám, ktoré bezprostredne opustia územie únie, alebo určené na predaj za cenu s daňou v tranzitnom priestore medzinárodných letísk a na palubách lietadiel, a to výlučne fyzickým osobám, ktorých bezprostredné cieľové letisko je v inom členskom štáte; dodané na paluby lietadiel oslobodené od dane a určené výlučne na spotrebu cestujúcimi počas letu; určené na predaj ako tabakové výrobky oslobodené od dane, a to osobám iných štátov, ktoré požívajú výsady a imunity podľa medzinárodnej zmluvy.</w:t>
      </w:r>
    </w:p>
    <w:p w:rsidR="00B82B1D" w:rsidRPr="00B10210" w:rsidRDefault="00B82B1D" w:rsidP="00B82B1D">
      <w:pPr>
        <w:tabs>
          <w:tab w:val="left" w:pos="709"/>
        </w:tabs>
        <w:jc w:val="both"/>
      </w:pPr>
    </w:p>
    <w:p w:rsidR="00B82B1D" w:rsidRPr="00B10210" w:rsidRDefault="00B82B1D" w:rsidP="00B82B1D">
      <w:pPr>
        <w:tabs>
          <w:tab w:val="left" w:pos="709"/>
        </w:tabs>
        <w:jc w:val="both"/>
      </w:pPr>
      <w:r w:rsidRPr="00B10210">
        <w:rPr>
          <w:b/>
          <w:bCs/>
        </w:rPr>
        <w:t>K bodu 17</w:t>
      </w:r>
    </w:p>
    <w:p w:rsidR="00B82B1D" w:rsidRPr="00B10210" w:rsidRDefault="00B82B1D" w:rsidP="00B82B1D">
      <w:pPr>
        <w:tabs>
          <w:tab w:val="left" w:pos="709"/>
        </w:tabs>
        <w:jc w:val="both"/>
        <w:rPr>
          <w:b/>
          <w:bCs/>
        </w:rPr>
      </w:pPr>
      <w:r w:rsidRPr="00B10210">
        <w:rPr>
          <w:bCs/>
        </w:rPr>
        <w:tab/>
        <w:t>V súvislosti s transpozíciou smernice Rady (EÚ) 2019/2235 sa v novelizovanom ustanovení dopĺňa výnimka z povinnosti označiť spotrebiteľské balenie tabakových výrobkov kontrolnou známkou pre spotrebiteľské balenie tabakových výrobkov prijaté ozbrojenými silami iných členských štátov na použitie týmito ozbrojenými silami a ich civilnými zamestnancami pri obrannom úsilí v rámci spoločnej bezpečnostnej a obrannej politiky Európskej únie.</w:t>
      </w:r>
    </w:p>
    <w:p w:rsidR="00B82B1D" w:rsidRPr="00B10210" w:rsidRDefault="00B82B1D" w:rsidP="00B82B1D">
      <w:pPr>
        <w:tabs>
          <w:tab w:val="left" w:pos="709"/>
        </w:tabs>
        <w:jc w:val="both"/>
        <w:rPr>
          <w:b/>
          <w:bCs/>
        </w:rPr>
      </w:pPr>
    </w:p>
    <w:p w:rsidR="00B82B1D" w:rsidRPr="00B10210" w:rsidRDefault="00B82B1D" w:rsidP="00B82B1D">
      <w:pPr>
        <w:tabs>
          <w:tab w:val="left" w:pos="709"/>
        </w:tabs>
        <w:jc w:val="both"/>
        <w:rPr>
          <w:b/>
          <w:bCs/>
        </w:rPr>
      </w:pPr>
      <w:r w:rsidRPr="00B10210">
        <w:rPr>
          <w:b/>
          <w:bCs/>
        </w:rPr>
        <w:t>K bodu 20</w:t>
      </w:r>
    </w:p>
    <w:p w:rsidR="00B82B1D" w:rsidRPr="00B10210" w:rsidRDefault="00B82B1D" w:rsidP="00B82B1D">
      <w:pPr>
        <w:tabs>
          <w:tab w:val="left" w:pos="709"/>
        </w:tabs>
        <w:jc w:val="both"/>
      </w:pPr>
      <w:r w:rsidRPr="00B10210">
        <w:tab/>
      </w:r>
      <w:r w:rsidRPr="00B10210">
        <w:rPr>
          <w:bCs/>
        </w:rPr>
        <w:t>Na základe doterajších zistení a poznatkov z aplikačnej praxe sa navrhuje vypustiť osobitné ustanovenia</w:t>
      </w:r>
      <w:r w:rsidRPr="00B10210">
        <w:t xml:space="preserve"> týkajúce sa označovania spotrebiteľského balenia kontrolnou známkou u cigariet predávaných v tranzitnom priestore medzinárodných letísk a na palubách lietadiel výlučne fyzickým osobám, ktoré bezprostredne opustia územie únie alebo opustia územie únie s medzipristátím v inom členskom štáte, ak je pri medzipristátí zamedzené opustenie tranzitného priestoru; taktiež cigariet dodávaných na paluby lietadiel, určených výlučne na spotrebu cestujúcimi počas letu a tiež cigariet predávaných v daňovom sklade na predaj tabakových výrobkov oslobodených od dane zahraničným zástupcom.</w:t>
      </w:r>
    </w:p>
    <w:p w:rsidR="00B82B1D" w:rsidRPr="00B10210" w:rsidRDefault="00B82B1D" w:rsidP="00B82B1D">
      <w:pPr>
        <w:tabs>
          <w:tab w:val="left" w:pos="709"/>
        </w:tabs>
        <w:jc w:val="both"/>
      </w:pPr>
    </w:p>
    <w:p w:rsidR="00B82B1D" w:rsidRPr="00B10210" w:rsidRDefault="00B82B1D" w:rsidP="00B82B1D">
      <w:pPr>
        <w:tabs>
          <w:tab w:val="left" w:pos="709"/>
        </w:tabs>
        <w:jc w:val="both"/>
        <w:rPr>
          <w:b/>
          <w:bCs/>
        </w:rPr>
      </w:pPr>
      <w:r w:rsidRPr="00B10210">
        <w:rPr>
          <w:b/>
          <w:bCs/>
        </w:rPr>
        <w:t>K bodom 21 až 24</w:t>
      </w:r>
    </w:p>
    <w:p w:rsidR="00011D6C" w:rsidRPr="004F4E50" w:rsidRDefault="00B82B1D" w:rsidP="00B82B1D">
      <w:pPr>
        <w:tabs>
          <w:tab w:val="left" w:pos="709"/>
        </w:tabs>
        <w:jc w:val="both"/>
      </w:pPr>
      <w:r w:rsidRPr="00B10210">
        <w:tab/>
        <w:t>V rámci</w:t>
      </w:r>
      <w:r w:rsidRPr="00B10210">
        <w:rPr>
          <w:bCs/>
        </w:rPr>
        <w:t xml:space="preserve"> ustanovení upravujúcich evidenciu dovozcov tabakových výrobkov sa navrhuje zadefinovať pre účely zákona č. 106/2004 Z. z. pojem „identifikačné údaje“. Ďalej sa navrhuje doplniť tieto ustanovenia o  povinnosť predložiť colnému úradu zoznam majetkovo a personálne prepojených osôb so žiadateľom, a to aj v záujme z</w:t>
      </w:r>
      <w:r w:rsidRPr="00B10210">
        <w:t xml:space="preserve">osúladenia požiadaviek a podmienok v obdobných ustanoveniach </w:t>
      </w:r>
      <w:r w:rsidRPr="00B10210">
        <w:rPr>
          <w:lang w:eastAsia="en-US"/>
        </w:rPr>
        <w:t>právnych predpisov upravujúcich spotrebné dane. Zároveň sa primerane legislatívno-t</w:t>
      </w:r>
      <w:r w:rsidRPr="00B10210">
        <w:rPr>
          <w:bCs/>
          <w:lang w:eastAsia="en-US"/>
        </w:rPr>
        <w:t>echnicky upravujú súvisiace ustanovenia.</w:t>
      </w:r>
    </w:p>
    <w:p w:rsidR="00B82B1D" w:rsidRPr="00B10210" w:rsidRDefault="00B82B1D" w:rsidP="00B82B1D">
      <w:pPr>
        <w:tabs>
          <w:tab w:val="left" w:pos="709"/>
        </w:tabs>
        <w:jc w:val="both"/>
        <w:rPr>
          <w:b/>
          <w:bCs/>
        </w:rPr>
      </w:pPr>
      <w:r w:rsidRPr="00B10210">
        <w:rPr>
          <w:b/>
          <w:bCs/>
        </w:rPr>
        <w:lastRenderedPageBreak/>
        <w:t>K bodu 25</w:t>
      </w:r>
    </w:p>
    <w:p w:rsidR="00B82B1D" w:rsidRPr="00B10210" w:rsidRDefault="00B82B1D" w:rsidP="00B82B1D">
      <w:pPr>
        <w:tabs>
          <w:tab w:val="left" w:pos="709"/>
        </w:tabs>
        <w:jc w:val="both"/>
        <w:rPr>
          <w:b/>
          <w:bCs/>
        </w:rPr>
      </w:pPr>
      <w:r w:rsidRPr="00B10210">
        <w:rPr>
          <w:b/>
          <w:bCs/>
        </w:rPr>
        <w:tab/>
      </w:r>
      <w:r w:rsidRPr="00B10210">
        <w:rPr>
          <w:lang w:eastAsia="en-US"/>
        </w:rPr>
        <w:t xml:space="preserve">Za účelom zníženia administratívnej záťaže subjektu sa navrhuje vypustiť z oznamovacej povinnosti oznamovanie údajov a skutočností, ktoré colný úrad vie získať z informačných systémov v súlade so zákonom č. 177/2018 Z. z. o niektorých opatreniach na znižovanie administratívnej záťaže využívaním informačných systémov verejnej správy     </w:t>
      </w:r>
      <w:r w:rsidR="00011D6C">
        <w:rPr>
          <w:lang w:eastAsia="en-US"/>
        </w:rPr>
        <w:t xml:space="preserve">     </w:t>
      </w:r>
      <w:r w:rsidRPr="00B10210">
        <w:rPr>
          <w:lang w:eastAsia="en-US"/>
        </w:rPr>
        <w:t xml:space="preserve">    a o zmene a doplnení niektorých zákonov (zákon proti byrokracii) v znení neskorších predpisov. Zároveň za účelom získania potrebných údajov sa navrhuje doplniť oznamovaciu povinnosť v</w:t>
      </w:r>
      <w:r w:rsidR="00011D6C">
        <w:rPr>
          <w:lang w:eastAsia="en-US"/>
        </w:rPr>
        <w:t> </w:t>
      </w:r>
      <w:r w:rsidRPr="00B10210">
        <w:rPr>
          <w:lang w:eastAsia="en-US"/>
        </w:rPr>
        <w:t>prípade</w:t>
      </w:r>
      <w:r w:rsidR="00011D6C">
        <w:rPr>
          <w:lang w:eastAsia="en-US"/>
        </w:rPr>
        <w:t xml:space="preserve"> </w:t>
      </w:r>
      <w:r w:rsidRPr="00B10210">
        <w:rPr>
          <w:lang w:eastAsia="en-US"/>
        </w:rPr>
        <w:t>zmeny v požiadavkách a podmienkach doplnených v bodoch 20 a 21 návrhu zákona a zmeny údajov potrebných na vyžiadanie výpisu z registra trestov žiadateľa alebo jeho zodpovedného zástupcu, ak je žiadateľom fyzická osoba; ak je žiadateľom právnická osoba, údaje potrebné na vyžiadanie výpisu z registra trestov tejto právnickej osoby, zodpovedného zástupcu a fyzických osôb, ktoré sú členmi riadiacich orgánov alebo kontrolných orgánov, na účel preukázania splnenia podmienky podľa znenia v súčasnosti platného § 9a odseku 3 písm. d) zákona č. 106/2004 Z. z.</w:t>
      </w:r>
    </w:p>
    <w:p w:rsidR="00B82B1D" w:rsidRPr="00B10210" w:rsidRDefault="00B82B1D" w:rsidP="00B82B1D">
      <w:pPr>
        <w:tabs>
          <w:tab w:val="left" w:pos="709"/>
        </w:tabs>
        <w:jc w:val="both"/>
        <w:rPr>
          <w:b/>
          <w:bCs/>
        </w:rPr>
      </w:pPr>
    </w:p>
    <w:p w:rsidR="00B82B1D" w:rsidRPr="00B10210" w:rsidRDefault="00B82B1D" w:rsidP="00B82B1D">
      <w:pPr>
        <w:tabs>
          <w:tab w:val="left" w:pos="709"/>
        </w:tabs>
        <w:jc w:val="both"/>
        <w:rPr>
          <w:b/>
          <w:bCs/>
        </w:rPr>
      </w:pPr>
      <w:r w:rsidRPr="00B10210">
        <w:rPr>
          <w:b/>
          <w:bCs/>
        </w:rPr>
        <w:t>K bodu 26</w:t>
      </w:r>
    </w:p>
    <w:p w:rsidR="00B82B1D" w:rsidRPr="00B10210" w:rsidRDefault="00B82B1D" w:rsidP="00B82B1D">
      <w:pPr>
        <w:tabs>
          <w:tab w:val="left" w:pos="709"/>
        </w:tabs>
        <w:jc w:val="both"/>
        <w:rPr>
          <w:bCs/>
        </w:rPr>
      </w:pPr>
      <w:r w:rsidRPr="00B10210">
        <w:rPr>
          <w:bCs/>
        </w:rPr>
        <w:tab/>
        <w:t>Legislatívno-technická úprava v záujme zosúladenia predmetných ustanovení so zákonom č. 272/2016 Z. z. o dôveryhodných službách pre elektronické transakcie na vnútornom trhu a o zmene a doplnení niektorých zákonov (zákon o dôveryhodných službách) a upresňujúca znenie poznámky pod čiarou k odkazu 14c.</w:t>
      </w:r>
    </w:p>
    <w:p w:rsidR="00B82B1D" w:rsidRPr="00B10210" w:rsidRDefault="00B82B1D" w:rsidP="00B82B1D">
      <w:pPr>
        <w:tabs>
          <w:tab w:val="left" w:pos="709"/>
        </w:tabs>
        <w:jc w:val="both"/>
        <w:rPr>
          <w:b/>
          <w:bCs/>
        </w:rPr>
      </w:pPr>
    </w:p>
    <w:p w:rsidR="00B82B1D" w:rsidRPr="00B10210" w:rsidRDefault="00B82B1D" w:rsidP="00B82B1D">
      <w:pPr>
        <w:tabs>
          <w:tab w:val="left" w:pos="709"/>
        </w:tabs>
        <w:jc w:val="both"/>
        <w:rPr>
          <w:b/>
          <w:bCs/>
        </w:rPr>
      </w:pPr>
      <w:r w:rsidRPr="00B10210">
        <w:rPr>
          <w:b/>
          <w:bCs/>
        </w:rPr>
        <w:t>K bodu 27</w:t>
      </w:r>
    </w:p>
    <w:p w:rsidR="00B82B1D" w:rsidRPr="00B10210" w:rsidRDefault="00B82B1D" w:rsidP="00B82B1D">
      <w:pPr>
        <w:tabs>
          <w:tab w:val="left" w:pos="709"/>
        </w:tabs>
        <w:jc w:val="both"/>
        <w:rPr>
          <w:bCs/>
        </w:rPr>
      </w:pPr>
      <w:r w:rsidRPr="00B10210">
        <w:rPr>
          <w:b/>
          <w:bCs/>
        </w:rPr>
        <w:tab/>
      </w:r>
      <w:r w:rsidRPr="00B10210">
        <w:rPr>
          <w:bCs/>
        </w:rPr>
        <w:t>Ustanovenie sa navrhuje doplniť tak, aby</w:t>
      </w:r>
      <w:r w:rsidRPr="00B10210">
        <w:rPr>
          <w:b/>
          <w:bCs/>
        </w:rPr>
        <w:t xml:space="preserve"> </w:t>
      </w:r>
      <w:r w:rsidRPr="00B10210">
        <w:rPr>
          <w:bCs/>
        </w:rPr>
        <w:t>pri výpočte najviac prípustného počtu nenávratne zničených kontrolných známok v technologickom zariadení slúžiacom na nalepenie kontrolných známok na spotrebiteľské balenie stanovilo výsledný počet vyjadrený celým číslom zaokrúhleným smerom nadol, keďže matematické zaokrúhľovanie smerom nahor by viedlo k prekračovaniu povoleného zákonného limitu vyjadreného percentuálne.</w:t>
      </w:r>
    </w:p>
    <w:p w:rsidR="00B82B1D" w:rsidRPr="00B10210" w:rsidRDefault="00B82B1D" w:rsidP="00B82B1D">
      <w:pPr>
        <w:tabs>
          <w:tab w:val="left" w:pos="709"/>
        </w:tabs>
        <w:jc w:val="both"/>
        <w:rPr>
          <w:b/>
          <w:bCs/>
        </w:rPr>
      </w:pPr>
    </w:p>
    <w:p w:rsidR="00B82B1D" w:rsidRPr="00B10210" w:rsidRDefault="00B82B1D" w:rsidP="00B82B1D">
      <w:pPr>
        <w:tabs>
          <w:tab w:val="left" w:pos="709"/>
        </w:tabs>
        <w:jc w:val="both"/>
      </w:pPr>
      <w:r w:rsidRPr="00B10210">
        <w:rPr>
          <w:b/>
          <w:bCs/>
        </w:rPr>
        <w:t>K bodom 28 a 30</w:t>
      </w:r>
    </w:p>
    <w:p w:rsidR="00B82B1D" w:rsidRPr="00B10210" w:rsidRDefault="00B82B1D" w:rsidP="00B82B1D">
      <w:pPr>
        <w:tabs>
          <w:tab w:val="left" w:pos="709"/>
        </w:tabs>
        <w:jc w:val="both"/>
        <w:rPr>
          <w:bCs/>
        </w:rPr>
      </w:pPr>
      <w:r w:rsidRPr="00B10210">
        <w:tab/>
        <w:t xml:space="preserve">V súlade so smernicou Rady (EÚ) </w:t>
      </w:r>
      <w:r w:rsidRPr="00B10210">
        <w:rPr>
          <w:bCs/>
        </w:rPr>
        <w:t>2019/2235</w:t>
      </w:r>
      <w:r w:rsidRPr="00B10210">
        <w:t xml:space="preserve"> </w:t>
      </w:r>
      <w:r w:rsidRPr="00B10210">
        <w:rPr>
          <w:bCs/>
        </w:rPr>
        <w:t xml:space="preserve">sa upresňuje vznik daňovej povinnosti </w:t>
      </w:r>
      <w:r w:rsidRPr="00B10210">
        <w:t xml:space="preserve">pri prijatí tabakových výrobkov ozbrojenými silami iných členských štátov a ich civilnými zamestnancami na použitie pri obrannom úsilí v rámci spoločnej bezpečnostnej a obrannej politiky Európskej únie, ak na takéto prijatie nenadväzuje oslobodenie od dane. </w:t>
      </w:r>
      <w:r w:rsidRPr="00B10210">
        <w:rPr>
          <w:bCs/>
        </w:rPr>
        <w:t>Zároveň sa stanovuje platiteľ dane.</w:t>
      </w:r>
    </w:p>
    <w:p w:rsidR="00B82B1D" w:rsidRPr="00B10210" w:rsidRDefault="00B82B1D" w:rsidP="00B82B1D">
      <w:pPr>
        <w:tabs>
          <w:tab w:val="left" w:pos="709"/>
        </w:tabs>
        <w:jc w:val="both"/>
        <w:rPr>
          <w:bCs/>
        </w:rPr>
      </w:pPr>
    </w:p>
    <w:p w:rsidR="00B82B1D" w:rsidRPr="00B10210" w:rsidRDefault="00B82B1D" w:rsidP="00B82B1D">
      <w:pPr>
        <w:tabs>
          <w:tab w:val="left" w:pos="709"/>
        </w:tabs>
        <w:jc w:val="both"/>
        <w:rPr>
          <w:b/>
          <w:bCs/>
        </w:rPr>
      </w:pPr>
      <w:r w:rsidRPr="00B10210">
        <w:rPr>
          <w:b/>
          <w:bCs/>
        </w:rPr>
        <w:t>K bodom 29 a 31</w:t>
      </w:r>
    </w:p>
    <w:p w:rsidR="00B82B1D" w:rsidRPr="00B10210" w:rsidRDefault="00B82B1D" w:rsidP="00B82B1D">
      <w:pPr>
        <w:tabs>
          <w:tab w:val="left" w:pos="709"/>
        </w:tabs>
        <w:jc w:val="both"/>
        <w:rPr>
          <w:bCs/>
        </w:rPr>
      </w:pPr>
      <w:r w:rsidRPr="00B10210">
        <w:rPr>
          <w:bCs/>
        </w:rPr>
        <w:tab/>
        <w:t>Ustanovenie sa dopĺňa tak, aby stanovilo vznik daňovej povinnosti každého tabakového výrobku uvedeného do daňového voľného obehu na území iného členského štátu a následne prijatého na daňovom území na podnikateľské účely, na deň jeho prijatia. Súčasne sa stanovuje vznik daňovej povinnosti ak nie je známy deň prepravenia tohto tabakového výrobku na daňové územie na podnikateľské účely. Tiež sa primerane stanovuje platiteľ dane.</w:t>
      </w:r>
    </w:p>
    <w:p w:rsidR="00B82B1D" w:rsidRPr="00B10210" w:rsidRDefault="00B82B1D" w:rsidP="00B82B1D">
      <w:pPr>
        <w:tabs>
          <w:tab w:val="left" w:pos="709"/>
        </w:tabs>
        <w:jc w:val="both"/>
      </w:pPr>
    </w:p>
    <w:p w:rsidR="00B82B1D" w:rsidRPr="00B10210" w:rsidRDefault="00B82B1D" w:rsidP="00B82B1D">
      <w:pPr>
        <w:tabs>
          <w:tab w:val="left" w:pos="709"/>
        </w:tabs>
        <w:jc w:val="both"/>
        <w:rPr>
          <w:b/>
          <w:bCs/>
        </w:rPr>
      </w:pPr>
      <w:r w:rsidRPr="00B10210">
        <w:rPr>
          <w:b/>
          <w:bCs/>
        </w:rPr>
        <w:t>K bodu 32</w:t>
      </w:r>
    </w:p>
    <w:p w:rsidR="00B82B1D" w:rsidRPr="00B10210" w:rsidRDefault="00B82B1D" w:rsidP="00B82B1D">
      <w:pPr>
        <w:tabs>
          <w:tab w:val="left" w:pos="709"/>
        </w:tabs>
        <w:jc w:val="both"/>
        <w:rPr>
          <w:bCs/>
        </w:rPr>
      </w:pPr>
      <w:r w:rsidRPr="00B10210">
        <w:rPr>
          <w:bCs/>
        </w:rPr>
        <w:tab/>
        <w:t>Legislatívno-technická úprava súvisiaca s vypustením ustanovení týkajúcich sa úpravy pre prevádzkovanie tranzitného daňového skladu.</w:t>
      </w:r>
    </w:p>
    <w:p w:rsidR="00B82B1D" w:rsidRPr="00B10210" w:rsidRDefault="00B82B1D" w:rsidP="00B82B1D">
      <w:pPr>
        <w:tabs>
          <w:tab w:val="left" w:pos="709"/>
        </w:tabs>
        <w:jc w:val="both"/>
        <w:rPr>
          <w:b/>
          <w:bCs/>
        </w:rPr>
      </w:pPr>
    </w:p>
    <w:p w:rsidR="00B82B1D" w:rsidRPr="00B10210" w:rsidRDefault="00B82B1D" w:rsidP="00B82B1D">
      <w:pPr>
        <w:tabs>
          <w:tab w:val="left" w:pos="709"/>
        </w:tabs>
        <w:jc w:val="both"/>
      </w:pPr>
      <w:r w:rsidRPr="00B10210">
        <w:rPr>
          <w:b/>
          <w:bCs/>
        </w:rPr>
        <w:t>K bodu 33</w:t>
      </w:r>
    </w:p>
    <w:p w:rsidR="00B82B1D" w:rsidRDefault="00B82B1D" w:rsidP="00B82B1D">
      <w:pPr>
        <w:tabs>
          <w:tab w:val="left" w:pos="709"/>
        </w:tabs>
        <w:jc w:val="both"/>
      </w:pPr>
      <w:r w:rsidRPr="00B10210">
        <w:tab/>
        <w:t xml:space="preserve">Pri platiteľovi, ktorý má ako prvý na daňovom území v držbe prepravený tabakový výrobok uvedený do daňového voľného obehu na území iného členského štátu na podnikateľské účely, alebo ktorý takýto tabakový výrobok ako prvý použil, ak nie je známy </w:t>
      </w:r>
      <w:r w:rsidR="004F4E50">
        <w:br/>
      </w:r>
      <w:r w:rsidRPr="00B10210">
        <w:lastRenderedPageBreak/>
        <w:t>deň prepravenia tohto tabakového výrobku na daňové územie a tento platiteľ dane nemá sídlo alebo trvalý pobyt na daňovom území, sa tomuto platiteľovi dane navrhovanou úpravou stanovuje povinnosť podať daňové priznanie a zaplatiť daň Colnému úradu Bratislava, a to podľa sadzieb dane platných v deň prepravenia alebo použitia tabakového výrobku.</w:t>
      </w:r>
    </w:p>
    <w:p w:rsidR="004F4E50" w:rsidRPr="00B10210" w:rsidRDefault="004F4E50" w:rsidP="00B82B1D">
      <w:pPr>
        <w:tabs>
          <w:tab w:val="left" w:pos="709"/>
        </w:tabs>
        <w:jc w:val="both"/>
      </w:pPr>
    </w:p>
    <w:p w:rsidR="00B82B1D" w:rsidRPr="00B10210" w:rsidRDefault="00B82B1D" w:rsidP="00B82B1D">
      <w:pPr>
        <w:tabs>
          <w:tab w:val="left" w:pos="709"/>
        </w:tabs>
        <w:jc w:val="both"/>
      </w:pPr>
      <w:r w:rsidRPr="00B10210">
        <w:rPr>
          <w:b/>
          <w:bCs/>
        </w:rPr>
        <w:t>K bodu 34</w:t>
      </w:r>
    </w:p>
    <w:p w:rsidR="00B82B1D" w:rsidRPr="00B10210" w:rsidRDefault="00B82B1D" w:rsidP="00B82B1D">
      <w:pPr>
        <w:tabs>
          <w:tab w:val="left" w:pos="709"/>
        </w:tabs>
        <w:jc w:val="both"/>
      </w:pPr>
      <w:r w:rsidRPr="00B10210">
        <w:tab/>
        <w:t>V súlade so smernicou Rady (EÚ) 2020/262 sa navrhuje, že pri dodaní tabakového výrobku v daňovom voľnom obehu na územie iného členského štátu na podnikateľské účely, ktorý bol odoslaný z daňového územia schváleným odosielateľom sa správa o prijatí alebo písomná správa o prijatí považuje za dostatočný dôkaz, že schválený odosielateľ splnil všetky podmienky na vrátenie dane colným úradom.</w:t>
      </w:r>
    </w:p>
    <w:p w:rsidR="00B82B1D" w:rsidRPr="00B10210" w:rsidRDefault="00B82B1D" w:rsidP="00B82B1D">
      <w:pPr>
        <w:tabs>
          <w:tab w:val="left" w:pos="709"/>
        </w:tabs>
        <w:jc w:val="both"/>
      </w:pPr>
    </w:p>
    <w:p w:rsidR="00B82B1D" w:rsidRPr="00B10210" w:rsidRDefault="00B82B1D" w:rsidP="00B82B1D">
      <w:pPr>
        <w:tabs>
          <w:tab w:val="left" w:pos="709"/>
        </w:tabs>
        <w:jc w:val="both"/>
        <w:rPr>
          <w:b/>
          <w:bCs/>
        </w:rPr>
      </w:pPr>
      <w:r w:rsidRPr="00B10210">
        <w:rPr>
          <w:b/>
          <w:bCs/>
        </w:rPr>
        <w:t>K bodu 35</w:t>
      </w:r>
    </w:p>
    <w:p w:rsidR="00B82B1D" w:rsidRPr="00B10210" w:rsidRDefault="00B82B1D" w:rsidP="00B82B1D">
      <w:pPr>
        <w:tabs>
          <w:tab w:val="left" w:pos="709"/>
        </w:tabs>
        <w:jc w:val="both"/>
        <w:rPr>
          <w:bCs/>
        </w:rPr>
      </w:pPr>
      <w:r w:rsidRPr="00B10210">
        <w:rPr>
          <w:b/>
          <w:bCs/>
        </w:rPr>
        <w:tab/>
      </w:r>
      <w:r w:rsidRPr="00B10210">
        <w:rPr>
          <w:bCs/>
        </w:rPr>
        <w:t>Legislatívno-technická úprava, ktorou sa aktualizujú doklady potvrdzujúce ukončenie vývozu tabakových výrobkov.</w:t>
      </w:r>
    </w:p>
    <w:p w:rsidR="00B82B1D" w:rsidRPr="00B10210" w:rsidRDefault="00B82B1D" w:rsidP="00B82B1D">
      <w:pPr>
        <w:tabs>
          <w:tab w:val="left" w:pos="709"/>
        </w:tabs>
        <w:jc w:val="both"/>
        <w:rPr>
          <w:b/>
          <w:bCs/>
        </w:rPr>
      </w:pPr>
    </w:p>
    <w:p w:rsidR="00B82B1D" w:rsidRPr="00B10210" w:rsidRDefault="00B82B1D" w:rsidP="00B82B1D">
      <w:pPr>
        <w:tabs>
          <w:tab w:val="left" w:pos="709"/>
        </w:tabs>
        <w:jc w:val="both"/>
        <w:rPr>
          <w:b/>
          <w:bCs/>
        </w:rPr>
      </w:pPr>
      <w:r w:rsidRPr="00B10210">
        <w:rPr>
          <w:b/>
          <w:bCs/>
        </w:rPr>
        <w:t>K bodu 36</w:t>
      </w:r>
    </w:p>
    <w:p w:rsidR="00B82B1D" w:rsidRPr="00B10210" w:rsidRDefault="00B82B1D" w:rsidP="00B82B1D">
      <w:pPr>
        <w:tabs>
          <w:tab w:val="left" w:pos="709"/>
        </w:tabs>
        <w:jc w:val="both"/>
        <w:rPr>
          <w:bCs/>
        </w:rPr>
      </w:pPr>
      <w:r w:rsidRPr="00B10210">
        <w:rPr>
          <w:b/>
          <w:bCs/>
        </w:rPr>
        <w:tab/>
      </w:r>
      <w:r w:rsidRPr="00B10210">
        <w:rPr>
          <w:bCs/>
        </w:rPr>
        <w:t>Navrhovaná úprava jednoznačnejšie definuje, ktoré tabakové výrobky sú na účely zákona považované za preukázateľne zdanené tabakové výrobky.</w:t>
      </w:r>
    </w:p>
    <w:p w:rsidR="00B82B1D" w:rsidRPr="00B10210" w:rsidRDefault="00B82B1D" w:rsidP="00B82B1D">
      <w:pPr>
        <w:tabs>
          <w:tab w:val="left" w:pos="709"/>
        </w:tabs>
        <w:jc w:val="both"/>
        <w:rPr>
          <w:b/>
          <w:bCs/>
        </w:rPr>
      </w:pPr>
    </w:p>
    <w:p w:rsidR="00B82B1D" w:rsidRPr="00B10210" w:rsidRDefault="00B82B1D" w:rsidP="00B82B1D">
      <w:pPr>
        <w:tabs>
          <w:tab w:val="left" w:pos="709"/>
        </w:tabs>
        <w:jc w:val="both"/>
        <w:rPr>
          <w:b/>
          <w:bCs/>
        </w:rPr>
      </w:pPr>
      <w:r w:rsidRPr="00B10210">
        <w:rPr>
          <w:b/>
          <w:bCs/>
        </w:rPr>
        <w:t>K bodu 37</w:t>
      </w:r>
    </w:p>
    <w:p w:rsidR="00B82B1D" w:rsidRPr="00B10210" w:rsidRDefault="00B82B1D" w:rsidP="00B82B1D">
      <w:pPr>
        <w:tabs>
          <w:tab w:val="left" w:pos="709"/>
        </w:tabs>
        <w:jc w:val="both"/>
        <w:rPr>
          <w:bCs/>
        </w:rPr>
      </w:pPr>
      <w:r w:rsidRPr="00B10210">
        <w:tab/>
      </w:r>
      <w:r w:rsidRPr="00B10210">
        <w:rPr>
          <w:bCs/>
        </w:rPr>
        <w:t>Legislatívno-technická úprava, ktorou sa vypúšťa ustanovenie o vrátení dane platiteľovi dane, ak už zaplatil daň a túto nesprávne vypočítal platiteľ dane alebo colný úrad, ktoré je upravené v Daňovom poriadku.</w:t>
      </w:r>
    </w:p>
    <w:p w:rsidR="00B82B1D" w:rsidRPr="00B10210" w:rsidRDefault="00B82B1D" w:rsidP="00B82B1D">
      <w:pPr>
        <w:tabs>
          <w:tab w:val="left" w:pos="709"/>
        </w:tabs>
        <w:jc w:val="both"/>
        <w:rPr>
          <w:b/>
          <w:bCs/>
        </w:rPr>
      </w:pPr>
    </w:p>
    <w:p w:rsidR="00B82B1D" w:rsidRPr="00B10210" w:rsidRDefault="00B82B1D" w:rsidP="00B82B1D">
      <w:pPr>
        <w:autoSpaceDE w:val="0"/>
        <w:autoSpaceDN w:val="0"/>
        <w:adjustRightInd w:val="0"/>
        <w:jc w:val="both"/>
        <w:rPr>
          <w:b/>
          <w:bCs/>
        </w:rPr>
      </w:pPr>
      <w:r w:rsidRPr="00B10210">
        <w:rPr>
          <w:b/>
          <w:bCs/>
        </w:rPr>
        <w:t>K bodu 38</w:t>
      </w:r>
    </w:p>
    <w:p w:rsidR="00B82B1D" w:rsidRPr="00B10210" w:rsidRDefault="00B82B1D" w:rsidP="00B82B1D">
      <w:pPr>
        <w:autoSpaceDE w:val="0"/>
        <w:autoSpaceDN w:val="0"/>
        <w:adjustRightInd w:val="0"/>
        <w:jc w:val="both"/>
      </w:pPr>
      <w:r w:rsidRPr="00B10210">
        <w:rPr>
          <w:b/>
        </w:rPr>
        <w:tab/>
      </w:r>
      <w:r w:rsidRPr="00B10210">
        <w:rPr>
          <w:bCs/>
        </w:rPr>
        <w:t>Ustanovenie sa navrhuje z dôvodu jeho neaktuálnosti vypustiť.</w:t>
      </w:r>
    </w:p>
    <w:p w:rsidR="00B82B1D" w:rsidRPr="00B10210" w:rsidRDefault="00B82B1D" w:rsidP="00B82B1D">
      <w:pPr>
        <w:autoSpaceDE w:val="0"/>
        <w:autoSpaceDN w:val="0"/>
        <w:adjustRightInd w:val="0"/>
        <w:jc w:val="both"/>
        <w:rPr>
          <w:b/>
        </w:rPr>
      </w:pPr>
    </w:p>
    <w:p w:rsidR="00B82B1D" w:rsidRPr="00B10210" w:rsidRDefault="00B82B1D" w:rsidP="00B82B1D">
      <w:pPr>
        <w:autoSpaceDE w:val="0"/>
        <w:autoSpaceDN w:val="0"/>
        <w:adjustRightInd w:val="0"/>
        <w:jc w:val="both"/>
        <w:rPr>
          <w:b/>
        </w:rPr>
      </w:pPr>
      <w:r w:rsidRPr="00B10210">
        <w:rPr>
          <w:b/>
        </w:rPr>
        <w:t>K bodu 39</w:t>
      </w:r>
    </w:p>
    <w:p w:rsidR="00B82B1D" w:rsidRPr="00B10210" w:rsidRDefault="00B82B1D" w:rsidP="00B82B1D">
      <w:pPr>
        <w:autoSpaceDE w:val="0"/>
        <w:autoSpaceDN w:val="0"/>
        <w:adjustRightInd w:val="0"/>
        <w:ind w:firstLine="567"/>
        <w:jc w:val="both"/>
      </w:pPr>
      <w:r w:rsidRPr="00B10210">
        <w:t>Legislatívno-technická úprava spresňujúca v povolení na prevádzkovanie daňového skladu vydanom colným úradom vymedzenie činností, ktoré žiadateľ žiadal v pozastavení dane vykonávať, a to v závislosti od toho, či žiadateľ žiada o prevádzkovanie daňového skladu, ktorým je podnik na výrobu alebo sklad.</w:t>
      </w:r>
    </w:p>
    <w:p w:rsidR="00B82B1D" w:rsidRPr="00B10210" w:rsidRDefault="00B82B1D" w:rsidP="00B82B1D">
      <w:pPr>
        <w:autoSpaceDE w:val="0"/>
        <w:autoSpaceDN w:val="0"/>
        <w:adjustRightInd w:val="0"/>
        <w:jc w:val="both"/>
      </w:pPr>
    </w:p>
    <w:p w:rsidR="00B82B1D" w:rsidRPr="00B10210" w:rsidRDefault="00B82B1D" w:rsidP="00B82B1D">
      <w:pPr>
        <w:autoSpaceDE w:val="0"/>
        <w:autoSpaceDN w:val="0"/>
        <w:adjustRightInd w:val="0"/>
        <w:jc w:val="both"/>
        <w:rPr>
          <w:b/>
        </w:rPr>
      </w:pPr>
      <w:r w:rsidRPr="00B10210">
        <w:rPr>
          <w:b/>
        </w:rPr>
        <w:t>K bodom 40 a 41</w:t>
      </w:r>
    </w:p>
    <w:p w:rsidR="00B82B1D" w:rsidRPr="00B10210" w:rsidRDefault="00B82B1D" w:rsidP="00B82B1D">
      <w:pPr>
        <w:autoSpaceDE w:val="0"/>
        <w:autoSpaceDN w:val="0"/>
        <w:adjustRightInd w:val="0"/>
        <w:jc w:val="both"/>
      </w:pPr>
      <w:r w:rsidRPr="00B10210">
        <w:rPr>
          <w:b/>
        </w:rPr>
        <w:tab/>
      </w:r>
      <w:r w:rsidRPr="00B10210">
        <w:t xml:space="preserve">Predmetné </w:t>
      </w:r>
      <w:r w:rsidRPr="00B10210">
        <w:rPr>
          <w:bCs/>
        </w:rPr>
        <w:t>ustanovenia sa navrhuje upresniť tak</w:t>
      </w:r>
      <w:r w:rsidRPr="00B10210">
        <w:t>, aby bol colný úrad o daných skutočnostiach informovaný skôr než nastanú.</w:t>
      </w:r>
    </w:p>
    <w:p w:rsidR="00B82B1D" w:rsidRPr="00B10210" w:rsidRDefault="00B82B1D" w:rsidP="00B82B1D">
      <w:pPr>
        <w:autoSpaceDE w:val="0"/>
        <w:autoSpaceDN w:val="0"/>
        <w:adjustRightInd w:val="0"/>
        <w:jc w:val="both"/>
        <w:rPr>
          <w:b/>
        </w:rPr>
      </w:pPr>
    </w:p>
    <w:p w:rsidR="00B82B1D" w:rsidRPr="00B10210" w:rsidRDefault="00B82B1D" w:rsidP="00B82B1D">
      <w:pPr>
        <w:autoSpaceDE w:val="0"/>
        <w:autoSpaceDN w:val="0"/>
        <w:adjustRightInd w:val="0"/>
        <w:jc w:val="both"/>
        <w:rPr>
          <w:b/>
          <w:bCs/>
        </w:rPr>
      </w:pPr>
      <w:r w:rsidRPr="00B10210">
        <w:rPr>
          <w:b/>
          <w:bCs/>
        </w:rPr>
        <w:t>K bodu 42</w:t>
      </w:r>
    </w:p>
    <w:p w:rsidR="00B82B1D" w:rsidRPr="00B10210" w:rsidRDefault="00B82B1D" w:rsidP="00B82B1D">
      <w:pPr>
        <w:autoSpaceDE w:val="0"/>
        <w:autoSpaceDN w:val="0"/>
        <w:adjustRightInd w:val="0"/>
        <w:jc w:val="both"/>
      </w:pPr>
      <w:r w:rsidRPr="00B10210">
        <w:rPr>
          <w:b/>
          <w:bCs/>
        </w:rPr>
        <w:tab/>
      </w:r>
      <w:r w:rsidRPr="00B10210">
        <w:rPr>
          <w:bCs/>
        </w:rPr>
        <w:t>Zmenou definície preukázateľne zdanených tabakových výrobkov v § 14 ods. 3 je potrebné zaviesť legislatívnu skratku pre pojem „banka“.</w:t>
      </w:r>
    </w:p>
    <w:p w:rsidR="00B82B1D" w:rsidRPr="00B10210" w:rsidRDefault="00B82B1D" w:rsidP="00B82B1D">
      <w:pPr>
        <w:autoSpaceDE w:val="0"/>
        <w:autoSpaceDN w:val="0"/>
        <w:adjustRightInd w:val="0"/>
        <w:jc w:val="both"/>
        <w:rPr>
          <w:b/>
        </w:rPr>
      </w:pPr>
    </w:p>
    <w:p w:rsidR="00B82B1D" w:rsidRPr="00B10210" w:rsidRDefault="00B82B1D" w:rsidP="00B82B1D">
      <w:pPr>
        <w:autoSpaceDE w:val="0"/>
        <w:autoSpaceDN w:val="0"/>
        <w:adjustRightInd w:val="0"/>
        <w:jc w:val="both"/>
        <w:rPr>
          <w:b/>
        </w:rPr>
      </w:pPr>
      <w:r w:rsidRPr="00B10210">
        <w:rPr>
          <w:b/>
        </w:rPr>
        <w:t>K bodom 43, 48, 50 a 69</w:t>
      </w:r>
    </w:p>
    <w:p w:rsidR="00B82B1D" w:rsidRPr="00B10210" w:rsidRDefault="00B82B1D" w:rsidP="00B82B1D">
      <w:pPr>
        <w:autoSpaceDE w:val="0"/>
        <w:autoSpaceDN w:val="0"/>
        <w:adjustRightInd w:val="0"/>
        <w:jc w:val="both"/>
      </w:pPr>
      <w:r w:rsidRPr="00B10210">
        <w:tab/>
        <w:t xml:space="preserve">Vzhľadom na elektronizáciu povolení vydávaných colným úradom v zmysle zákona doposiaľ v papierovej podobe sa navrhuje upraviť predmetné ustanovenia tak, aby daňové subjekty nemali povinnosť preukazovať sa povolením (povolenie na prevádzkovanie daňového skladu, povolenie odosielať tovar v pozastavení dane, povolenie na obchodovanie s tabakovou surovinou, povolenie na prijatie a dovoz bezdymového tabakového výrobku) colnému úradu pri dovoze tovaru, resp. dodávateľovi tovaru, a to s cieľom vydávať predmetné povolenia v elektronickej podobe. Uvedený návrh zmeny vychádza z princípov zákona </w:t>
      </w:r>
      <w:r w:rsidR="004F4E50">
        <w:br/>
      </w:r>
      <w:r w:rsidRPr="00B10210">
        <w:lastRenderedPageBreak/>
        <w:t>č. 305/2013 Z. z., v zmysle ktorého vykonávajú colné úrady výkon verejnej moci elektronicky. V súčasnosti je listinné vydávanie niektorých povolení vynútené aj skutočnosťou, že sa nimi daňové subjekty musia preukazovať colnému úradu pri dovoze tovaru alebo sa nimi musia preu</w:t>
      </w:r>
      <w:r w:rsidR="004F4E50">
        <w:t>kazovať dodávateľovi tovaru.</w:t>
      </w:r>
    </w:p>
    <w:p w:rsidR="00B82B1D" w:rsidRPr="00B10210" w:rsidRDefault="00B82B1D" w:rsidP="00B82B1D">
      <w:pPr>
        <w:autoSpaceDE w:val="0"/>
        <w:autoSpaceDN w:val="0"/>
        <w:adjustRightInd w:val="0"/>
        <w:jc w:val="both"/>
        <w:rPr>
          <w:b/>
        </w:rPr>
      </w:pPr>
    </w:p>
    <w:p w:rsidR="00B82B1D" w:rsidRPr="00B10210" w:rsidRDefault="00B82B1D" w:rsidP="00B82B1D">
      <w:pPr>
        <w:autoSpaceDE w:val="0"/>
        <w:autoSpaceDN w:val="0"/>
        <w:adjustRightInd w:val="0"/>
        <w:jc w:val="both"/>
      </w:pPr>
      <w:r w:rsidRPr="00B10210">
        <w:rPr>
          <w:b/>
        </w:rPr>
        <w:t>K bodom 44 až 47 a bodu 49</w:t>
      </w:r>
    </w:p>
    <w:p w:rsidR="00B82B1D" w:rsidRPr="00B10210" w:rsidRDefault="00B82B1D" w:rsidP="00B82B1D">
      <w:pPr>
        <w:autoSpaceDE w:val="0"/>
        <w:autoSpaceDN w:val="0"/>
        <w:adjustRightInd w:val="0"/>
        <w:ind w:firstLine="567"/>
        <w:jc w:val="both"/>
        <w:rPr>
          <w:b/>
        </w:rPr>
      </w:pPr>
      <w:r w:rsidRPr="00B10210">
        <w:rPr>
          <w:bCs/>
        </w:rPr>
        <w:t xml:space="preserve">Na základe doterajších zistení a poznatkov z aplikačnej praxe sa navrhuje </w:t>
      </w:r>
      <w:r w:rsidRPr="00B10210">
        <w:t>spresniť a doplniť ustanovenia upravujúce obchodovanie s tabakovou surovinou, podmienky vrátenia dane z tabakovej suroviny a postup colného úradu pri odňatí a zániku povolenia a vyradení z evidencie držiteľov povolenia na obchodovanie s tabakovou surovinou.</w:t>
      </w:r>
    </w:p>
    <w:p w:rsidR="00B82B1D" w:rsidRPr="00B10210" w:rsidRDefault="00B82B1D" w:rsidP="00B82B1D">
      <w:pPr>
        <w:autoSpaceDE w:val="0"/>
        <w:autoSpaceDN w:val="0"/>
        <w:adjustRightInd w:val="0"/>
        <w:ind w:firstLine="567"/>
        <w:jc w:val="both"/>
      </w:pPr>
      <w:r w:rsidRPr="00B10210">
        <w:t>Zároveň</w:t>
      </w:r>
      <w:r w:rsidRPr="00B10210">
        <w:rPr>
          <w:bCs/>
        </w:rPr>
        <w:t xml:space="preserve"> sa legislatívno-technicky upravuje</w:t>
      </w:r>
      <w:r w:rsidRPr="00B10210">
        <w:t xml:space="preserve"> </w:t>
      </w:r>
      <w:r w:rsidRPr="00B10210">
        <w:rPr>
          <w:bCs/>
        </w:rPr>
        <w:t>povinnosť držiteľa povolenia na obchodovanie s tabakovou surovinou oznámiť colnému úradu zmenu skutočností a údajov evidovaných colným úradom v súvislosti s povolením na obchodovanie s tabakovou surovinou.</w:t>
      </w:r>
    </w:p>
    <w:p w:rsidR="00B82B1D" w:rsidRPr="00B10210" w:rsidRDefault="00B82B1D" w:rsidP="00B82B1D">
      <w:pPr>
        <w:autoSpaceDE w:val="0"/>
        <w:autoSpaceDN w:val="0"/>
        <w:adjustRightInd w:val="0"/>
        <w:ind w:firstLine="567"/>
        <w:jc w:val="both"/>
      </w:pPr>
      <w:r w:rsidRPr="00B10210">
        <w:rPr>
          <w:bCs/>
        </w:rPr>
        <w:t>Tiež</w:t>
      </w:r>
      <w:r w:rsidRPr="00B10210">
        <w:t xml:space="preserve"> sa navrhovanou úpravou ruší povinnosť dovozcu, ktorý je držiteľom povolenia na obchodovanie s tabakovou surovinou a súčasne prevádzkovateľom daňového skladu, preukázať sa colnému úradu, ktorý tabakovú surovinu prepúšťa do voľného obehu, povolením na prevádzkovanie daňového skladu. </w:t>
      </w:r>
      <w:r w:rsidRPr="00B10210">
        <w:rPr>
          <w:bCs/>
        </w:rPr>
        <w:t xml:space="preserve">Cieľom navrhovanej úpravy je </w:t>
      </w:r>
      <w:r w:rsidRPr="00B10210">
        <w:t>nahradiť</w:t>
      </w:r>
      <w:r w:rsidRPr="00B10210">
        <w:rPr>
          <w:bCs/>
        </w:rPr>
        <w:t xml:space="preserve"> doterajšie p</w:t>
      </w:r>
      <w:r w:rsidRPr="00B10210">
        <w:t>ovolenia</w:t>
      </w:r>
      <w:r w:rsidRPr="00B10210">
        <w:rPr>
          <w:bCs/>
        </w:rPr>
        <w:t xml:space="preserve"> vydávané colným úradom v listinnej forme, </w:t>
      </w:r>
      <w:r w:rsidRPr="00B10210">
        <w:t>keďže v súčasnosti je listinné vydávanie niektorých povolení vynútené aj skutočnosťou, že sa nimi daňové subjekty musia preukazovať colnému úradu pri dovoze tovaru.</w:t>
      </w:r>
    </w:p>
    <w:p w:rsidR="00B82B1D" w:rsidRPr="00B10210" w:rsidRDefault="00B82B1D" w:rsidP="00B82B1D">
      <w:pPr>
        <w:autoSpaceDE w:val="0"/>
        <w:autoSpaceDN w:val="0"/>
        <w:adjustRightInd w:val="0"/>
        <w:ind w:firstLine="567"/>
        <w:jc w:val="both"/>
      </w:pPr>
    </w:p>
    <w:p w:rsidR="00B82B1D" w:rsidRPr="00B10210" w:rsidRDefault="00B82B1D" w:rsidP="00B82B1D">
      <w:pPr>
        <w:autoSpaceDE w:val="0"/>
        <w:autoSpaceDN w:val="0"/>
        <w:adjustRightInd w:val="0"/>
        <w:jc w:val="both"/>
        <w:rPr>
          <w:bCs/>
        </w:rPr>
      </w:pPr>
      <w:r w:rsidRPr="00B10210">
        <w:rPr>
          <w:b/>
          <w:bCs/>
        </w:rPr>
        <w:t>K bodom 52 až 57</w:t>
      </w:r>
    </w:p>
    <w:p w:rsidR="00B82B1D" w:rsidRPr="00B10210" w:rsidRDefault="00B82B1D" w:rsidP="00B82B1D">
      <w:pPr>
        <w:autoSpaceDE w:val="0"/>
        <w:autoSpaceDN w:val="0"/>
        <w:adjustRightInd w:val="0"/>
        <w:jc w:val="both"/>
        <w:rPr>
          <w:bCs/>
        </w:rPr>
      </w:pPr>
      <w:r w:rsidRPr="00B10210">
        <w:tab/>
      </w:r>
      <w:r w:rsidRPr="00B10210">
        <w:rPr>
          <w:bCs/>
        </w:rPr>
        <w:t>Legislatívno-technické úpravy dopĺňajúce a spresňujúce osobitnú úpravu pre bezdymový tabakový výrobok, vychádzajúce z doterajších zistení a poznatkov z aplikačnej praxe.</w:t>
      </w:r>
    </w:p>
    <w:p w:rsidR="00B82B1D" w:rsidRPr="00B10210" w:rsidRDefault="00B82B1D" w:rsidP="00B82B1D">
      <w:pPr>
        <w:autoSpaceDE w:val="0"/>
        <w:autoSpaceDN w:val="0"/>
        <w:adjustRightInd w:val="0"/>
        <w:jc w:val="both"/>
        <w:rPr>
          <w:bCs/>
        </w:rPr>
      </w:pPr>
    </w:p>
    <w:p w:rsidR="00B82B1D" w:rsidRPr="00B10210" w:rsidRDefault="00B82B1D" w:rsidP="00B82B1D">
      <w:pPr>
        <w:autoSpaceDE w:val="0"/>
        <w:autoSpaceDN w:val="0"/>
        <w:adjustRightInd w:val="0"/>
        <w:jc w:val="both"/>
        <w:rPr>
          <w:b/>
          <w:bCs/>
        </w:rPr>
      </w:pPr>
      <w:r w:rsidRPr="00B10210">
        <w:rPr>
          <w:b/>
          <w:bCs/>
        </w:rPr>
        <w:t>K bodu 59</w:t>
      </w:r>
    </w:p>
    <w:p w:rsidR="00B82B1D" w:rsidRPr="00B10210" w:rsidRDefault="00B82B1D" w:rsidP="00B82B1D">
      <w:pPr>
        <w:autoSpaceDE w:val="0"/>
        <w:autoSpaceDN w:val="0"/>
        <w:adjustRightInd w:val="0"/>
        <w:jc w:val="both"/>
        <w:rPr>
          <w:bCs/>
        </w:rPr>
      </w:pPr>
      <w:r w:rsidRPr="00B10210">
        <w:rPr>
          <w:bCs/>
        </w:rPr>
        <w:tab/>
        <w:t>Legislatívno-technická úprava spresňujúca znenie ustanovení upravujúcich postup pri preprave tabakových výrobkov v pozastavení dane na daňovom území v nadväznosti na znenie ustanovení upravujúcich postup pri preprave tabakových výrobkov v pozastavení dane na území únie.</w:t>
      </w:r>
    </w:p>
    <w:p w:rsidR="00B82B1D" w:rsidRPr="00B10210" w:rsidRDefault="00B82B1D" w:rsidP="00B82B1D">
      <w:pPr>
        <w:autoSpaceDE w:val="0"/>
        <w:autoSpaceDN w:val="0"/>
        <w:adjustRightInd w:val="0"/>
        <w:jc w:val="both"/>
        <w:rPr>
          <w:bCs/>
        </w:rPr>
      </w:pPr>
    </w:p>
    <w:p w:rsidR="00B82B1D" w:rsidRPr="00B10210" w:rsidRDefault="00B82B1D" w:rsidP="00B82B1D">
      <w:pPr>
        <w:autoSpaceDE w:val="0"/>
        <w:autoSpaceDN w:val="0"/>
        <w:adjustRightInd w:val="0"/>
        <w:jc w:val="both"/>
        <w:rPr>
          <w:b/>
          <w:bCs/>
        </w:rPr>
      </w:pPr>
      <w:r w:rsidRPr="00B10210">
        <w:rPr>
          <w:b/>
          <w:bCs/>
        </w:rPr>
        <w:t>K bodu 60</w:t>
      </w:r>
    </w:p>
    <w:p w:rsidR="00B82B1D" w:rsidRPr="00B10210" w:rsidRDefault="00B82B1D" w:rsidP="00B82B1D">
      <w:pPr>
        <w:autoSpaceDE w:val="0"/>
        <w:autoSpaceDN w:val="0"/>
        <w:adjustRightInd w:val="0"/>
        <w:jc w:val="both"/>
        <w:rPr>
          <w:bCs/>
        </w:rPr>
      </w:pPr>
      <w:r w:rsidRPr="00B10210">
        <w:rPr>
          <w:b/>
          <w:bCs/>
        </w:rPr>
        <w:tab/>
      </w:r>
      <w:r w:rsidRPr="00B10210">
        <w:rPr>
          <w:bCs/>
        </w:rPr>
        <w:t>Navrhovanou úpravou sa spresňuje situácia, kedy daňovému subjektu vzniká povinnosť na mieste určenia pred prijatím dodaných tabakových výrobkov oznámiť prostredníctvom elektronického systému colnému úradu, že tabakové výrobky boli dopravené na miesto určenia a od tohto momentu počas dvoch hodín od zaslania oznámenia o tejto skutočnosti tabakové výrobky nevyložiť alebo s týmito tabakovými výrobkami nenakladať.</w:t>
      </w:r>
    </w:p>
    <w:p w:rsidR="00B82B1D" w:rsidRPr="00B10210" w:rsidRDefault="00B82B1D" w:rsidP="00B82B1D">
      <w:pPr>
        <w:autoSpaceDE w:val="0"/>
        <w:autoSpaceDN w:val="0"/>
        <w:adjustRightInd w:val="0"/>
        <w:jc w:val="both"/>
        <w:rPr>
          <w:b/>
          <w:bCs/>
        </w:rPr>
      </w:pPr>
    </w:p>
    <w:p w:rsidR="00B82B1D" w:rsidRPr="00B10210" w:rsidRDefault="00B82B1D" w:rsidP="00B82B1D">
      <w:pPr>
        <w:autoSpaceDE w:val="0"/>
        <w:autoSpaceDN w:val="0"/>
        <w:adjustRightInd w:val="0"/>
        <w:jc w:val="both"/>
        <w:rPr>
          <w:b/>
          <w:bCs/>
        </w:rPr>
      </w:pPr>
      <w:r w:rsidRPr="00B10210">
        <w:rPr>
          <w:b/>
          <w:bCs/>
        </w:rPr>
        <w:t>K bodom 61 až 63</w:t>
      </w:r>
    </w:p>
    <w:p w:rsidR="00B82B1D" w:rsidRPr="00B10210" w:rsidRDefault="00B82B1D" w:rsidP="00B82B1D">
      <w:pPr>
        <w:autoSpaceDE w:val="0"/>
        <w:autoSpaceDN w:val="0"/>
        <w:adjustRightInd w:val="0"/>
        <w:jc w:val="both"/>
        <w:rPr>
          <w:bCs/>
        </w:rPr>
      </w:pPr>
      <w:r w:rsidRPr="00B10210">
        <w:rPr>
          <w:bCs/>
        </w:rPr>
        <w:tab/>
        <w:t>Legislatívno-technické úpravy súvisiace s transpozíciou smernice Rady (EÚ) 2019/2235 dopĺňajúce a spresňujúce ustanovenia upravujúce prepravu tabakových výrobkov v</w:t>
      </w:r>
      <w:r w:rsidR="00011D6C">
        <w:rPr>
          <w:bCs/>
        </w:rPr>
        <w:t> </w:t>
      </w:r>
      <w:r w:rsidRPr="00B10210">
        <w:rPr>
          <w:bCs/>
        </w:rPr>
        <w:t>pozastavení</w:t>
      </w:r>
      <w:r w:rsidR="00011D6C">
        <w:rPr>
          <w:bCs/>
        </w:rPr>
        <w:t xml:space="preserve"> </w:t>
      </w:r>
      <w:r w:rsidRPr="00B10210">
        <w:rPr>
          <w:bCs/>
        </w:rPr>
        <w:t>dane na území únie, ak sú tieto tabakové výrobky prepravované ozbrojenými silami členských štátov na použitie týmito ozbrojenými silami a ich civilnými zamestnancami pri obrannom úsilí v rámci spoločnej bezpečnostnej a obrannej politiky Európskej únie.</w:t>
      </w:r>
    </w:p>
    <w:p w:rsidR="00B82B1D" w:rsidRPr="00B10210" w:rsidRDefault="00B82B1D" w:rsidP="00B82B1D">
      <w:pPr>
        <w:autoSpaceDE w:val="0"/>
        <w:autoSpaceDN w:val="0"/>
        <w:adjustRightInd w:val="0"/>
        <w:jc w:val="both"/>
      </w:pPr>
    </w:p>
    <w:p w:rsidR="00B82B1D" w:rsidRPr="00B10210" w:rsidRDefault="00B82B1D" w:rsidP="00B82B1D">
      <w:pPr>
        <w:autoSpaceDE w:val="0"/>
        <w:autoSpaceDN w:val="0"/>
        <w:adjustRightInd w:val="0"/>
        <w:jc w:val="both"/>
        <w:rPr>
          <w:b/>
          <w:bCs/>
        </w:rPr>
      </w:pPr>
      <w:r w:rsidRPr="00B10210">
        <w:rPr>
          <w:b/>
          <w:bCs/>
        </w:rPr>
        <w:t>K bodom 64 a 79</w:t>
      </w:r>
    </w:p>
    <w:p w:rsidR="00B82B1D" w:rsidRPr="00B10210" w:rsidRDefault="00B82B1D" w:rsidP="00B82B1D">
      <w:pPr>
        <w:autoSpaceDE w:val="0"/>
        <w:autoSpaceDN w:val="0"/>
        <w:adjustRightInd w:val="0"/>
        <w:ind w:firstLine="708"/>
        <w:jc w:val="both"/>
        <w:rPr>
          <w:bCs/>
        </w:rPr>
      </w:pPr>
      <w:r w:rsidRPr="00B10210">
        <w:rPr>
          <w:bCs/>
        </w:rPr>
        <w:t>Ustanovenia sa navrhujú upresniť s cieľom zosúladiť požiadavky na oznamovanie jednotlivých zmien údajov a skutočností colnému úradu.</w:t>
      </w:r>
    </w:p>
    <w:p w:rsidR="00011D6C" w:rsidRDefault="00011D6C" w:rsidP="00B82B1D">
      <w:pPr>
        <w:autoSpaceDE w:val="0"/>
        <w:autoSpaceDN w:val="0"/>
        <w:adjustRightInd w:val="0"/>
        <w:jc w:val="both"/>
        <w:rPr>
          <w:b/>
          <w:bCs/>
        </w:rPr>
      </w:pPr>
    </w:p>
    <w:p w:rsidR="00B82B1D" w:rsidRPr="00B10210" w:rsidRDefault="00B82B1D" w:rsidP="00B82B1D">
      <w:pPr>
        <w:autoSpaceDE w:val="0"/>
        <w:autoSpaceDN w:val="0"/>
        <w:adjustRightInd w:val="0"/>
        <w:jc w:val="both"/>
        <w:rPr>
          <w:bCs/>
        </w:rPr>
      </w:pPr>
      <w:r w:rsidRPr="00B10210">
        <w:rPr>
          <w:b/>
          <w:bCs/>
        </w:rPr>
        <w:lastRenderedPageBreak/>
        <w:t>K bodom 65 až 68</w:t>
      </w:r>
    </w:p>
    <w:p w:rsidR="00B82B1D" w:rsidRPr="00B10210" w:rsidRDefault="00B82B1D" w:rsidP="00B82B1D">
      <w:pPr>
        <w:autoSpaceDE w:val="0"/>
        <w:autoSpaceDN w:val="0"/>
        <w:adjustRightInd w:val="0"/>
        <w:ind w:firstLine="708"/>
        <w:jc w:val="both"/>
        <w:rPr>
          <w:bCs/>
        </w:rPr>
      </w:pPr>
      <w:r w:rsidRPr="00B10210">
        <w:rPr>
          <w:bCs/>
        </w:rPr>
        <w:t>Spresnenie znenia ustanovení upravujúcich podmienky postupu pri preprave tabakových výrobkov v pozastavení dane pri nedostupnom elektronickom systéme sa navrhuje s cieľom zosúladiť tieto podmienky aktuálnej platnej právnej úpravy s novými budúcimi podmienkami postupu pri preprave tabakových výrobkov v daňovom voľnom obehu na podnikateľské účely pri nedostupnom elektronickom systéme, navrhovanými v bode 74 návrhu zákona, ktoré sú transpozíciou smernice Rady (EÚ) 2020/262.</w:t>
      </w:r>
    </w:p>
    <w:p w:rsidR="00B82B1D" w:rsidRPr="00B10210" w:rsidRDefault="00B82B1D" w:rsidP="00B82B1D">
      <w:pPr>
        <w:autoSpaceDE w:val="0"/>
        <w:autoSpaceDN w:val="0"/>
        <w:adjustRightInd w:val="0"/>
        <w:jc w:val="both"/>
        <w:rPr>
          <w:b/>
          <w:bCs/>
        </w:rPr>
      </w:pPr>
    </w:p>
    <w:p w:rsidR="00B82B1D" w:rsidRPr="00B10210" w:rsidRDefault="00B82B1D" w:rsidP="00B82B1D">
      <w:pPr>
        <w:autoSpaceDE w:val="0"/>
        <w:autoSpaceDN w:val="0"/>
        <w:adjustRightInd w:val="0"/>
        <w:jc w:val="both"/>
      </w:pPr>
      <w:r w:rsidRPr="00B10210">
        <w:rPr>
          <w:b/>
          <w:bCs/>
        </w:rPr>
        <w:t>K bodom 71 až 74</w:t>
      </w:r>
    </w:p>
    <w:p w:rsidR="00B82B1D" w:rsidRPr="00B10210" w:rsidRDefault="00B82B1D" w:rsidP="00B82B1D">
      <w:pPr>
        <w:autoSpaceDE w:val="0"/>
        <w:autoSpaceDN w:val="0"/>
        <w:adjustRightInd w:val="0"/>
        <w:ind w:firstLine="708"/>
        <w:jc w:val="both"/>
      </w:pPr>
      <w:r w:rsidRPr="00B10210">
        <w:t xml:space="preserve">Navrhované úpravy v súlade so smernicou Rady (EÚ) 2020/262 v porovnaní s doteraz platnou právnou úpravou zásadne menia postup pri preprave </w:t>
      </w:r>
      <w:r w:rsidRPr="00B10210">
        <w:rPr>
          <w:bCs/>
        </w:rPr>
        <w:t>tabakových výrobkov</w:t>
      </w:r>
      <w:r w:rsidRPr="00B10210">
        <w:t xml:space="preserve"> v daňovom voľnom obehu na podnikateľské účely na daňovom území tak, že sa papierové (tlačené) trojdielne sprievodné dokumenty nahrádzajú elektronickým systémom vyhotovovania zjednodušeného sprievodného administratívneho dokumentu, jeho zasielania colnému úradu, prideľovania jedinečného zjednodušeného administratívneho referenčného kódu colným úradom, informovania colného úradu odosielateľa, ako i colného úradu príjemcu o preprave </w:t>
      </w:r>
      <w:r w:rsidRPr="00B10210">
        <w:rPr>
          <w:bCs/>
        </w:rPr>
        <w:t>tabakových výrobkov</w:t>
      </w:r>
      <w:r w:rsidRPr="00B10210">
        <w:t xml:space="preserve"> v daňovom voľnom obehu, a to od jej začatia až po ukončenie a</w:t>
      </w:r>
      <w:r w:rsidR="00011D6C">
        <w:t> </w:t>
      </w:r>
      <w:r w:rsidRPr="00B10210">
        <w:t>potvrdenie</w:t>
      </w:r>
      <w:r w:rsidR="00011D6C">
        <w:t xml:space="preserve"> </w:t>
      </w:r>
      <w:r w:rsidRPr="00B10210">
        <w:t xml:space="preserve">príjmu </w:t>
      </w:r>
      <w:r w:rsidRPr="00B10210">
        <w:rPr>
          <w:bCs/>
        </w:rPr>
        <w:t>tabakových výrobkov</w:t>
      </w:r>
      <w:r w:rsidRPr="00B10210">
        <w:t xml:space="preserve"> prostredníctvom elektronického systému vyhotovovania správ o prijatí príjemcom </w:t>
      </w:r>
      <w:r w:rsidRPr="00B10210">
        <w:rPr>
          <w:bCs/>
        </w:rPr>
        <w:t>tabakových výrobkov</w:t>
      </w:r>
      <w:r w:rsidRPr="00B10210">
        <w:t xml:space="preserve"> v daňovom voľnom obehu.</w:t>
      </w:r>
    </w:p>
    <w:p w:rsidR="00B82B1D" w:rsidRPr="00B10210" w:rsidRDefault="00B82B1D" w:rsidP="00B82B1D">
      <w:pPr>
        <w:autoSpaceDE w:val="0"/>
        <w:autoSpaceDN w:val="0"/>
        <w:adjustRightInd w:val="0"/>
        <w:ind w:firstLine="708"/>
        <w:jc w:val="both"/>
      </w:pPr>
      <w:r w:rsidRPr="00B10210">
        <w:t xml:space="preserve">Odosielateľ </w:t>
      </w:r>
      <w:r w:rsidRPr="00B10210">
        <w:rPr>
          <w:bCs/>
        </w:rPr>
        <w:t>tabakových výrobkov</w:t>
      </w:r>
      <w:r w:rsidRPr="00B10210">
        <w:t xml:space="preserve"> v daňovom voľnom obehu, ktorým je schválený odosielateľ, bude povinný vyhotoviť návrh zjednodušeného elektronického dokumentu, ktorý zašle colnému úradu odosielateľa. Colný úrad odosielateľa overí údaje v zjednodušenom elektronickom dokumente a pridelí mu zjednodušený referenčný kód, ktorý oznámi odosielateľovi. Colný úrad odosielateľa je povinný po oznámení referenčného kódu odosielateľovi odoslať elektronický dokument správcovi dane v inom členskom štáte alebo colnému úradu príjemcu na daňovom území, ktorým je schválený príjemca, distribútor </w:t>
      </w:r>
      <w:r w:rsidRPr="00B10210">
        <w:rPr>
          <w:bCs/>
        </w:rPr>
        <w:t>tabakových výrobkov</w:t>
      </w:r>
      <w:r w:rsidRPr="00B10210">
        <w:t xml:space="preserve">, predajca </w:t>
      </w:r>
      <w:r w:rsidRPr="00B10210">
        <w:rPr>
          <w:bCs/>
        </w:rPr>
        <w:t>tabakových výrobkov</w:t>
      </w:r>
      <w:r w:rsidRPr="00B10210">
        <w:t xml:space="preserve"> alebo konečný spotrebiteľ </w:t>
      </w:r>
      <w:r w:rsidRPr="00B10210">
        <w:rPr>
          <w:bCs/>
        </w:rPr>
        <w:t>tabakových výrobkov</w:t>
      </w:r>
      <w:r w:rsidRPr="00B10210">
        <w:t xml:space="preserve"> na podnikateľské účely. Colný úrad príjemcu na daňovom území je povinný odoslať zjednodušený elektronický dokument príjemcovi.</w:t>
      </w:r>
    </w:p>
    <w:p w:rsidR="00B82B1D" w:rsidRPr="00B10210" w:rsidRDefault="00B82B1D" w:rsidP="00B82B1D">
      <w:pPr>
        <w:autoSpaceDE w:val="0"/>
        <w:autoSpaceDN w:val="0"/>
        <w:adjustRightInd w:val="0"/>
        <w:ind w:firstLine="708"/>
        <w:jc w:val="both"/>
      </w:pPr>
      <w:r w:rsidRPr="00B10210">
        <w:t xml:space="preserve">Príjemca je povinný najneskôr do piatich kalendárnych dní odo dňa prijatia </w:t>
      </w:r>
      <w:r w:rsidRPr="00B10210">
        <w:rPr>
          <w:bCs/>
        </w:rPr>
        <w:t>tabakových výrobkov</w:t>
      </w:r>
      <w:r w:rsidRPr="00B10210">
        <w:t xml:space="preserve"> elektronicky vyhotoviť správu o prijatí a túto prostredníctvom elektronického systému zaslať colnému úradu príjemcu. Colný úrad príjemcu je povinný elektronicky overiť údaje v správe o prijatí a ak sú tieto údaje správne, potvrdiť príjemcovi zaevidovanie správy o prijatí a zároveň odoslať potvrdenú správu o prijatí colnému úradu odosielateľa na daňovom území alebo správcovi dane iného členského štátu. Colný úrad odosielateľa, ktorý </w:t>
      </w:r>
      <w:proofErr w:type="spellStart"/>
      <w:r w:rsidRPr="00B10210">
        <w:t>obdržal</w:t>
      </w:r>
      <w:proofErr w:type="spellEnd"/>
      <w:r w:rsidRPr="00B10210">
        <w:t xml:space="preserve"> správu o prijatí od colného úradu príjemcu alebo od správcu dane v inom členskom štáte, je povinný odoslať správu o prijatí odosielateľovi.</w:t>
      </w:r>
    </w:p>
    <w:p w:rsidR="00B82B1D" w:rsidRPr="00B10210" w:rsidRDefault="00B82B1D" w:rsidP="00B82B1D">
      <w:pPr>
        <w:autoSpaceDE w:val="0"/>
        <w:autoSpaceDN w:val="0"/>
        <w:adjustRightInd w:val="0"/>
        <w:ind w:firstLine="708"/>
        <w:jc w:val="both"/>
      </w:pPr>
      <w:r w:rsidRPr="00B10210">
        <w:t xml:space="preserve">Zároveň sa navrhuje postup pri preprave </w:t>
      </w:r>
      <w:r w:rsidRPr="00B10210">
        <w:rPr>
          <w:bCs/>
        </w:rPr>
        <w:t>tabakových výrobkov</w:t>
      </w:r>
      <w:r w:rsidRPr="00B10210">
        <w:t xml:space="preserve"> v daňovom voľnom obehu na podnikateľské účely pri nedostupnom elektronickom systéme.</w:t>
      </w:r>
    </w:p>
    <w:p w:rsidR="00B82B1D" w:rsidRPr="00B10210" w:rsidRDefault="00B82B1D" w:rsidP="00B82B1D">
      <w:pPr>
        <w:autoSpaceDE w:val="0"/>
        <w:autoSpaceDN w:val="0"/>
        <w:adjustRightInd w:val="0"/>
        <w:ind w:firstLine="567"/>
        <w:jc w:val="both"/>
      </w:pPr>
      <w:r w:rsidRPr="00B10210">
        <w:t xml:space="preserve">Tiež sa stanovujú podmienky na registráciu schváleného odosielateľa a vydanie povolenia odosielať </w:t>
      </w:r>
      <w:r w:rsidRPr="00B10210">
        <w:rPr>
          <w:bCs/>
        </w:rPr>
        <w:t>tabakové výrobky</w:t>
      </w:r>
      <w:r w:rsidRPr="00B10210">
        <w:t xml:space="preserve"> na podnikateľské účely, podmienky na registráciu schváleného príjemcu a vydanie povolenia prijímať </w:t>
      </w:r>
      <w:r w:rsidRPr="00B10210">
        <w:rPr>
          <w:bCs/>
        </w:rPr>
        <w:t>tabakové výrobky</w:t>
      </w:r>
      <w:r w:rsidRPr="00B10210">
        <w:t xml:space="preserve"> na podnikateľské účely a postup pri zmene, odňatí a zániku týchto povolení.</w:t>
      </w:r>
    </w:p>
    <w:p w:rsidR="00B82B1D" w:rsidRPr="00B10210" w:rsidRDefault="00B82B1D" w:rsidP="00B82B1D">
      <w:pPr>
        <w:autoSpaceDE w:val="0"/>
        <w:autoSpaceDN w:val="0"/>
        <w:adjustRightInd w:val="0"/>
        <w:jc w:val="both"/>
        <w:rPr>
          <w:b/>
          <w:bCs/>
        </w:rPr>
      </w:pPr>
    </w:p>
    <w:p w:rsidR="00B82B1D" w:rsidRPr="00B10210" w:rsidRDefault="00B82B1D" w:rsidP="00B82B1D">
      <w:pPr>
        <w:autoSpaceDE w:val="0"/>
        <w:autoSpaceDN w:val="0"/>
        <w:adjustRightInd w:val="0"/>
        <w:jc w:val="both"/>
        <w:rPr>
          <w:b/>
          <w:bCs/>
        </w:rPr>
      </w:pPr>
      <w:r w:rsidRPr="00B10210">
        <w:rPr>
          <w:b/>
          <w:bCs/>
        </w:rPr>
        <w:t>K bodom 75, 76, 80 a 81</w:t>
      </w:r>
    </w:p>
    <w:p w:rsidR="00B82B1D" w:rsidRPr="00B10210" w:rsidRDefault="00B82B1D" w:rsidP="00B82B1D">
      <w:pPr>
        <w:autoSpaceDE w:val="0"/>
        <w:autoSpaceDN w:val="0"/>
        <w:adjustRightInd w:val="0"/>
        <w:ind w:firstLine="708"/>
        <w:jc w:val="both"/>
      </w:pPr>
      <w:r w:rsidRPr="00B10210">
        <w:rPr>
          <w:bCs/>
        </w:rPr>
        <w:t>Legislatívno-technické úpravy</w:t>
      </w:r>
      <w:r w:rsidRPr="00B10210">
        <w:t xml:space="preserve"> súvisiace s transpozíciou smernice Rady (EÚ) 2020/262.</w:t>
      </w:r>
    </w:p>
    <w:p w:rsidR="00B82B1D" w:rsidRPr="00B10210" w:rsidRDefault="00B82B1D" w:rsidP="00B82B1D">
      <w:pPr>
        <w:autoSpaceDE w:val="0"/>
        <w:autoSpaceDN w:val="0"/>
        <w:adjustRightInd w:val="0"/>
        <w:jc w:val="both"/>
      </w:pPr>
    </w:p>
    <w:p w:rsidR="004F4E50" w:rsidRDefault="004F4E50" w:rsidP="00B82B1D">
      <w:pPr>
        <w:autoSpaceDE w:val="0"/>
        <w:autoSpaceDN w:val="0"/>
        <w:adjustRightInd w:val="0"/>
        <w:jc w:val="both"/>
        <w:rPr>
          <w:b/>
          <w:bCs/>
        </w:rPr>
      </w:pPr>
    </w:p>
    <w:p w:rsidR="004F4E50" w:rsidRDefault="004F4E50" w:rsidP="00B82B1D">
      <w:pPr>
        <w:autoSpaceDE w:val="0"/>
        <w:autoSpaceDN w:val="0"/>
        <w:adjustRightInd w:val="0"/>
        <w:jc w:val="both"/>
        <w:rPr>
          <w:b/>
          <w:bCs/>
        </w:rPr>
      </w:pPr>
    </w:p>
    <w:p w:rsidR="004F4E50" w:rsidRDefault="004F4E50" w:rsidP="00B82B1D">
      <w:pPr>
        <w:autoSpaceDE w:val="0"/>
        <w:autoSpaceDN w:val="0"/>
        <w:adjustRightInd w:val="0"/>
        <w:jc w:val="both"/>
        <w:rPr>
          <w:b/>
          <w:bCs/>
        </w:rPr>
      </w:pPr>
    </w:p>
    <w:p w:rsidR="00B82B1D" w:rsidRPr="00B10210" w:rsidRDefault="00B82B1D" w:rsidP="00B82B1D">
      <w:pPr>
        <w:autoSpaceDE w:val="0"/>
        <w:autoSpaceDN w:val="0"/>
        <w:adjustRightInd w:val="0"/>
        <w:jc w:val="both"/>
        <w:rPr>
          <w:b/>
          <w:bCs/>
        </w:rPr>
      </w:pPr>
      <w:r w:rsidRPr="00B10210">
        <w:rPr>
          <w:b/>
          <w:bCs/>
        </w:rPr>
        <w:lastRenderedPageBreak/>
        <w:t>K bodu 77</w:t>
      </w:r>
    </w:p>
    <w:p w:rsidR="00B82B1D" w:rsidRPr="00B10210" w:rsidRDefault="00B82B1D" w:rsidP="00B82B1D">
      <w:pPr>
        <w:autoSpaceDE w:val="0"/>
        <w:autoSpaceDN w:val="0"/>
        <w:adjustRightInd w:val="0"/>
        <w:jc w:val="both"/>
        <w:rPr>
          <w:bCs/>
        </w:rPr>
      </w:pPr>
      <w:r w:rsidRPr="00B10210">
        <w:rPr>
          <w:bCs/>
        </w:rPr>
        <w:tab/>
        <w:t>Navrhované spresnenie ustanovenia zosúlaďuje podmienky definovania termínu „daňovej spoľahlivosti“ v právnych predpisoch upravujúcich spotrebné dane.</w:t>
      </w:r>
    </w:p>
    <w:p w:rsidR="00B82B1D" w:rsidRPr="00B10210" w:rsidRDefault="00B82B1D" w:rsidP="00B82B1D">
      <w:pPr>
        <w:autoSpaceDE w:val="0"/>
        <w:autoSpaceDN w:val="0"/>
        <w:adjustRightInd w:val="0"/>
        <w:jc w:val="both"/>
        <w:rPr>
          <w:b/>
          <w:bCs/>
        </w:rPr>
      </w:pPr>
    </w:p>
    <w:p w:rsidR="00B82B1D" w:rsidRPr="00B10210" w:rsidRDefault="00B82B1D" w:rsidP="00B82B1D">
      <w:pPr>
        <w:autoSpaceDE w:val="0"/>
        <w:autoSpaceDN w:val="0"/>
        <w:adjustRightInd w:val="0"/>
        <w:jc w:val="both"/>
        <w:rPr>
          <w:b/>
          <w:bCs/>
        </w:rPr>
      </w:pPr>
      <w:r w:rsidRPr="00B10210">
        <w:rPr>
          <w:b/>
          <w:bCs/>
        </w:rPr>
        <w:t>K bodu 78</w:t>
      </w:r>
    </w:p>
    <w:p w:rsidR="00B82B1D" w:rsidRPr="00B10210" w:rsidRDefault="00B82B1D" w:rsidP="00B82B1D">
      <w:pPr>
        <w:autoSpaceDE w:val="0"/>
        <w:autoSpaceDN w:val="0"/>
        <w:adjustRightInd w:val="0"/>
        <w:jc w:val="both"/>
        <w:rPr>
          <w:bCs/>
        </w:rPr>
      </w:pPr>
      <w:r w:rsidRPr="00B10210">
        <w:rPr>
          <w:b/>
          <w:bCs/>
        </w:rPr>
        <w:tab/>
      </w:r>
      <w:r w:rsidRPr="00B10210">
        <w:rPr>
          <w:bCs/>
        </w:rPr>
        <w:t>Legislatívno-technické úpravy súvisiace so spresnením náležitostí žiadosti o povolenie na zastupovanie splnomocnencom pre zásielkový obchod v nadväznosti na ustanovenia zákona č. 177/2018 Z. z. o niektorých opatreniach na znižovanie administratívnej záťaže využívaním informačných systémov verejnej správy a o zmene a doplnení niektorých zákonov (zákon proti byrokracii).</w:t>
      </w:r>
    </w:p>
    <w:p w:rsidR="00B82B1D" w:rsidRPr="00B10210" w:rsidRDefault="00B82B1D" w:rsidP="00B82B1D">
      <w:pPr>
        <w:autoSpaceDE w:val="0"/>
        <w:autoSpaceDN w:val="0"/>
        <w:adjustRightInd w:val="0"/>
        <w:jc w:val="both"/>
        <w:rPr>
          <w:b/>
          <w:bCs/>
        </w:rPr>
      </w:pPr>
    </w:p>
    <w:p w:rsidR="00B82B1D" w:rsidRPr="00B10210" w:rsidRDefault="00B82B1D" w:rsidP="00B82B1D">
      <w:pPr>
        <w:autoSpaceDE w:val="0"/>
        <w:autoSpaceDN w:val="0"/>
        <w:adjustRightInd w:val="0"/>
        <w:jc w:val="both"/>
        <w:rPr>
          <w:b/>
          <w:bCs/>
        </w:rPr>
      </w:pPr>
      <w:r w:rsidRPr="00B10210">
        <w:rPr>
          <w:b/>
          <w:bCs/>
        </w:rPr>
        <w:t>K bodom 82 až 86</w:t>
      </w:r>
    </w:p>
    <w:p w:rsidR="00B82B1D" w:rsidRPr="00B10210" w:rsidRDefault="00B82B1D" w:rsidP="00B82B1D">
      <w:pPr>
        <w:autoSpaceDE w:val="0"/>
        <w:autoSpaceDN w:val="0"/>
        <w:adjustRightInd w:val="0"/>
        <w:ind w:firstLine="708"/>
        <w:jc w:val="both"/>
      </w:pPr>
      <w:r w:rsidRPr="00B10210">
        <w:t xml:space="preserve">Podľa platného znenia zákona č. 106/2004 Z. z., od dane sú oslobodené tabakové výrobky predávané v daňovom sklade na predaj tabakových výrobkov oslobodených od dane osobám iných štátov, ktoré požívajú výsady a imunity podľa medzinárodnej zmluvy („zahraničný zástupca"), pričom je zadefinované len maximálne množstvo cigariet, ktoré môže zahraničný zástupca nakúpiť za kalendárny rok. </w:t>
      </w:r>
    </w:p>
    <w:p w:rsidR="00B82B1D" w:rsidRPr="00B10210" w:rsidRDefault="00B82B1D" w:rsidP="00B82B1D">
      <w:pPr>
        <w:autoSpaceDE w:val="0"/>
        <w:autoSpaceDN w:val="0"/>
        <w:adjustRightInd w:val="0"/>
        <w:ind w:firstLine="708"/>
        <w:jc w:val="both"/>
      </w:pPr>
      <w:r w:rsidRPr="00B10210">
        <w:t xml:space="preserve">Vzhľadom na to, že zákon č. 106/2004 Z. z. neuvádza ročné limity nákupu pre ostatné tabakové výrobky (cigary, </w:t>
      </w:r>
      <w:proofErr w:type="spellStart"/>
      <w:r w:rsidRPr="00B10210">
        <w:t>cigarky</w:t>
      </w:r>
      <w:proofErr w:type="spellEnd"/>
      <w:r w:rsidRPr="00B10210">
        <w:t>, tabak, bezdymové tabakové výrobky), na základe ktorých by bolo možné odpisovať množstvo nakúpených vyššie uvedených tabakových výrobkov, sa navrhuje zaviesť limity na nákup tabakových výrobkov iných ako cigarety pre zahraničných zástupcov.</w:t>
      </w:r>
    </w:p>
    <w:p w:rsidR="00B82B1D" w:rsidRPr="00B10210" w:rsidRDefault="00B82B1D" w:rsidP="00B82B1D">
      <w:pPr>
        <w:autoSpaceDE w:val="0"/>
        <w:autoSpaceDN w:val="0"/>
        <w:adjustRightInd w:val="0"/>
        <w:ind w:firstLine="708"/>
        <w:jc w:val="both"/>
      </w:pPr>
      <w:r w:rsidRPr="00B10210">
        <w:rPr>
          <w:bCs/>
        </w:rPr>
        <w:t>Navrhuje sa predmetné ustanovenia doplniť tak, aby sa o</w:t>
      </w:r>
      <w:r w:rsidRPr="00B10210">
        <w:t>slobodenie od dane u zahraničného zástupcu v závislosti od jeho postavenia mohlo uplatniť na akúkoľvek kombináciu tabakových výrobkov za predpokladu, že v jednom kalendárnom roku súhrnný percentuálny podiel povolených množstiev jednotlivých tabakových výrobkov nepresiahne</w:t>
      </w:r>
      <w:r w:rsidR="00011D6C">
        <w:t xml:space="preserve"> </w:t>
      </w:r>
      <w:r w:rsidRPr="00B10210">
        <w:t xml:space="preserve"> 100 % celkového povoleného množstva tabakových výrobkov.</w:t>
      </w:r>
    </w:p>
    <w:p w:rsidR="00B82B1D" w:rsidRPr="00B10210" w:rsidRDefault="00B82B1D" w:rsidP="00B82B1D">
      <w:pPr>
        <w:autoSpaceDE w:val="0"/>
        <w:autoSpaceDN w:val="0"/>
        <w:adjustRightInd w:val="0"/>
        <w:jc w:val="both"/>
      </w:pPr>
    </w:p>
    <w:p w:rsidR="00B82B1D" w:rsidRPr="00B10210" w:rsidRDefault="00B82B1D" w:rsidP="00B82B1D">
      <w:pPr>
        <w:autoSpaceDE w:val="0"/>
        <w:autoSpaceDN w:val="0"/>
        <w:adjustRightInd w:val="0"/>
        <w:jc w:val="both"/>
        <w:rPr>
          <w:b/>
          <w:bCs/>
        </w:rPr>
      </w:pPr>
      <w:r w:rsidRPr="00B10210">
        <w:rPr>
          <w:b/>
          <w:bCs/>
        </w:rPr>
        <w:t>K bodom 87 a 88</w:t>
      </w:r>
    </w:p>
    <w:p w:rsidR="00B82B1D" w:rsidRPr="00B10210" w:rsidRDefault="00B82B1D" w:rsidP="00B82B1D">
      <w:pPr>
        <w:autoSpaceDE w:val="0"/>
        <w:autoSpaceDN w:val="0"/>
        <w:adjustRightInd w:val="0"/>
        <w:ind w:firstLine="708"/>
        <w:jc w:val="both"/>
        <w:rPr>
          <w:bCs/>
        </w:rPr>
      </w:pPr>
      <w:r w:rsidRPr="00B10210">
        <w:rPr>
          <w:bCs/>
        </w:rPr>
        <w:t>Navrhované ustanovenia dopĺňajú vedenie evidencie colným úradom a finančným riaditeľstvom vyplývajúce z transpozičných ustanovení obsiahnutých v návrhu zákona.</w:t>
      </w:r>
    </w:p>
    <w:p w:rsidR="00B82B1D" w:rsidRPr="00B10210" w:rsidRDefault="00B82B1D" w:rsidP="00B82B1D">
      <w:pPr>
        <w:autoSpaceDE w:val="0"/>
        <w:autoSpaceDN w:val="0"/>
        <w:adjustRightInd w:val="0"/>
        <w:jc w:val="both"/>
        <w:rPr>
          <w:bCs/>
        </w:rPr>
      </w:pPr>
    </w:p>
    <w:p w:rsidR="00B82B1D" w:rsidRPr="00B10210" w:rsidRDefault="00B82B1D" w:rsidP="00B82B1D">
      <w:pPr>
        <w:autoSpaceDE w:val="0"/>
        <w:autoSpaceDN w:val="0"/>
        <w:adjustRightInd w:val="0"/>
        <w:jc w:val="both"/>
        <w:rPr>
          <w:b/>
          <w:bCs/>
        </w:rPr>
      </w:pPr>
      <w:r w:rsidRPr="00B10210">
        <w:rPr>
          <w:b/>
          <w:bCs/>
        </w:rPr>
        <w:t>K bodom 89 až 95</w:t>
      </w:r>
    </w:p>
    <w:p w:rsidR="00B82B1D" w:rsidRPr="00B10210" w:rsidRDefault="00B82B1D" w:rsidP="00B82B1D">
      <w:pPr>
        <w:autoSpaceDE w:val="0"/>
        <w:autoSpaceDN w:val="0"/>
        <w:adjustRightInd w:val="0"/>
        <w:ind w:firstLine="708"/>
        <w:jc w:val="both"/>
        <w:rPr>
          <w:bCs/>
        </w:rPr>
      </w:pPr>
      <w:r w:rsidRPr="00B10210">
        <w:rPr>
          <w:bCs/>
        </w:rPr>
        <w:t>V súvislosti s navrhovanými legislatívnymi zmenami je potrebné upraviť správne delikty, priestupky a pokuty ukladané colným úradom.</w:t>
      </w:r>
    </w:p>
    <w:p w:rsidR="00B82B1D" w:rsidRPr="00B10210" w:rsidRDefault="00B82B1D" w:rsidP="00B82B1D">
      <w:pPr>
        <w:autoSpaceDE w:val="0"/>
        <w:autoSpaceDN w:val="0"/>
        <w:adjustRightInd w:val="0"/>
        <w:jc w:val="both"/>
        <w:rPr>
          <w:bCs/>
        </w:rPr>
      </w:pPr>
    </w:p>
    <w:p w:rsidR="00B82B1D" w:rsidRPr="00B10210" w:rsidRDefault="00B82B1D" w:rsidP="00B82B1D">
      <w:pPr>
        <w:autoSpaceDE w:val="0"/>
        <w:autoSpaceDN w:val="0"/>
        <w:adjustRightInd w:val="0"/>
        <w:jc w:val="both"/>
        <w:rPr>
          <w:b/>
          <w:bCs/>
        </w:rPr>
      </w:pPr>
      <w:r w:rsidRPr="00B10210">
        <w:rPr>
          <w:b/>
          <w:bCs/>
        </w:rPr>
        <w:t>K bodom 96 až 100</w:t>
      </w:r>
    </w:p>
    <w:p w:rsidR="00B82B1D" w:rsidRPr="00B10210" w:rsidRDefault="00B82B1D" w:rsidP="00B82B1D">
      <w:pPr>
        <w:autoSpaceDE w:val="0"/>
        <w:autoSpaceDN w:val="0"/>
        <w:adjustRightInd w:val="0"/>
        <w:jc w:val="both"/>
        <w:rPr>
          <w:bCs/>
        </w:rPr>
      </w:pPr>
      <w:r w:rsidRPr="00B10210">
        <w:rPr>
          <w:b/>
          <w:bCs/>
        </w:rPr>
        <w:tab/>
      </w:r>
      <w:r w:rsidRPr="00B10210">
        <w:rPr>
          <w:bCs/>
        </w:rPr>
        <w:t>Legislatívno-technické úpravy spoločných, prechodných a záverečných ustanovení vyplývajúce z návrhu zákona.</w:t>
      </w:r>
    </w:p>
    <w:p w:rsidR="00B82B1D" w:rsidRPr="00B10210" w:rsidRDefault="00B82B1D" w:rsidP="00B82B1D">
      <w:pPr>
        <w:autoSpaceDE w:val="0"/>
        <w:autoSpaceDN w:val="0"/>
        <w:adjustRightInd w:val="0"/>
        <w:jc w:val="both"/>
        <w:rPr>
          <w:b/>
          <w:bCs/>
        </w:rPr>
      </w:pPr>
    </w:p>
    <w:p w:rsidR="00B82B1D" w:rsidRPr="00B10210" w:rsidRDefault="00B82B1D" w:rsidP="00B82B1D">
      <w:pPr>
        <w:autoSpaceDE w:val="0"/>
        <w:autoSpaceDN w:val="0"/>
        <w:adjustRightInd w:val="0"/>
        <w:jc w:val="both"/>
        <w:rPr>
          <w:b/>
          <w:bCs/>
        </w:rPr>
      </w:pPr>
      <w:r w:rsidRPr="00B10210">
        <w:rPr>
          <w:b/>
          <w:bCs/>
        </w:rPr>
        <w:t>K bodu 101</w:t>
      </w:r>
    </w:p>
    <w:p w:rsidR="00B82B1D" w:rsidRPr="00B10210" w:rsidRDefault="00B82B1D" w:rsidP="00B82B1D">
      <w:pPr>
        <w:autoSpaceDE w:val="0"/>
        <w:autoSpaceDN w:val="0"/>
        <w:adjustRightInd w:val="0"/>
        <w:jc w:val="both"/>
        <w:rPr>
          <w:bCs/>
        </w:rPr>
      </w:pPr>
      <w:r w:rsidRPr="00B10210">
        <w:rPr>
          <w:bCs/>
        </w:rPr>
        <w:tab/>
        <w:t>V nadväznosti na vykonané úpravy sa legislatívno-technicky upravujú prechodné ustanovenia. Súčasne sa navrhuje upraviť sadzbu dane na tabak, špecifickú časť kombinovanej sadzby dane na cigarety, minimálnu sadzbu dane na cigarety a sadzbu dane z tabaku v bezdymovom tabakovom výrobku platnú v období od 1. februára 2021 do 31. januára 2022 a následne v období od 1. februára 2022 do 31. januára 2023. Zároveň sa stanovujú znaky pre príslušnú sadzbu dane a upravujú sa lehoty na predaj zdanených tabakových výrobkov pri zmene sadzby dane.</w:t>
      </w:r>
    </w:p>
    <w:p w:rsidR="00B82B1D" w:rsidRDefault="00B82B1D" w:rsidP="00B82B1D">
      <w:pPr>
        <w:autoSpaceDE w:val="0"/>
        <w:autoSpaceDN w:val="0"/>
        <w:adjustRightInd w:val="0"/>
        <w:jc w:val="both"/>
        <w:rPr>
          <w:bCs/>
        </w:rPr>
      </w:pPr>
    </w:p>
    <w:p w:rsidR="004F4E50" w:rsidRPr="00B10210" w:rsidRDefault="004F4E50" w:rsidP="00B82B1D">
      <w:pPr>
        <w:autoSpaceDE w:val="0"/>
        <w:autoSpaceDN w:val="0"/>
        <w:adjustRightInd w:val="0"/>
        <w:jc w:val="both"/>
        <w:rPr>
          <w:bCs/>
        </w:rPr>
      </w:pPr>
    </w:p>
    <w:p w:rsidR="00B82B1D" w:rsidRPr="00B10210" w:rsidRDefault="00B82B1D" w:rsidP="00B82B1D">
      <w:pPr>
        <w:autoSpaceDE w:val="0"/>
        <w:autoSpaceDN w:val="0"/>
        <w:adjustRightInd w:val="0"/>
        <w:jc w:val="both"/>
        <w:rPr>
          <w:b/>
          <w:bCs/>
        </w:rPr>
      </w:pPr>
      <w:r w:rsidRPr="00B10210">
        <w:rPr>
          <w:b/>
          <w:bCs/>
        </w:rPr>
        <w:lastRenderedPageBreak/>
        <w:t>K bodu 102</w:t>
      </w:r>
    </w:p>
    <w:p w:rsidR="00B82B1D" w:rsidRPr="00B10210" w:rsidRDefault="00B82B1D" w:rsidP="00B82B1D">
      <w:pPr>
        <w:autoSpaceDE w:val="0"/>
        <w:autoSpaceDN w:val="0"/>
        <w:adjustRightInd w:val="0"/>
        <w:jc w:val="both"/>
      </w:pPr>
      <w:r w:rsidRPr="00B10210">
        <w:tab/>
        <w:t>V súvislosti s transpozíciou smerníc Rady (EÚ) 2019/475, 2019/2235 a 2020/262 je potrebné upraviť prílohu č. 1 novelizovaného zákona.</w:t>
      </w:r>
    </w:p>
    <w:p w:rsidR="00B82B1D" w:rsidRPr="00B10210" w:rsidRDefault="00B82B1D" w:rsidP="00B82B1D">
      <w:pPr>
        <w:autoSpaceDE w:val="0"/>
        <w:autoSpaceDN w:val="0"/>
        <w:adjustRightInd w:val="0"/>
        <w:jc w:val="both"/>
      </w:pPr>
    </w:p>
    <w:p w:rsidR="00B82B1D" w:rsidRPr="00B10210" w:rsidRDefault="00B82B1D" w:rsidP="00B82B1D">
      <w:pPr>
        <w:autoSpaceDE w:val="0"/>
        <w:autoSpaceDN w:val="0"/>
        <w:adjustRightInd w:val="0"/>
        <w:jc w:val="both"/>
        <w:rPr>
          <w:b/>
          <w:bCs/>
        </w:rPr>
      </w:pPr>
      <w:r w:rsidRPr="00B10210">
        <w:rPr>
          <w:b/>
          <w:bCs/>
        </w:rPr>
        <w:t>K bodu 103</w:t>
      </w:r>
    </w:p>
    <w:p w:rsidR="00B82B1D" w:rsidRPr="00B10210" w:rsidRDefault="00B82B1D" w:rsidP="00B82B1D">
      <w:pPr>
        <w:autoSpaceDE w:val="0"/>
        <w:autoSpaceDN w:val="0"/>
        <w:adjustRightInd w:val="0"/>
        <w:jc w:val="both"/>
        <w:rPr>
          <w:bCs/>
        </w:rPr>
      </w:pPr>
      <w:r w:rsidRPr="00B10210">
        <w:tab/>
      </w:r>
      <w:r w:rsidRPr="00B10210">
        <w:rPr>
          <w:bCs/>
        </w:rPr>
        <w:t>Legislatívno-technické úpravy súvisiace s vypustením skratky pre Európsku úniu.</w:t>
      </w:r>
    </w:p>
    <w:p w:rsidR="00011D6C" w:rsidRPr="00B10210" w:rsidRDefault="00011D6C" w:rsidP="00B82B1D">
      <w:pPr>
        <w:autoSpaceDE w:val="0"/>
        <w:autoSpaceDN w:val="0"/>
        <w:adjustRightInd w:val="0"/>
        <w:jc w:val="both"/>
      </w:pPr>
    </w:p>
    <w:p w:rsidR="00B82B1D" w:rsidRPr="00B10210" w:rsidRDefault="00B82B1D" w:rsidP="00B82B1D">
      <w:pPr>
        <w:autoSpaceDE w:val="0"/>
        <w:autoSpaceDN w:val="0"/>
        <w:adjustRightInd w:val="0"/>
        <w:jc w:val="both"/>
        <w:rPr>
          <w:b/>
          <w:bCs/>
        </w:rPr>
      </w:pPr>
      <w:r w:rsidRPr="00B10210">
        <w:rPr>
          <w:b/>
          <w:bCs/>
        </w:rPr>
        <w:t>K článku II</w:t>
      </w:r>
    </w:p>
    <w:p w:rsidR="00B82B1D" w:rsidRPr="00B10210" w:rsidRDefault="00B82B1D" w:rsidP="00B82B1D">
      <w:pPr>
        <w:autoSpaceDE w:val="0"/>
        <w:autoSpaceDN w:val="0"/>
        <w:adjustRightInd w:val="0"/>
        <w:ind w:firstLine="708"/>
        <w:jc w:val="both"/>
      </w:pPr>
      <w:r w:rsidRPr="00B10210">
        <w:t xml:space="preserve">Navrhuje sa ustanoviť účinnosť zákona dňom 1. januára 2021 okrem čl. I bodov 7, 17, 28, 30, 61 až 63 a § 44ac v bode 101, ktoré nadobudnú účinnosť 1. júla 2022, čl. I bodov 5 </w:t>
      </w:r>
      <w:r w:rsidR="00011D6C">
        <w:t xml:space="preserve">        </w:t>
      </w:r>
      <w:r w:rsidRPr="00B10210">
        <w:t xml:space="preserve">a 51, ktoré nadobudnú účinnosť 1. februára 2023 a čl. I bodov 29, 31, 33, 34, 71 až 76, 80, 81, 87, 88, 90, § 41 ods. 1 písm. z) v bode 92, bodov 94 a 99 a § 44ae v bode 101, ktoré </w:t>
      </w:r>
      <w:r w:rsidR="004F4E50">
        <w:br/>
      </w:r>
      <w:r w:rsidRPr="00B10210">
        <w:t>nadobudnú účinnosť 13. februára 2023.</w:t>
      </w:r>
    </w:p>
    <w:p w:rsidR="002F7A60" w:rsidRPr="00B10210" w:rsidRDefault="002F7A60" w:rsidP="00B82B1D">
      <w:pPr>
        <w:autoSpaceDE w:val="0"/>
        <w:autoSpaceDN w:val="0"/>
        <w:adjustRightInd w:val="0"/>
        <w:ind w:firstLine="708"/>
        <w:jc w:val="both"/>
      </w:pPr>
    </w:p>
    <w:p w:rsidR="00B82B1D" w:rsidRPr="00B10210" w:rsidRDefault="00B82B1D" w:rsidP="009636F8">
      <w:pPr>
        <w:jc w:val="both"/>
      </w:pPr>
    </w:p>
    <w:p w:rsidR="002F7A60" w:rsidRPr="00B10210" w:rsidRDefault="002F7A60" w:rsidP="009636F8">
      <w:pPr>
        <w:jc w:val="both"/>
      </w:pPr>
    </w:p>
    <w:p w:rsidR="00B82B1D" w:rsidRPr="00B10210" w:rsidRDefault="00B82B1D" w:rsidP="00B82B1D">
      <w:pPr>
        <w:autoSpaceDE w:val="0"/>
        <w:autoSpaceDN w:val="0"/>
        <w:ind w:firstLine="567"/>
        <w:jc w:val="both"/>
        <w:rPr>
          <w:color w:val="000000"/>
        </w:rPr>
      </w:pPr>
      <w:r w:rsidRPr="00B10210">
        <w:rPr>
          <w:color w:val="000000"/>
        </w:rPr>
        <w:t>Schválené vládou Slovenskej republiky dňa 30. septembra 2020.</w:t>
      </w:r>
    </w:p>
    <w:p w:rsidR="00B82B1D" w:rsidRPr="00B10210" w:rsidRDefault="00B82B1D" w:rsidP="00B82B1D">
      <w:pPr>
        <w:autoSpaceDE w:val="0"/>
        <w:autoSpaceDN w:val="0"/>
        <w:rPr>
          <w:color w:val="000000"/>
        </w:rPr>
      </w:pPr>
    </w:p>
    <w:p w:rsidR="00B82B1D" w:rsidRPr="00B10210" w:rsidRDefault="00B82B1D" w:rsidP="00B82B1D">
      <w:pPr>
        <w:autoSpaceDE w:val="0"/>
        <w:autoSpaceDN w:val="0"/>
        <w:rPr>
          <w:color w:val="000000"/>
        </w:rPr>
      </w:pPr>
    </w:p>
    <w:p w:rsidR="002F7A60" w:rsidRPr="00B10210" w:rsidRDefault="002F7A60" w:rsidP="00B82B1D">
      <w:pPr>
        <w:autoSpaceDE w:val="0"/>
        <w:autoSpaceDN w:val="0"/>
        <w:jc w:val="center"/>
        <w:rPr>
          <w:bCs/>
          <w:color w:val="000000"/>
        </w:rPr>
      </w:pPr>
    </w:p>
    <w:p w:rsidR="002F7A60" w:rsidRPr="00B10210" w:rsidRDefault="002F7A60" w:rsidP="00B82B1D">
      <w:pPr>
        <w:autoSpaceDE w:val="0"/>
        <w:autoSpaceDN w:val="0"/>
        <w:jc w:val="center"/>
        <w:rPr>
          <w:bCs/>
          <w:color w:val="000000"/>
        </w:rPr>
      </w:pPr>
    </w:p>
    <w:p w:rsidR="00B82B1D" w:rsidRPr="00B10210" w:rsidRDefault="00DA7694" w:rsidP="00B82B1D">
      <w:pPr>
        <w:autoSpaceDE w:val="0"/>
        <w:autoSpaceDN w:val="0"/>
        <w:jc w:val="center"/>
        <w:rPr>
          <w:bCs/>
          <w:color w:val="000000"/>
        </w:rPr>
      </w:pPr>
      <w:r>
        <w:rPr>
          <w:bCs/>
          <w:color w:val="000000"/>
        </w:rPr>
        <w:t>Igor Matovič</w:t>
      </w:r>
      <w:r w:rsidR="00B82B1D" w:rsidRPr="00B10210">
        <w:rPr>
          <w:bCs/>
          <w:color w:val="000000"/>
        </w:rPr>
        <w:t xml:space="preserve"> v. r.</w:t>
      </w:r>
    </w:p>
    <w:p w:rsidR="00B82B1D" w:rsidRPr="00B10210" w:rsidRDefault="00B82B1D" w:rsidP="00B82B1D">
      <w:pPr>
        <w:autoSpaceDE w:val="0"/>
        <w:autoSpaceDN w:val="0"/>
        <w:jc w:val="center"/>
        <w:rPr>
          <w:color w:val="000000"/>
        </w:rPr>
      </w:pPr>
      <w:r w:rsidRPr="00B10210">
        <w:rPr>
          <w:color w:val="000000"/>
        </w:rPr>
        <w:t>predseda vlády Slovenskej republiky</w:t>
      </w:r>
    </w:p>
    <w:p w:rsidR="00B82B1D" w:rsidRPr="00B10210" w:rsidRDefault="00B82B1D" w:rsidP="00B82B1D">
      <w:pPr>
        <w:autoSpaceDE w:val="0"/>
        <w:autoSpaceDN w:val="0"/>
        <w:jc w:val="both"/>
        <w:rPr>
          <w:color w:val="000000"/>
        </w:rPr>
      </w:pPr>
    </w:p>
    <w:p w:rsidR="002F7A60" w:rsidRPr="00B10210" w:rsidRDefault="002F7A60" w:rsidP="00B82B1D">
      <w:pPr>
        <w:autoSpaceDE w:val="0"/>
        <w:autoSpaceDN w:val="0"/>
        <w:jc w:val="both"/>
        <w:rPr>
          <w:color w:val="000000"/>
        </w:rPr>
      </w:pPr>
    </w:p>
    <w:p w:rsidR="002F7A60" w:rsidRPr="00B10210" w:rsidRDefault="002F7A60" w:rsidP="00B82B1D">
      <w:pPr>
        <w:autoSpaceDE w:val="0"/>
        <w:autoSpaceDN w:val="0"/>
        <w:jc w:val="both"/>
        <w:rPr>
          <w:color w:val="000000"/>
        </w:rPr>
      </w:pPr>
      <w:bookmarkStart w:id="4" w:name="_GoBack"/>
      <w:bookmarkEnd w:id="4"/>
    </w:p>
    <w:p w:rsidR="002F7A60" w:rsidRPr="00B10210" w:rsidRDefault="002F7A60" w:rsidP="00B82B1D">
      <w:pPr>
        <w:autoSpaceDE w:val="0"/>
        <w:autoSpaceDN w:val="0"/>
        <w:jc w:val="center"/>
        <w:rPr>
          <w:bCs/>
          <w:color w:val="000000"/>
        </w:rPr>
      </w:pPr>
    </w:p>
    <w:p w:rsidR="00B82B1D" w:rsidRPr="00B10210" w:rsidRDefault="00DA7694" w:rsidP="00B82B1D">
      <w:pPr>
        <w:autoSpaceDE w:val="0"/>
        <w:autoSpaceDN w:val="0"/>
        <w:jc w:val="center"/>
        <w:rPr>
          <w:bCs/>
          <w:color w:val="000000"/>
        </w:rPr>
      </w:pPr>
      <w:r>
        <w:rPr>
          <w:bCs/>
          <w:color w:val="000000"/>
        </w:rPr>
        <w:t xml:space="preserve">Eduard </w:t>
      </w:r>
      <w:proofErr w:type="spellStart"/>
      <w:r>
        <w:rPr>
          <w:bCs/>
          <w:color w:val="000000"/>
        </w:rPr>
        <w:t>Heger</w:t>
      </w:r>
      <w:proofErr w:type="spellEnd"/>
      <w:r w:rsidR="00B82B1D" w:rsidRPr="00B10210">
        <w:rPr>
          <w:bCs/>
          <w:color w:val="000000"/>
        </w:rPr>
        <w:t xml:space="preserve"> v. r.</w:t>
      </w:r>
    </w:p>
    <w:p w:rsidR="00B82B1D" w:rsidRPr="00727D26" w:rsidRDefault="00B82B1D" w:rsidP="00B82B1D">
      <w:pPr>
        <w:autoSpaceDE w:val="0"/>
        <w:autoSpaceDN w:val="0"/>
        <w:jc w:val="center"/>
      </w:pPr>
      <w:r w:rsidRPr="00B10210">
        <w:rPr>
          <w:color w:val="000000"/>
        </w:rPr>
        <w:t xml:space="preserve">podpredseda vlády a minister financií </w:t>
      </w:r>
      <w:r w:rsidRPr="00B10210">
        <w:t>Slovenskej republiky</w:t>
      </w:r>
    </w:p>
    <w:p w:rsidR="00B82B1D" w:rsidRDefault="00B82B1D" w:rsidP="009636F8">
      <w:pPr>
        <w:jc w:val="both"/>
      </w:pPr>
    </w:p>
    <w:sectPr w:rsidR="00B82B1D" w:rsidSect="00CE6F9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E50" w:rsidRDefault="004F4E50">
      <w:r>
        <w:separator/>
      </w:r>
    </w:p>
  </w:endnote>
  <w:endnote w:type="continuationSeparator" w:id="0">
    <w:p w:rsidR="004F4E50" w:rsidRDefault="004F4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E50" w:rsidRDefault="004F4E5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4F4E50" w:rsidRDefault="004F4E50">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E50" w:rsidRDefault="004F4E50">
    <w:pPr>
      <w:pStyle w:val="Pta"/>
      <w:jc w:val="right"/>
    </w:pPr>
    <w:r>
      <w:fldChar w:fldCharType="begin"/>
    </w:r>
    <w:r>
      <w:instrText>PAGE   \* MERGEFORMAT</w:instrText>
    </w:r>
    <w:r>
      <w:fldChar w:fldCharType="separate"/>
    </w:r>
    <w:r w:rsidR="0086047B">
      <w:rPr>
        <w:noProof/>
      </w:rPr>
      <w:t>27</w:t>
    </w:r>
    <w:r>
      <w:fldChar w:fldCharType="end"/>
    </w:r>
  </w:p>
  <w:p w:rsidR="004F4E50" w:rsidRDefault="004F4E50">
    <w:pPr>
      <w:pStyle w:val="Pt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E50" w:rsidRDefault="004F4E50">
    <w:pPr>
      <w:pStyle w:val="Pta"/>
      <w:jc w:val="right"/>
    </w:pPr>
    <w:r>
      <w:fldChar w:fldCharType="begin"/>
    </w:r>
    <w:r>
      <w:instrText>PAGE   \* MERGEFORMAT</w:instrText>
    </w:r>
    <w:r>
      <w:fldChar w:fldCharType="separate"/>
    </w:r>
    <w:r>
      <w:rPr>
        <w:noProof/>
      </w:rPr>
      <w:t>0</w:t>
    </w:r>
    <w:r>
      <w:fldChar w:fldCharType="end"/>
    </w:r>
  </w:p>
  <w:p w:rsidR="004F4E50" w:rsidRDefault="004F4E5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E50" w:rsidRDefault="004F4E50">
      <w:r>
        <w:separator/>
      </w:r>
    </w:p>
  </w:footnote>
  <w:footnote w:type="continuationSeparator" w:id="0">
    <w:p w:rsidR="004F4E50" w:rsidRDefault="004F4E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E50" w:rsidRDefault="004F4E50" w:rsidP="00FC66D4">
    <w:pPr>
      <w:pStyle w:val="Hlavika"/>
      <w:jc w:val="right"/>
      <w:rPr>
        <w:sz w:val="24"/>
        <w:szCs w:val="24"/>
      </w:rPr>
    </w:pPr>
    <w:r>
      <w:rPr>
        <w:sz w:val="24"/>
        <w:szCs w:val="24"/>
      </w:rPr>
      <w:t>Príloha č. 2</w:t>
    </w:r>
  </w:p>
  <w:p w:rsidR="004F4E50" w:rsidRPr="00EB59C8" w:rsidRDefault="004F4E50" w:rsidP="00FC66D4">
    <w:pPr>
      <w:pStyle w:val="Hlavika"/>
      <w:jc w:val="right"/>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E50" w:rsidRPr="000A15AE" w:rsidRDefault="004F4E50" w:rsidP="00FC66D4">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DE2882A"/>
    <w:lvl w:ilvl="0">
      <w:start w:val="1"/>
      <w:numFmt w:val="decimal"/>
      <w:pStyle w:val="Nadpis1"/>
      <w:lvlText w:val="%1."/>
      <w:lvlJc w:val="left"/>
      <w:pPr>
        <w:tabs>
          <w:tab w:val="num" w:pos="0"/>
        </w:tabs>
        <w:ind w:left="720" w:hanging="720"/>
      </w:pPr>
      <w:rPr>
        <w:rFonts w:ascii="Times New Roman" w:hAnsi="Times New Roman" w:cs="Times New Roman" w:hint="default"/>
        <w:b w:val="0"/>
        <w:bCs w:val="0"/>
        <w:i w:val="0"/>
        <w:color w:val="auto"/>
        <w:sz w:val="22"/>
      </w:rPr>
    </w:lvl>
    <w:lvl w:ilvl="1">
      <w:start w:val="1"/>
      <w:numFmt w:val="decimal"/>
      <w:pStyle w:val="Nadpis2"/>
      <w:lvlText w:val="%1.%2"/>
      <w:lvlJc w:val="left"/>
      <w:pPr>
        <w:tabs>
          <w:tab w:val="num" w:pos="0"/>
        </w:tabs>
        <w:ind w:left="720" w:hanging="720"/>
      </w:pPr>
      <w:rPr>
        <w:rFonts w:ascii="Times New Roman" w:hAnsi="Times New Roman" w:cs="Times New Roman" w:hint="default"/>
        <w:b w:val="0"/>
        <w:i w:val="0"/>
        <w:color w:val="auto"/>
        <w:sz w:val="22"/>
      </w:rPr>
    </w:lvl>
    <w:lvl w:ilvl="2">
      <w:start w:val="1"/>
      <w:numFmt w:val="decimal"/>
      <w:pStyle w:val="Nadpis3"/>
      <w:lvlText w:val="%1.%2.%3"/>
      <w:lvlJc w:val="left"/>
      <w:pPr>
        <w:tabs>
          <w:tab w:val="num" w:pos="0"/>
        </w:tabs>
        <w:ind w:left="720" w:hanging="720"/>
      </w:pPr>
      <w:rPr>
        <w:rFonts w:ascii="Times New Roman" w:hAnsi="Times New Roman" w:cs="Times New Roman" w:hint="default"/>
        <w:b w:val="0"/>
        <w:i w:val="0"/>
        <w:color w:val="auto"/>
        <w:sz w:val="22"/>
      </w:rPr>
    </w:lvl>
    <w:lvl w:ilvl="3">
      <w:start w:val="1"/>
      <w:numFmt w:val="decimal"/>
      <w:pStyle w:val="Nadpis4"/>
      <w:lvlText w:val="%1.%2.%3.%4"/>
      <w:lvlJc w:val="left"/>
      <w:pPr>
        <w:tabs>
          <w:tab w:val="num" w:pos="0"/>
        </w:tabs>
        <w:ind w:left="720" w:hanging="720"/>
      </w:pPr>
      <w:rPr>
        <w:rFonts w:ascii="Times New Roman" w:hAnsi="Times New Roman" w:cs="Times New Roman" w:hint="default"/>
        <w:b w:val="0"/>
        <w:i w:val="0"/>
        <w:color w:val="auto"/>
        <w:sz w:val="22"/>
      </w:rPr>
    </w:lvl>
    <w:lvl w:ilvl="4">
      <w:start w:val="1"/>
      <w:numFmt w:val="decimal"/>
      <w:pStyle w:val="Nadpis5"/>
      <w:lvlText w:val="%1.%2.%3.%4.%5"/>
      <w:lvlJc w:val="left"/>
      <w:pPr>
        <w:tabs>
          <w:tab w:val="num" w:pos="0"/>
        </w:tabs>
      </w:pPr>
      <w:rPr>
        <w:rFonts w:cs="Times New Roman" w:hint="default"/>
      </w:rPr>
    </w:lvl>
    <w:lvl w:ilvl="5">
      <w:start w:val="1"/>
      <w:numFmt w:val="decimal"/>
      <w:pStyle w:val="Nadpis6"/>
      <w:lvlText w:val="%1.%2.%3.%4.%5.%6"/>
      <w:lvlJc w:val="left"/>
      <w:pPr>
        <w:tabs>
          <w:tab w:val="num" w:pos="0"/>
        </w:tabs>
      </w:pPr>
      <w:rPr>
        <w:rFonts w:cs="Times New Roman" w:hint="default"/>
      </w:rPr>
    </w:lvl>
    <w:lvl w:ilvl="6">
      <w:start w:val="1"/>
      <w:numFmt w:val="decimal"/>
      <w:pStyle w:val="Nadpis7"/>
      <w:lvlText w:val="%1.%2.%3.%4.%5.%6.%7"/>
      <w:lvlJc w:val="left"/>
      <w:pPr>
        <w:tabs>
          <w:tab w:val="num" w:pos="0"/>
        </w:tabs>
      </w:pPr>
      <w:rPr>
        <w:rFonts w:cs="Times New Roman" w:hint="default"/>
      </w:rPr>
    </w:lvl>
    <w:lvl w:ilvl="7">
      <w:start w:val="1"/>
      <w:numFmt w:val="decimal"/>
      <w:pStyle w:val="Nadpis8"/>
      <w:lvlText w:val="%1.%2.%3.%4.%5.%6.%7.%8"/>
      <w:lvlJc w:val="left"/>
      <w:pPr>
        <w:tabs>
          <w:tab w:val="num" w:pos="0"/>
        </w:tabs>
      </w:pPr>
      <w:rPr>
        <w:rFonts w:cs="Times New Roman" w:hint="default"/>
      </w:rPr>
    </w:lvl>
    <w:lvl w:ilvl="8">
      <w:start w:val="1"/>
      <w:numFmt w:val="decimal"/>
      <w:pStyle w:val="Nadpis9"/>
      <w:lvlText w:val="%1.%2.%3.%4.%5.%6.%7.%8.%9"/>
      <w:lvlJc w:val="left"/>
      <w:pPr>
        <w:tabs>
          <w:tab w:val="num" w:pos="0"/>
        </w:tabs>
      </w:pPr>
      <w:rPr>
        <w:rFonts w:cs="Times New Roman" w:hint="default"/>
      </w:rPr>
    </w:lvl>
  </w:abstractNum>
  <w:abstractNum w:abstractNumId="1" w15:restartNumberingAfterBreak="0">
    <w:nsid w:val="01D90A40"/>
    <w:multiLevelType w:val="hybridMultilevel"/>
    <w:tmpl w:val="0802A020"/>
    <w:lvl w:ilvl="0" w:tplc="B5AC1F10">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5C32B79"/>
    <w:multiLevelType w:val="hybridMultilevel"/>
    <w:tmpl w:val="EA1CC516"/>
    <w:lvl w:ilvl="0" w:tplc="4EA685C2">
      <w:start w:val="1"/>
      <w:numFmt w:val="decimal"/>
      <w:lvlText w:val="(%1)"/>
      <w:lvlJc w:val="left"/>
      <w:pPr>
        <w:ind w:left="1050" w:hanging="360"/>
      </w:pPr>
      <w:rPr>
        <w:rFonts w:cs="Times New Roman" w:hint="default"/>
      </w:rPr>
    </w:lvl>
    <w:lvl w:ilvl="1" w:tplc="041B0019" w:tentative="1">
      <w:start w:val="1"/>
      <w:numFmt w:val="lowerLetter"/>
      <w:lvlText w:val="%2."/>
      <w:lvlJc w:val="left"/>
      <w:pPr>
        <w:ind w:left="1770" w:hanging="360"/>
      </w:pPr>
      <w:rPr>
        <w:rFonts w:cs="Times New Roman"/>
      </w:rPr>
    </w:lvl>
    <w:lvl w:ilvl="2" w:tplc="041B001B" w:tentative="1">
      <w:start w:val="1"/>
      <w:numFmt w:val="lowerRoman"/>
      <w:lvlText w:val="%3."/>
      <w:lvlJc w:val="right"/>
      <w:pPr>
        <w:ind w:left="2490" w:hanging="180"/>
      </w:pPr>
      <w:rPr>
        <w:rFonts w:cs="Times New Roman"/>
      </w:rPr>
    </w:lvl>
    <w:lvl w:ilvl="3" w:tplc="041B000F" w:tentative="1">
      <w:start w:val="1"/>
      <w:numFmt w:val="decimal"/>
      <w:lvlText w:val="%4."/>
      <w:lvlJc w:val="left"/>
      <w:pPr>
        <w:ind w:left="3210" w:hanging="360"/>
      </w:pPr>
      <w:rPr>
        <w:rFonts w:cs="Times New Roman"/>
      </w:rPr>
    </w:lvl>
    <w:lvl w:ilvl="4" w:tplc="041B0019" w:tentative="1">
      <w:start w:val="1"/>
      <w:numFmt w:val="lowerLetter"/>
      <w:lvlText w:val="%5."/>
      <w:lvlJc w:val="left"/>
      <w:pPr>
        <w:ind w:left="3930" w:hanging="360"/>
      </w:pPr>
      <w:rPr>
        <w:rFonts w:cs="Times New Roman"/>
      </w:rPr>
    </w:lvl>
    <w:lvl w:ilvl="5" w:tplc="041B001B" w:tentative="1">
      <w:start w:val="1"/>
      <w:numFmt w:val="lowerRoman"/>
      <w:lvlText w:val="%6."/>
      <w:lvlJc w:val="right"/>
      <w:pPr>
        <w:ind w:left="4650" w:hanging="180"/>
      </w:pPr>
      <w:rPr>
        <w:rFonts w:cs="Times New Roman"/>
      </w:rPr>
    </w:lvl>
    <w:lvl w:ilvl="6" w:tplc="041B000F" w:tentative="1">
      <w:start w:val="1"/>
      <w:numFmt w:val="decimal"/>
      <w:lvlText w:val="%7."/>
      <w:lvlJc w:val="left"/>
      <w:pPr>
        <w:ind w:left="5370" w:hanging="360"/>
      </w:pPr>
      <w:rPr>
        <w:rFonts w:cs="Times New Roman"/>
      </w:rPr>
    </w:lvl>
    <w:lvl w:ilvl="7" w:tplc="041B0019" w:tentative="1">
      <w:start w:val="1"/>
      <w:numFmt w:val="lowerLetter"/>
      <w:lvlText w:val="%8."/>
      <w:lvlJc w:val="left"/>
      <w:pPr>
        <w:ind w:left="6090" w:hanging="360"/>
      </w:pPr>
      <w:rPr>
        <w:rFonts w:cs="Times New Roman"/>
      </w:rPr>
    </w:lvl>
    <w:lvl w:ilvl="8" w:tplc="041B001B" w:tentative="1">
      <w:start w:val="1"/>
      <w:numFmt w:val="lowerRoman"/>
      <w:lvlText w:val="%9."/>
      <w:lvlJc w:val="right"/>
      <w:pPr>
        <w:ind w:left="6810" w:hanging="180"/>
      </w:pPr>
      <w:rPr>
        <w:rFonts w:cs="Times New Roman"/>
      </w:rPr>
    </w:lvl>
  </w:abstractNum>
  <w:abstractNum w:abstractNumId="3" w15:restartNumberingAfterBreak="0">
    <w:nsid w:val="0B562028"/>
    <w:multiLevelType w:val="hybridMultilevel"/>
    <w:tmpl w:val="B3FA1F1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4363D9"/>
    <w:multiLevelType w:val="hybridMultilevel"/>
    <w:tmpl w:val="2134313A"/>
    <w:lvl w:ilvl="0" w:tplc="E840912A">
      <w:start w:val="1"/>
      <w:numFmt w:val="lowerLetter"/>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15:restartNumberingAfterBreak="0">
    <w:nsid w:val="16544280"/>
    <w:multiLevelType w:val="hybridMultilevel"/>
    <w:tmpl w:val="F1F6F1C2"/>
    <w:lvl w:ilvl="0" w:tplc="056EA108">
      <w:start w:val="226"/>
      <w:numFmt w:val="bullet"/>
      <w:lvlText w:val="-"/>
      <w:lvlJc w:val="left"/>
      <w:pPr>
        <w:ind w:left="720" w:hanging="360"/>
      </w:pPr>
      <w:rPr>
        <w:rFonts w:ascii="Vrinda" w:eastAsia="Times New Roman" w:hAnsi="Vrind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7AB321B"/>
    <w:multiLevelType w:val="hybridMultilevel"/>
    <w:tmpl w:val="947602C2"/>
    <w:lvl w:ilvl="0" w:tplc="FDC2AAEC">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B0C541E"/>
    <w:multiLevelType w:val="hybridMultilevel"/>
    <w:tmpl w:val="2FDA4C24"/>
    <w:lvl w:ilvl="0" w:tplc="F31C388E">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B7A5810"/>
    <w:multiLevelType w:val="hybridMultilevel"/>
    <w:tmpl w:val="4E2C730E"/>
    <w:lvl w:ilvl="0" w:tplc="056EA108">
      <w:start w:val="226"/>
      <w:numFmt w:val="bullet"/>
      <w:lvlText w:val="-"/>
      <w:lvlJc w:val="left"/>
      <w:pPr>
        <w:ind w:left="720" w:hanging="360"/>
      </w:pPr>
      <w:rPr>
        <w:rFonts w:ascii="Vrinda" w:eastAsia="Times New Roman" w:hAnsi="Vrind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DF61D3"/>
    <w:multiLevelType w:val="hybridMultilevel"/>
    <w:tmpl w:val="AFCCC618"/>
    <w:lvl w:ilvl="0" w:tplc="1FE2721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9914F7"/>
    <w:multiLevelType w:val="hybridMultilevel"/>
    <w:tmpl w:val="572CC074"/>
    <w:lvl w:ilvl="0" w:tplc="654ECC98">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88F1604"/>
    <w:multiLevelType w:val="hybridMultilevel"/>
    <w:tmpl w:val="8160D0CC"/>
    <w:lvl w:ilvl="0" w:tplc="EC285C2C">
      <w:numFmt w:val="bullet"/>
      <w:lvlText w:val="–"/>
      <w:lvlJc w:val="left"/>
      <w:pPr>
        <w:ind w:left="927" w:hanging="360"/>
      </w:pPr>
      <w:rPr>
        <w:rFonts w:ascii="Times New Roman" w:eastAsia="Times New Roman" w:hAnsi="Times New Roman" w:hint="default"/>
        <w:color w:val="auto"/>
      </w:rPr>
    </w:lvl>
    <w:lvl w:ilvl="1" w:tplc="041B0003" w:tentative="1">
      <w:start w:val="1"/>
      <w:numFmt w:val="bullet"/>
      <w:lvlText w:val="o"/>
      <w:lvlJc w:val="left"/>
      <w:pPr>
        <w:ind w:left="1647" w:hanging="360"/>
      </w:pPr>
      <w:rPr>
        <w:rFonts w:ascii="Courier New" w:hAnsi="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5" w15:restartNumberingAfterBreak="0">
    <w:nsid w:val="39EC5582"/>
    <w:multiLevelType w:val="hybridMultilevel"/>
    <w:tmpl w:val="8E387646"/>
    <w:lvl w:ilvl="0" w:tplc="1EF4D4EA">
      <w:numFmt w:val="bullet"/>
      <w:lvlText w:val="-"/>
      <w:lvlJc w:val="left"/>
      <w:pPr>
        <w:ind w:left="720" w:hanging="360"/>
      </w:pPr>
      <w:rPr>
        <w:rFonts w:ascii="Vrinda" w:eastAsia="Times New Roman" w:hAnsi="Vrind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D26213A"/>
    <w:multiLevelType w:val="hybridMultilevel"/>
    <w:tmpl w:val="BE14BFD4"/>
    <w:lvl w:ilvl="0" w:tplc="3BFA3EE2">
      <w:numFmt w:val="bullet"/>
      <w:lvlText w:val="-"/>
      <w:lvlJc w:val="left"/>
      <w:pPr>
        <w:ind w:left="720" w:hanging="360"/>
      </w:pPr>
      <w:rPr>
        <w:rFonts w:ascii="Vrinda" w:eastAsia="Times New Roman" w:hAnsi="Vrinda"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7" w15:restartNumberingAfterBreak="0">
    <w:nsid w:val="40BB08A6"/>
    <w:multiLevelType w:val="hybridMultilevel"/>
    <w:tmpl w:val="9A7024FA"/>
    <w:lvl w:ilvl="0" w:tplc="CCCEB200">
      <w:start w:val="6"/>
      <w:numFmt w:val="bullet"/>
      <w:lvlText w:val="-"/>
      <w:lvlJc w:val="left"/>
      <w:pPr>
        <w:tabs>
          <w:tab w:val="num" w:pos="900"/>
        </w:tabs>
        <w:ind w:left="900" w:hanging="360"/>
      </w:pPr>
      <w:rPr>
        <w:rFonts w:ascii="Times New Roman" w:eastAsia="Times New Roman" w:hAnsi="Times New Roman" w:cs="Times New Roman" w:hint="default"/>
      </w:rPr>
    </w:lvl>
    <w:lvl w:ilvl="1" w:tplc="FDEA91CA">
      <w:start w:val="1"/>
      <w:numFmt w:val="lowerLetter"/>
      <w:lvlText w:val="%2)"/>
      <w:lvlJc w:val="left"/>
      <w:pPr>
        <w:tabs>
          <w:tab w:val="num" w:pos="417"/>
        </w:tabs>
        <w:ind w:left="720" w:hanging="360"/>
      </w:pPr>
      <w:rPr>
        <w:rFonts w:hint="default"/>
      </w:rPr>
    </w:lvl>
    <w:lvl w:ilvl="2" w:tplc="041B0005" w:tentative="1">
      <w:start w:val="1"/>
      <w:numFmt w:val="bullet"/>
      <w:lvlText w:val=""/>
      <w:lvlJc w:val="left"/>
      <w:pPr>
        <w:tabs>
          <w:tab w:val="num" w:pos="2340"/>
        </w:tabs>
        <w:ind w:left="2340" w:hanging="360"/>
      </w:pPr>
      <w:rPr>
        <w:rFonts w:ascii="Wingdings" w:hAnsi="Wingdings" w:hint="default"/>
      </w:rPr>
    </w:lvl>
    <w:lvl w:ilvl="3" w:tplc="041B0001" w:tentative="1">
      <w:start w:val="1"/>
      <w:numFmt w:val="bullet"/>
      <w:lvlText w:val=""/>
      <w:lvlJc w:val="left"/>
      <w:pPr>
        <w:tabs>
          <w:tab w:val="num" w:pos="3060"/>
        </w:tabs>
        <w:ind w:left="3060" w:hanging="360"/>
      </w:pPr>
      <w:rPr>
        <w:rFonts w:ascii="Symbol" w:hAnsi="Symbol" w:hint="default"/>
      </w:rPr>
    </w:lvl>
    <w:lvl w:ilvl="4" w:tplc="041B0003" w:tentative="1">
      <w:start w:val="1"/>
      <w:numFmt w:val="bullet"/>
      <w:lvlText w:val="o"/>
      <w:lvlJc w:val="left"/>
      <w:pPr>
        <w:tabs>
          <w:tab w:val="num" w:pos="3780"/>
        </w:tabs>
        <w:ind w:left="3780" w:hanging="360"/>
      </w:pPr>
      <w:rPr>
        <w:rFonts w:ascii="Courier New" w:hAnsi="Courier New" w:hint="default"/>
      </w:rPr>
    </w:lvl>
    <w:lvl w:ilvl="5" w:tplc="041B0005" w:tentative="1">
      <w:start w:val="1"/>
      <w:numFmt w:val="bullet"/>
      <w:lvlText w:val=""/>
      <w:lvlJc w:val="left"/>
      <w:pPr>
        <w:tabs>
          <w:tab w:val="num" w:pos="4500"/>
        </w:tabs>
        <w:ind w:left="4500" w:hanging="360"/>
      </w:pPr>
      <w:rPr>
        <w:rFonts w:ascii="Wingdings" w:hAnsi="Wingdings" w:hint="default"/>
      </w:rPr>
    </w:lvl>
    <w:lvl w:ilvl="6" w:tplc="041B0001" w:tentative="1">
      <w:start w:val="1"/>
      <w:numFmt w:val="bullet"/>
      <w:lvlText w:val=""/>
      <w:lvlJc w:val="left"/>
      <w:pPr>
        <w:tabs>
          <w:tab w:val="num" w:pos="5220"/>
        </w:tabs>
        <w:ind w:left="5220" w:hanging="360"/>
      </w:pPr>
      <w:rPr>
        <w:rFonts w:ascii="Symbol" w:hAnsi="Symbol" w:hint="default"/>
      </w:rPr>
    </w:lvl>
    <w:lvl w:ilvl="7" w:tplc="041B0003" w:tentative="1">
      <w:start w:val="1"/>
      <w:numFmt w:val="bullet"/>
      <w:lvlText w:val="o"/>
      <w:lvlJc w:val="left"/>
      <w:pPr>
        <w:tabs>
          <w:tab w:val="num" w:pos="5940"/>
        </w:tabs>
        <w:ind w:left="5940" w:hanging="360"/>
      </w:pPr>
      <w:rPr>
        <w:rFonts w:ascii="Courier New" w:hAnsi="Courier New" w:hint="default"/>
      </w:rPr>
    </w:lvl>
    <w:lvl w:ilvl="8" w:tplc="041B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507B5577"/>
    <w:multiLevelType w:val="hybridMultilevel"/>
    <w:tmpl w:val="7C2E8B80"/>
    <w:lvl w:ilvl="0" w:tplc="654ECC98">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213627F"/>
    <w:multiLevelType w:val="hybridMultilevel"/>
    <w:tmpl w:val="CE2E7A3C"/>
    <w:lvl w:ilvl="0" w:tplc="056EA108">
      <w:start w:val="226"/>
      <w:numFmt w:val="bullet"/>
      <w:lvlText w:val="-"/>
      <w:lvlJc w:val="left"/>
      <w:pPr>
        <w:ind w:left="720" w:hanging="360"/>
      </w:pPr>
      <w:rPr>
        <w:rFonts w:ascii="Vrinda" w:eastAsia="Times New Roman" w:hAnsi="Vrind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258462C"/>
    <w:multiLevelType w:val="hybridMultilevel"/>
    <w:tmpl w:val="8C807316"/>
    <w:lvl w:ilvl="0" w:tplc="3B664C54">
      <w:start w:val="4"/>
      <w:numFmt w:val="bullet"/>
      <w:lvlText w:val="-"/>
      <w:lvlJc w:val="left"/>
      <w:pPr>
        <w:ind w:left="720" w:hanging="360"/>
      </w:pPr>
      <w:rPr>
        <w:rFonts w:ascii="Times New Roman" w:eastAsia="Times New Roman" w:hAnsi="Times New Roman" w:hint="default"/>
        <w:color w:val="auto"/>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914168F"/>
    <w:multiLevelType w:val="hybridMultilevel"/>
    <w:tmpl w:val="DD2A12F2"/>
    <w:lvl w:ilvl="0" w:tplc="DFD21DC2">
      <w:numFmt w:val="bullet"/>
      <w:lvlText w:val="-"/>
      <w:lvlJc w:val="left"/>
      <w:pPr>
        <w:ind w:left="405" w:hanging="360"/>
      </w:pPr>
      <w:rPr>
        <w:rFonts w:ascii="Calibri" w:eastAsia="Times New Roman" w:hAnsi="Calibri" w:hint="default"/>
      </w:rPr>
    </w:lvl>
    <w:lvl w:ilvl="1" w:tplc="041B0003">
      <w:start w:val="1"/>
      <w:numFmt w:val="bullet"/>
      <w:lvlText w:val="o"/>
      <w:lvlJc w:val="left"/>
      <w:pPr>
        <w:ind w:left="1125" w:hanging="360"/>
      </w:pPr>
      <w:rPr>
        <w:rFonts w:ascii="Courier New" w:hAnsi="Courier New" w:hint="default"/>
      </w:rPr>
    </w:lvl>
    <w:lvl w:ilvl="2" w:tplc="041B0005">
      <w:start w:val="1"/>
      <w:numFmt w:val="bullet"/>
      <w:lvlText w:val=""/>
      <w:lvlJc w:val="left"/>
      <w:pPr>
        <w:ind w:left="1845" w:hanging="360"/>
      </w:pPr>
      <w:rPr>
        <w:rFonts w:ascii="Wingdings" w:hAnsi="Wingdings" w:hint="default"/>
      </w:rPr>
    </w:lvl>
    <w:lvl w:ilvl="3" w:tplc="041B0001">
      <w:start w:val="1"/>
      <w:numFmt w:val="bullet"/>
      <w:lvlText w:val=""/>
      <w:lvlJc w:val="left"/>
      <w:pPr>
        <w:ind w:left="2565" w:hanging="360"/>
      </w:pPr>
      <w:rPr>
        <w:rFonts w:ascii="Symbol" w:hAnsi="Symbol" w:hint="default"/>
      </w:rPr>
    </w:lvl>
    <w:lvl w:ilvl="4" w:tplc="041B0003">
      <w:start w:val="1"/>
      <w:numFmt w:val="bullet"/>
      <w:lvlText w:val="o"/>
      <w:lvlJc w:val="left"/>
      <w:pPr>
        <w:ind w:left="3285" w:hanging="360"/>
      </w:pPr>
      <w:rPr>
        <w:rFonts w:ascii="Courier New" w:hAnsi="Courier New" w:hint="default"/>
      </w:rPr>
    </w:lvl>
    <w:lvl w:ilvl="5" w:tplc="041B0005">
      <w:start w:val="1"/>
      <w:numFmt w:val="bullet"/>
      <w:lvlText w:val=""/>
      <w:lvlJc w:val="left"/>
      <w:pPr>
        <w:ind w:left="4005" w:hanging="360"/>
      </w:pPr>
      <w:rPr>
        <w:rFonts w:ascii="Wingdings" w:hAnsi="Wingdings" w:hint="default"/>
      </w:rPr>
    </w:lvl>
    <w:lvl w:ilvl="6" w:tplc="041B0001">
      <w:start w:val="1"/>
      <w:numFmt w:val="bullet"/>
      <w:lvlText w:val=""/>
      <w:lvlJc w:val="left"/>
      <w:pPr>
        <w:ind w:left="4725" w:hanging="360"/>
      </w:pPr>
      <w:rPr>
        <w:rFonts w:ascii="Symbol" w:hAnsi="Symbol" w:hint="default"/>
      </w:rPr>
    </w:lvl>
    <w:lvl w:ilvl="7" w:tplc="041B0003">
      <w:start w:val="1"/>
      <w:numFmt w:val="bullet"/>
      <w:lvlText w:val="o"/>
      <w:lvlJc w:val="left"/>
      <w:pPr>
        <w:ind w:left="5445" w:hanging="360"/>
      </w:pPr>
      <w:rPr>
        <w:rFonts w:ascii="Courier New" w:hAnsi="Courier New" w:hint="default"/>
      </w:rPr>
    </w:lvl>
    <w:lvl w:ilvl="8" w:tplc="041B0005">
      <w:start w:val="1"/>
      <w:numFmt w:val="bullet"/>
      <w:lvlText w:val=""/>
      <w:lvlJc w:val="left"/>
      <w:pPr>
        <w:ind w:left="6165" w:hanging="360"/>
      </w:pPr>
      <w:rPr>
        <w:rFonts w:ascii="Wingdings" w:hAnsi="Wingdings" w:hint="default"/>
      </w:rPr>
    </w:lvl>
  </w:abstractNum>
  <w:abstractNum w:abstractNumId="22" w15:restartNumberingAfterBreak="0">
    <w:nsid w:val="5B3C57DF"/>
    <w:multiLevelType w:val="hybridMultilevel"/>
    <w:tmpl w:val="8D3EFD26"/>
    <w:lvl w:ilvl="0" w:tplc="22DE1A78">
      <w:numFmt w:val="bullet"/>
      <w:lvlText w:val="–"/>
      <w:lvlJc w:val="center"/>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21B042D"/>
    <w:multiLevelType w:val="hybridMultilevel"/>
    <w:tmpl w:val="4C501246"/>
    <w:lvl w:ilvl="0" w:tplc="267E25B0">
      <w:numFmt w:val="bullet"/>
      <w:lvlText w:val="-"/>
      <w:lvlJc w:val="left"/>
      <w:pPr>
        <w:tabs>
          <w:tab w:val="num" w:pos="720"/>
        </w:tabs>
        <w:ind w:left="720" w:hanging="360"/>
      </w:pPr>
      <w:rPr>
        <w:rFonts w:ascii="Arial Narrow" w:eastAsia="Times New Roman" w:hAnsi="Arial Narrow"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A6481C"/>
    <w:multiLevelType w:val="hybridMultilevel"/>
    <w:tmpl w:val="1BFE2034"/>
    <w:lvl w:ilvl="0" w:tplc="E228DB96">
      <w:start w:val="3"/>
      <w:numFmt w:val="decimal"/>
      <w:lvlText w:val="%1."/>
      <w:lvlJc w:val="left"/>
      <w:pPr>
        <w:tabs>
          <w:tab w:val="num" w:pos="360"/>
        </w:tabs>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5360485"/>
    <w:multiLevelType w:val="hybridMultilevel"/>
    <w:tmpl w:val="0364869A"/>
    <w:lvl w:ilvl="0" w:tplc="22DE1A78">
      <w:numFmt w:val="bullet"/>
      <w:lvlText w:val="–"/>
      <w:lvlJc w:val="center"/>
      <w:pPr>
        <w:ind w:left="720" w:hanging="360"/>
      </w:pPr>
      <w:rPr>
        <w:rFonts w:ascii="Times New Roman" w:eastAsia="Times New Roman" w:hAnsi="Times New Roman" w:hint="default"/>
        <w:color w:val="auto"/>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AB62683"/>
    <w:multiLevelType w:val="singleLevel"/>
    <w:tmpl w:val="768E8086"/>
    <w:lvl w:ilvl="0">
      <w:start w:val="1"/>
      <w:numFmt w:val="bullet"/>
      <w:lvlText w:val="-"/>
      <w:lvlJc w:val="left"/>
      <w:pPr>
        <w:tabs>
          <w:tab w:val="num" w:pos="660"/>
        </w:tabs>
        <w:ind w:left="660" w:hanging="360"/>
      </w:pPr>
      <w:rPr>
        <w:rFonts w:hint="default"/>
      </w:rPr>
    </w:lvl>
  </w:abstractNum>
  <w:abstractNum w:abstractNumId="27" w15:restartNumberingAfterBreak="0">
    <w:nsid w:val="6B625AE5"/>
    <w:multiLevelType w:val="singleLevel"/>
    <w:tmpl w:val="0405000F"/>
    <w:lvl w:ilvl="0">
      <w:start w:val="2"/>
      <w:numFmt w:val="decimal"/>
      <w:lvlText w:val="%1."/>
      <w:lvlJc w:val="left"/>
      <w:pPr>
        <w:tabs>
          <w:tab w:val="num" w:pos="360"/>
        </w:tabs>
        <w:ind w:left="360" w:hanging="360"/>
      </w:pPr>
      <w:rPr>
        <w:rFonts w:hint="default"/>
      </w:rPr>
    </w:lvl>
  </w:abstractNum>
  <w:abstractNum w:abstractNumId="28" w15:restartNumberingAfterBreak="0">
    <w:nsid w:val="6E022141"/>
    <w:multiLevelType w:val="hybridMultilevel"/>
    <w:tmpl w:val="0A6AD7D6"/>
    <w:lvl w:ilvl="0" w:tplc="22DE1A78">
      <w:numFmt w:val="bullet"/>
      <w:lvlText w:val="–"/>
      <w:lvlJc w:val="center"/>
      <w:pPr>
        <w:ind w:left="1026" w:hanging="360"/>
      </w:pPr>
      <w:rPr>
        <w:rFonts w:ascii="Times New Roman" w:eastAsia="Times New Roman" w:hAnsi="Times New Roman" w:hint="default"/>
        <w:color w:val="auto"/>
      </w:rPr>
    </w:lvl>
    <w:lvl w:ilvl="1" w:tplc="041B0003" w:tentative="1">
      <w:start w:val="1"/>
      <w:numFmt w:val="bullet"/>
      <w:lvlText w:val="o"/>
      <w:lvlJc w:val="left"/>
      <w:pPr>
        <w:ind w:left="1746" w:hanging="360"/>
      </w:pPr>
      <w:rPr>
        <w:rFonts w:ascii="Courier New" w:hAnsi="Courier New" w:hint="default"/>
      </w:rPr>
    </w:lvl>
    <w:lvl w:ilvl="2" w:tplc="041B0005" w:tentative="1">
      <w:start w:val="1"/>
      <w:numFmt w:val="bullet"/>
      <w:lvlText w:val=""/>
      <w:lvlJc w:val="left"/>
      <w:pPr>
        <w:ind w:left="2466" w:hanging="360"/>
      </w:pPr>
      <w:rPr>
        <w:rFonts w:ascii="Wingdings" w:hAnsi="Wingdings" w:hint="default"/>
      </w:rPr>
    </w:lvl>
    <w:lvl w:ilvl="3" w:tplc="041B0001" w:tentative="1">
      <w:start w:val="1"/>
      <w:numFmt w:val="bullet"/>
      <w:lvlText w:val=""/>
      <w:lvlJc w:val="left"/>
      <w:pPr>
        <w:ind w:left="3186" w:hanging="360"/>
      </w:pPr>
      <w:rPr>
        <w:rFonts w:ascii="Symbol" w:hAnsi="Symbol" w:hint="default"/>
      </w:rPr>
    </w:lvl>
    <w:lvl w:ilvl="4" w:tplc="041B0003" w:tentative="1">
      <w:start w:val="1"/>
      <w:numFmt w:val="bullet"/>
      <w:lvlText w:val="o"/>
      <w:lvlJc w:val="left"/>
      <w:pPr>
        <w:ind w:left="3906" w:hanging="360"/>
      </w:pPr>
      <w:rPr>
        <w:rFonts w:ascii="Courier New" w:hAnsi="Courier New" w:hint="default"/>
      </w:rPr>
    </w:lvl>
    <w:lvl w:ilvl="5" w:tplc="041B0005" w:tentative="1">
      <w:start w:val="1"/>
      <w:numFmt w:val="bullet"/>
      <w:lvlText w:val=""/>
      <w:lvlJc w:val="left"/>
      <w:pPr>
        <w:ind w:left="4626" w:hanging="360"/>
      </w:pPr>
      <w:rPr>
        <w:rFonts w:ascii="Wingdings" w:hAnsi="Wingdings" w:hint="default"/>
      </w:rPr>
    </w:lvl>
    <w:lvl w:ilvl="6" w:tplc="041B0001" w:tentative="1">
      <w:start w:val="1"/>
      <w:numFmt w:val="bullet"/>
      <w:lvlText w:val=""/>
      <w:lvlJc w:val="left"/>
      <w:pPr>
        <w:ind w:left="5346" w:hanging="360"/>
      </w:pPr>
      <w:rPr>
        <w:rFonts w:ascii="Symbol" w:hAnsi="Symbol" w:hint="default"/>
      </w:rPr>
    </w:lvl>
    <w:lvl w:ilvl="7" w:tplc="041B0003" w:tentative="1">
      <w:start w:val="1"/>
      <w:numFmt w:val="bullet"/>
      <w:lvlText w:val="o"/>
      <w:lvlJc w:val="left"/>
      <w:pPr>
        <w:ind w:left="6066" w:hanging="360"/>
      </w:pPr>
      <w:rPr>
        <w:rFonts w:ascii="Courier New" w:hAnsi="Courier New" w:hint="default"/>
      </w:rPr>
    </w:lvl>
    <w:lvl w:ilvl="8" w:tplc="041B0005" w:tentative="1">
      <w:start w:val="1"/>
      <w:numFmt w:val="bullet"/>
      <w:lvlText w:val=""/>
      <w:lvlJc w:val="left"/>
      <w:pPr>
        <w:ind w:left="6786" w:hanging="360"/>
      </w:pPr>
      <w:rPr>
        <w:rFonts w:ascii="Wingdings" w:hAnsi="Wingdings" w:hint="default"/>
      </w:rPr>
    </w:lvl>
  </w:abstractNum>
  <w:abstractNum w:abstractNumId="29" w15:restartNumberingAfterBreak="0">
    <w:nsid w:val="6F3C24B4"/>
    <w:multiLevelType w:val="hybridMultilevel"/>
    <w:tmpl w:val="3162F5C2"/>
    <w:lvl w:ilvl="0" w:tplc="056EA108">
      <w:start w:val="226"/>
      <w:numFmt w:val="bullet"/>
      <w:lvlText w:val="-"/>
      <w:lvlJc w:val="left"/>
      <w:pPr>
        <w:ind w:left="720" w:hanging="360"/>
      </w:pPr>
      <w:rPr>
        <w:rFonts w:ascii="Vrinda" w:eastAsia="Times New Roman" w:hAnsi="Vrind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0DC7C8E"/>
    <w:multiLevelType w:val="hybridMultilevel"/>
    <w:tmpl w:val="A14ECBF8"/>
    <w:lvl w:ilvl="0" w:tplc="48F406FE">
      <w:numFmt w:val="bullet"/>
      <w:lvlText w:val="-"/>
      <w:lvlJc w:val="left"/>
      <w:pPr>
        <w:ind w:left="720" w:hanging="360"/>
      </w:pPr>
      <w:rPr>
        <w:rFonts w:ascii="Vrinda" w:eastAsia="Times New Roman" w:hAnsi="Vrind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num w:numId="1">
    <w:abstractNumId w:val="23"/>
  </w:num>
  <w:num w:numId="2">
    <w:abstractNumId w:val="14"/>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6"/>
  </w:num>
  <w:num w:numId="6">
    <w:abstractNumId w:val="0"/>
  </w:num>
  <w:num w:numId="7">
    <w:abstractNumId w:val="7"/>
  </w:num>
  <w:num w:numId="8">
    <w:abstractNumId w:val="1"/>
  </w:num>
  <w:num w:numId="9">
    <w:abstractNumId w:val="25"/>
  </w:num>
  <w:num w:numId="10">
    <w:abstractNumId w:val="28"/>
  </w:num>
  <w:num w:numId="11">
    <w:abstractNumId w:val="22"/>
  </w:num>
  <w:num w:numId="12">
    <w:abstractNumId w:val="10"/>
  </w:num>
  <w:num w:numId="13">
    <w:abstractNumId w:val="12"/>
  </w:num>
  <w:num w:numId="14">
    <w:abstractNumId w:val="4"/>
  </w:num>
  <w:num w:numId="15">
    <w:abstractNumId w:val="11"/>
  </w:num>
  <w:num w:numId="16">
    <w:abstractNumId w:val="31"/>
  </w:num>
  <w:num w:numId="17">
    <w:abstractNumId w:val="3"/>
  </w:num>
  <w:num w:numId="18">
    <w:abstractNumId w:val="30"/>
  </w:num>
  <w:num w:numId="19">
    <w:abstractNumId w:val="15"/>
  </w:num>
  <w:num w:numId="20">
    <w:abstractNumId w:val="2"/>
  </w:num>
  <w:num w:numId="21">
    <w:abstractNumId w:val="13"/>
  </w:num>
  <w:num w:numId="22">
    <w:abstractNumId w:val="29"/>
  </w:num>
  <w:num w:numId="23">
    <w:abstractNumId w:val="19"/>
  </w:num>
  <w:num w:numId="24">
    <w:abstractNumId w:val="9"/>
  </w:num>
  <w:num w:numId="25">
    <w:abstractNumId w:val="6"/>
  </w:num>
  <w:num w:numId="26">
    <w:abstractNumId w:val="18"/>
  </w:num>
  <w:num w:numId="27">
    <w:abstractNumId w:val="21"/>
  </w:num>
  <w:num w:numId="28">
    <w:abstractNumId w:val="20"/>
  </w:num>
  <w:num w:numId="29">
    <w:abstractNumId w:val="8"/>
  </w:num>
  <w:num w:numId="30">
    <w:abstractNumId w:val="26"/>
  </w:num>
  <w:num w:numId="31">
    <w:abstractNumId w:val="27"/>
  </w:num>
  <w:num w:numId="32">
    <w:abstractNumId w:val="17"/>
  </w:num>
  <w:num w:numId="33">
    <w:abstractNumId w:val="5"/>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278"/>
    <w:rsid w:val="00011D6C"/>
    <w:rsid w:val="000276A1"/>
    <w:rsid w:val="00040A99"/>
    <w:rsid w:val="00057ADF"/>
    <w:rsid w:val="000B75DA"/>
    <w:rsid w:val="000D46E5"/>
    <w:rsid w:val="000E5DCC"/>
    <w:rsid w:val="000F1B27"/>
    <w:rsid w:val="00113413"/>
    <w:rsid w:val="00135836"/>
    <w:rsid w:val="0015661B"/>
    <w:rsid w:val="00193BCC"/>
    <w:rsid w:val="001B1696"/>
    <w:rsid w:val="001C02F1"/>
    <w:rsid w:val="001C0607"/>
    <w:rsid w:val="00222E2A"/>
    <w:rsid w:val="00243E51"/>
    <w:rsid w:val="00294D7D"/>
    <w:rsid w:val="002A1340"/>
    <w:rsid w:val="002C049C"/>
    <w:rsid w:val="002E3127"/>
    <w:rsid w:val="002E5523"/>
    <w:rsid w:val="002F142D"/>
    <w:rsid w:val="002F7A60"/>
    <w:rsid w:val="0033799A"/>
    <w:rsid w:val="00352CA7"/>
    <w:rsid w:val="00353710"/>
    <w:rsid w:val="0037597E"/>
    <w:rsid w:val="003A39C1"/>
    <w:rsid w:val="003E2ED4"/>
    <w:rsid w:val="003E6073"/>
    <w:rsid w:val="00402CF6"/>
    <w:rsid w:val="00403848"/>
    <w:rsid w:val="004174FB"/>
    <w:rsid w:val="00442BA2"/>
    <w:rsid w:val="0044533D"/>
    <w:rsid w:val="00446EDD"/>
    <w:rsid w:val="00455DBE"/>
    <w:rsid w:val="00460FD3"/>
    <w:rsid w:val="004864C4"/>
    <w:rsid w:val="0049434C"/>
    <w:rsid w:val="004A0D0F"/>
    <w:rsid w:val="004B2E31"/>
    <w:rsid w:val="004F1B59"/>
    <w:rsid w:val="004F4C20"/>
    <w:rsid w:val="004F4E50"/>
    <w:rsid w:val="00500E63"/>
    <w:rsid w:val="0050587A"/>
    <w:rsid w:val="005346E7"/>
    <w:rsid w:val="00534FA2"/>
    <w:rsid w:val="00541A18"/>
    <w:rsid w:val="00552BA9"/>
    <w:rsid w:val="00572FAB"/>
    <w:rsid w:val="00575278"/>
    <w:rsid w:val="00591A6A"/>
    <w:rsid w:val="005938ED"/>
    <w:rsid w:val="005A0376"/>
    <w:rsid w:val="00603C7E"/>
    <w:rsid w:val="00641F15"/>
    <w:rsid w:val="00650E7D"/>
    <w:rsid w:val="0066078C"/>
    <w:rsid w:val="0066487E"/>
    <w:rsid w:val="00691A7F"/>
    <w:rsid w:val="006954A2"/>
    <w:rsid w:val="00697F64"/>
    <w:rsid w:val="006B009F"/>
    <w:rsid w:val="006D3731"/>
    <w:rsid w:val="006E25CA"/>
    <w:rsid w:val="006E7E8D"/>
    <w:rsid w:val="006F3EF5"/>
    <w:rsid w:val="00701656"/>
    <w:rsid w:val="00730F6D"/>
    <w:rsid w:val="00742FB6"/>
    <w:rsid w:val="00745379"/>
    <w:rsid w:val="0076638E"/>
    <w:rsid w:val="0077450D"/>
    <w:rsid w:val="00783257"/>
    <w:rsid w:val="00795247"/>
    <w:rsid w:val="007A017C"/>
    <w:rsid w:val="007E1502"/>
    <w:rsid w:val="007F5E78"/>
    <w:rsid w:val="0081183B"/>
    <w:rsid w:val="008215A5"/>
    <w:rsid w:val="0085250D"/>
    <w:rsid w:val="0086047B"/>
    <w:rsid w:val="00891BF2"/>
    <w:rsid w:val="008B029A"/>
    <w:rsid w:val="008B621F"/>
    <w:rsid w:val="008D57F6"/>
    <w:rsid w:val="008F3892"/>
    <w:rsid w:val="00905728"/>
    <w:rsid w:val="00913DCE"/>
    <w:rsid w:val="00935651"/>
    <w:rsid w:val="009636F8"/>
    <w:rsid w:val="00965952"/>
    <w:rsid w:val="009C2D64"/>
    <w:rsid w:val="009E065B"/>
    <w:rsid w:val="009F2537"/>
    <w:rsid w:val="00A224C1"/>
    <w:rsid w:val="00A25584"/>
    <w:rsid w:val="00A374C8"/>
    <w:rsid w:val="00A638D0"/>
    <w:rsid w:val="00A64D2D"/>
    <w:rsid w:val="00A6533A"/>
    <w:rsid w:val="00A8373D"/>
    <w:rsid w:val="00A94DF1"/>
    <w:rsid w:val="00A96184"/>
    <w:rsid w:val="00AA1D95"/>
    <w:rsid w:val="00AA25A4"/>
    <w:rsid w:val="00AE5D0E"/>
    <w:rsid w:val="00AE7CE9"/>
    <w:rsid w:val="00B10210"/>
    <w:rsid w:val="00B16C86"/>
    <w:rsid w:val="00B230D6"/>
    <w:rsid w:val="00B71122"/>
    <w:rsid w:val="00B82B1D"/>
    <w:rsid w:val="00B95BFE"/>
    <w:rsid w:val="00BC2094"/>
    <w:rsid w:val="00BF29A0"/>
    <w:rsid w:val="00BF517A"/>
    <w:rsid w:val="00BF78EB"/>
    <w:rsid w:val="00C478ED"/>
    <w:rsid w:val="00C5661B"/>
    <w:rsid w:val="00C56895"/>
    <w:rsid w:val="00C82073"/>
    <w:rsid w:val="00CC3E2F"/>
    <w:rsid w:val="00CD4B5C"/>
    <w:rsid w:val="00CE6F90"/>
    <w:rsid w:val="00D26625"/>
    <w:rsid w:val="00D27E3C"/>
    <w:rsid w:val="00D326DE"/>
    <w:rsid w:val="00D3331E"/>
    <w:rsid w:val="00D5552B"/>
    <w:rsid w:val="00D632CD"/>
    <w:rsid w:val="00D74B74"/>
    <w:rsid w:val="00D9755D"/>
    <w:rsid w:val="00DA4671"/>
    <w:rsid w:val="00DA7694"/>
    <w:rsid w:val="00DD3E46"/>
    <w:rsid w:val="00DF441A"/>
    <w:rsid w:val="00E033DA"/>
    <w:rsid w:val="00E355FA"/>
    <w:rsid w:val="00E71912"/>
    <w:rsid w:val="00EC22D4"/>
    <w:rsid w:val="00ED2684"/>
    <w:rsid w:val="00EE0DC7"/>
    <w:rsid w:val="00EE13B4"/>
    <w:rsid w:val="00F04101"/>
    <w:rsid w:val="00F06104"/>
    <w:rsid w:val="00F30EE2"/>
    <w:rsid w:val="00F36AB8"/>
    <w:rsid w:val="00F36BE3"/>
    <w:rsid w:val="00F47926"/>
    <w:rsid w:val="00F50F39"/>
    <w:rsid w:val="00F74A55"/>
    <w:rsid w:val="00F75A5A"/>
    <w:rsid w:val="00FB1515"/>
    <w:rsid w:val="00FC0668"/>
    <w:rsid w:val="00FC66D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EDAF7E5-33DA-4909-9A24-165902E9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rPr>
  </w:style>
  <w:style w:type="paragraph" w:styleId="Nadpis1">
    <w:name w:val="heading 1"/>
    <w:basedOn w:val="Normlny"/>
    <w:next w:val="Normlny"/>
    <w:link w:val="Nadpis1Char"/>
    <w:uiPriority w:val="9"/>
    <w:qFormat/>
    <w:rsid w:val="00403848"/>
    <w:pPr>
      <w:numPr>
        <w:numId w:val="6"/>
      </w:numPr>
      <w:overflowPunct w:val="0"/>
      <w:autoSpaceDE w:val="0"/>
      <w:autoSpaceDN w:val="0"/>
      <w:adjustRightInd w:val="0"/>
      <w:spacing w:line="288" w:lineRule="auto"/>
      <w:jc w:val="both"/>
      <w:textAlignment w:val="baseline"/>
      <w:outlineLvl w:val="0"/>
    </w:pPr>
    <w:rPr>
      <w:kern w:val="28"/>
      <w:sz w:val="22"/>
      <w:szCs w:val="22"/>
      <w:lang w:val="nl-BE"/>
    </w:rPr>
  </w:style>
  <w:style w:type="paragraph" w:styleId="Nadpis2">
    <w:name w:val="heading 2"/>
    <w:basedOn w:val="Normlny"/>
    <w:next w:val="Normlny"/>
    <w:link w:val="Nadpis2Char"/>
    <w:uiPriority w:val="9"/>
    <w:qFormat/>
    <w:rsid w:val="00403848"/>
    <w:pPr>
      <w:numPr>
        <w:ilvl w:val="1"/>
        <w:numId w:val="6"/>
      </w:numPr>
      <w:overflowPunct w:val="0"/>
      <w:autoSpaceDE w:val="0"/>
      <w:autoSpaceDN w:val="0"/>
      <w:adjustRightInd w:val="0"/>
      <w:spacing w:line="288" w:lineRule="auto"/>
      <w:jc w:val="both"/>
      <w:textAlignment w:val="baseline"/>
      <w:outlineLvl w:val="1"/>
    </w:pPr>
    <w:rPr>
      <w:sz w:val="22"/>
      <w:szCs w:val="22"/>
      <w:lang w:val="nl-BE"/>
    </w:rPr>
  </w:style>
  <w:style w:type="paragraph" w:styleId="Nadpis3">
    <w:name w:val="heading 3"/>
    <w:basedOn w:val="Normlny"/>
    <w:next w:val="Normlny"/>
    <w:link w:val="Nadpis3Char"/>
    <w:uiPriority w:val="9"/>
    <w:qFormat/>
    <w:rsid w:val="00403848"/>
    <w:pPr>
      <w:numPr>
        <w:ilvl w:val="2"/>
        <w:numId w:val="6"/>
      </w:numPr>
      <w:overflowPunct w:val="0"/>
      <w:autoSpaceDE w:val="0"/>
      <w:autoSpaceDN w:val="0"/>
      <w:adjustRightInd w:val="0"/>
      <w:spacing w:line="288" w:lineRule="auto"/>
      <w:jc w:val="both"/>
      <w:textAlignment w:val="baseline"/>
      <w:outlineLvl w:val="2"/>
    </w:pPr>
    <w:rPr>
      <w:sz w:val="22"/>
      <w:szCs w:val="22"/>
      <w:lang w:val="nl-BE"/>
    </w:rPr>
  </w:style>
  <w:style w:type="paragraph" w:styleId="Nadpis4">
    <w:name w:val="heading 4"/>
    <w:basedOn w:val="Normlny"/>
    <w:next w:val="Normlny"/>
    <w:link w:val="Nadpis4Char"/>
    <w:uiPriority w:val="9"/>
    <w:qFormat/>
    <w:rsid w:val="00403848"/>
    <w:pPr>
      <w:numPr>
        <w:ilvl w:val="3"/>
        <w:numId w:val="6"/>
      </w:numPr>
      <w:overflowPunct w:val="0"/>
      <w:autoSpaceDE w:val="0"/>
      <w:autoSpaceDN w:val="0"/>
      <w:adjustRightInd w:val="0"/>
      <w:spacing w:line="288" w:lineRule="auto"/>
      <w:jc w:val="both"/>
      <w:textAlignment w:val="baseline"/>
      <w:outlineLvl w:val="3"/>
    </w:pPr>
    <w:rPr>
      <w:sz w:val="22"/>
      <w:szCs w:val="22"/>
      <w:lang w:val="nl-BE"/>
    </w:rPr>
  </w:style>
  <w:style w:type="paragraph" w:styleId="Nadpis5">
    <w:name w:val="heading 5"/>
    <w:basedOn w:val="Normlny"/>
    <w:next w:val="Normlny"/>
    <w:link w:val="Nadpis5Char"/>
    <w:uiPriority w:val="9"/>
    <w:qFormat/>
    <w:rsid w:val="00403848"/>
    <w:pPr>
      <w:numPr>
        <w:ilvl w:val="4"/>
        <w:numId w:val="6"/>
      </w:numPr>
      <w:overflowPunct w:val="0"/>
      <w:autoSpaceDE w:val="0"/>
      <w:autoSpaceDN w:val="0"/>
      <w:adjustRightInd w:val="0"/>
      <w:spacing w:line="288" w:lineRule="auto"/>
      <w:jc w:val="both"/>
      <w:textAlignment w:val="baseline"/>
      <w:outlineLvl w:val="4"/>
    </w:pPr>
    <w:rPr>
      <w:sz w:val="22"/>
      <w:szCs w:val="22"/>
      <w:lang w:val="nl-BE"/>
    </w:rPr>
  </w:style>
  <w:style w:type="paragraph" w:styleId="Nadpis6">
    <w:name w:val="heading 6"/>
    <w:basedOn w:val="Normlny"/>
    <w:next w:val="Normlny"/>
    <w:link w:val="Nadpis6Char"/>
    <w:uiPriority w:val="9"/>
    <w:qFormat/>
    <w:rsid w:val="00403848"/>
    <w:pPr>
      <w:numPr>
        <w:ilvl w:val="5"/>
        <w:numId w:val="6"/>
      </w:numPr>
      <w:overflowPunct w:val="0"/>
      <w:autoSpaceDE w:val="0"/>
      <w:autoSpaceDN w:val="0"/>
      <w:adjustRightInd w:val="0"/>
      <w:spacing w:line="288" w:lineRule="auto"/>
      <w:jc w:val="both"/>
      <w:textAlignment w:val="baseline"/>
      <w:outlineLvl w:val="5"/>
    </w:pPr>
    <w:rPr>
      <w:sz w:val="22"/>
      <w:szCs w:val="22"/>
      <w:lang w:val="nl-BE"/>
    </w:rPr>
  </w:style>
  <w:style w:type="paragraph" w:styleId="Nadpis7">
    <w:name w:val="heading 7"/>
    <w:basedOn w:val="Normlny"/>
    <w:next w:val="Normlny"/>
    <w:link w:val="Nadpis7Char"/>
    <w:uiPriority w:val="9"/>
    <w:qFormat/>
    <w:rsid w:val="00403848"/>
    <w:pPr>
      <w:numPr>
        <w:ilvl w:val="6"/>
        <w:numId w:val="6"/>
      </w:numPr>
      <w:overflowPunct w:val="0"/>
      <w:autoSpaceDE w:val="0"/>
      <w:autoSpaceDN w:val="0"/>
      <w:adjustRightInd w:val="0"/>
      <w:spacing w:line="288" w:lineRule="auto"/>
      <w:jc w:val="both"/>
      <w:textAlignment w:val="baseline"/>
      <w:outlineLvl w:val="6"/>
    </w:pPr>
    <w:rPr>
      <w:sz w:val="22"/>
      <w:szCs w:val="22"/>
      <w:lang w:val="nl-BE"/>
    </w:rPr>
  </w:style>
  <w:style w:type="paragraph" w:styleId="Nadpis8">
    <w:name w:val="heading 8"/>
    <w:basedOn w:val="Normlny"/>
    <w:next w:val="Normlny"/>
    <w:link w:val="Nadpis8Char"/>
    <w:uiPriority w:val="9"/>
    <w:qFormat/>
    <w:rsid w:val="00403848"/>
    <w:pPr>
      <w:numPr>
        <w:ilvl w:val="7"/>
        <w:numId w:val="6"/>
      </w:numPr>
      <w:overflowPunct w:val="0"/>
      <w:autoSpaceDE w:val="0"/>
      <w:autoSpaceDN w:val="0"/>
      <w:adjustRightInd w:val="0"/>
      <w:spacing w:line="288" w:lineRule="auto"/>
      <w:jc w:val="both"/>
      <w:textAlignment w:val="baseline"/>
      <w:outlineLvl w:val="7"/>
    </w:pPr>
    <w:rPr>
      <w:sz w:val="22"/>
      <w:szCs w:val="22"/>
      <w:lang w:val="nl-BE"/>
    </w:rPr>
  </w:style>
  <w:style w:type="paragraph" w:styleId="Nadpis9">
    <w:name w:val="heading 9"/>
    <w:basedOn w:val="Normlny"/>
    <w:next w:val="Normlny"/>
    <w:link w:val="Nadpis9Char"/>
    <w:uiPriority w:val="9"/>
    <w:qFormat/>
    <w:rsid w:val="00403848"/>
    <w:pPr>
      <w:numPr>
        <w:ilvl w:val="8"/>
        <w:numId w:val="6"/>
      </w:numPr>
      <w:overflowPunct w:val="0"/>
      <w:autoSpaceDE w:val="0"/>
      <w:autoSpaceDN w:val="0"/>
      <w:adjustRightInd w:val="0"/>
      <w:spacing w:line="288" w:lineRule="auto"/>
      <w:jc w:val="both"/>
      <w:textAlignment w:val="baseline"/>
      <w:outlineLvl w:val="8"/>
    </w:pPr>
    <w:rPr>
      <w:sz w:val="22"/>
      <w:szCs w:val="22"/>
      <w:lang w:val="nl-B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sid w:val="00403848"/>
    <w:rPr>
      <w:rFonts w:cs="Times New Roman"/>
      <w:kern w:val="28"/>
      <w:lang w:val="nl-BE" w:eastAsia="x-none"/>
    </w:rPr>
  </w:style>
  <w:style w:type="character" w:customStyle="1" w:styleId="Nadpis2Char">
    <w:name w:val="Nadpis 2 Char"/>
    <w:link w:val="Nadpis2"/>
    <w:uiPriority w:val="9"/>
    <w:locked/>
    <w:rsid w:val="00403848"/>
    <w:rPr>
      <w:rFonts w:cs="Times New Roman"/>
      <w:lang w:val="nl-BE" w:eastAsia="x-none"/>
    </w:rPr>
  </w:style>
  <w:style w:type="character" w:customStyle="1" w:styleId="Nadpis3Char">
    <w:name w:val="Nadpis 3 Char"/>
    <w:link w:val="Nadpis3"/>
    <w:uiPriority w:val="9"/>
    <w:locked/>
    <w:rsid w:val="00403848"/>
    <w:rPr>
      <w:rFonts w:cs="Times New Roman"/>
      <w:lang w:val="nl-BE" w:eastAsia="x-none"/>
    </w:rPr>
  </w:style>
  <w:style w:type="character" w:customStyle="1" w:styleId="Nadpis4Char">
    <w:name w:val="Nadpis 4 Char"/>
    <w:link w:val="Nadpis4"/>
    <w:uiPriority w:val="9"/>
    <w:locked/>
    <w:rsid w:val="00403848"/>
    <w:rPr>
      <w:rFonts w:cs="Times New Roman"/>
      <w:lang w:val="nl-BE" w:eastAsia="x-none"/>
    </w:rPr>
  </w:style>
  <w:style w:type="character" w:customStyle="1" w:styleId="Nadpis5Char">
    <w:name w:val="Nadpis 5 Char"/>
    <w:link w:val="Nadpis5"/>
    <w:uiPriority w:val="9"/>
    <w:locked/>
    <w:rsid w:val="00403848"/>
    <w:rPr>
      <w:rFonts w:cs="Times New Roman"/>
      <w:lang w:val="nl-BE" w:eastAsia="x-none"/>
    </w:rPr>
  </w:style>
  <w:style w:type="character" w:customStyle="1" w:styleId="Nadpis6Char">
    <w:name w:val="Nadpis 6 Char"/>
    <w:link w:val="Nadpis6"/>
    <w:uiPriority w:val="9"/>
    <w:locked/>
    <w:rsid w:val="00403848"/>
    <w:rPr>
      <w:rFonts w:cs="Times New Roman"/>
      <w:lang w:val="nl-BE" w:eastAsia="x-none"/>
    </w:rPr>
  </w:style>
  <w:style w:type="character" w:customStyle="1" w:styleId="Nadpis7Char">
    <w:name w:val="Nadpis 7 Char"/>
    <w:link w:val="Nadpis7"/>
    <w:uiPriority w:val="9"/>
    <w:locked/>
    <w:rsid w:val="00403848"/>
    <w:rPr>
      <w:rFonts w:cs="Times New Roman"/>
      <w:lang w:val="nl-BE" w:eastAsia="x-none"/>
    </w:rPr>
  </w:style>
  <w:style w:type="character" w:customStyle="1" w:styleId="Nadpis8Char">
    <w:name w:val="Nadpis 8 Char"/>
    <w:link w:val="Nadpis8"/>
    <w:uiPriority w:val="9"/>
    <w:locked/>
    <w:rsid w:val="00403848"/>
    <w:rPr>
      <w:rFonts w:cs="Times New Roman"/>
      <w:lang w:val="nl-BE" w:eastAsia="x-none"/>
    </w:rPr>
  </w:style>
  <w:style w:type="character" w:customStyle="1" w:styleId="Nadpis9Char">
    <w:name w:val="Nadpis 9 Char"/>
    <w:link w:val="Nadpis9"/>
    <w:uiPriority w:val="9"/>
    <w:locked/>
    <w:rsid w:val="00403848"/>
    <w:rPr>
      <w:rFonts w:cs="Times New Roman"/>
      <w:lang w:val="nl-BE" w:eastAsia="x-none"/>
    </w:rPr>
  </w:style>
  <w:style w:type="character" w:styleId="Zstupntext">
    <w:name w:val="Placeholder Text"/>
    <w:uiPriority w:val="99"/>
    <w:semiHidden/>
    <w:rsid w:val="00BC2094"/>
    <w:rPr>
      <w:rFonts w:ascii="Times New Roman" w:hAnsi="Times New Roman" w:cs="Times New Roman"/>
      <w:color w:val="808080"/>
    </w:rPr>
  </w:style>
  <w:style w:type="paragraph" w:styleId="Zkladntext2">
    <w:name w:val="Body Text 2"/>
    <w:basedOn w:val="Normlny"/>
    <w:link w:val="Zkladntext2Char"/>
    <w:uiPriority w:val="99"/>
    <w:rsid w:val="00BC2094"/>
    <w:pPr>
      <w:jc w:val="both"/>
    </w:pPr>
  </w:style>
  <w:style w:type="character" w:customStyle="1" w:styleId="Zkladntext2Char">
    <w:name w:val="Základný text 2 Char"/>
    <w:link w:val="Zkladntext2"/>
    <w:uiPriority w:val="99"/>
    <w:locked/>
    <w:rsid w:val="00BC2094"/>
    <w:rPr>
      <w:rFonts w:cs="Times New Roman"/>
      <w:sz w:val="24"/>
      <w:szCs w:val="24"/>
    </w:rPr>
  </w:style>
  <w:style w:type="paragraph" w:styleId="Zkladntext">
    <w:name w:val="Body Text"/>
    <w:basedOn w:val="Normlny"/>
    <w:link w:val="ZkladntextChar"/>
    <w:uiPriority w:val="99"/>
    <w:rsid w:val="00BC2094"/>
    <w:pPr>
      <w:spacing w:after="120"/>
    </w:pPr>
  </w:style>
  <w:style w:type="character" w:customStyle="1" w:styleId="ZkladntextChar">
    <w:name w:val="Základný text Char"/>
    <w:link w:val="Zkladntext"/>
    <w:uiPriority w:val="99"/>
    <w:locked/>
    <w:rsid w:val="00BC2094"/>
    <w:rPr>
      <w:rFonts w:cs="Times New Roman"/>
      <w:sz w:val="24"/>
      <w:szCs w:val="24"/>
    </w:rPr>
  </w:style>
  <w:style w:type="paragraph" w:customStyle="1" w:styleId="CM19">
    <w:name w:val="CM1+9"/>
    <w:basedOn w:val="Normlny"/>
    <w:next w:val="Normlny"/>
    <w:uiPriority w:val="99"/>
    <w:rsid w:val="0044533D"/>
    <w:pPr>
      <w:autoSpaceDE w:val="0"/>
      <w:autoSpaceDN w:val="0"/>
      <w:adjustRightInd w:val="0"/>
    </w:pPr>
    <w:rPr>
      <w:rFonts w:ascii="EUAlbertina" w:hAnsi="EUAlbertina"/>
    </w:rPr>
  </w:style>
  <w:style w:type="paragraph" w:customStyle="1" w:styleId="Default">
    <w:name w:val="Default"/>
    <w:rsid w:val="00C5661B"/>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C5661B"/>
    <w:rPr>
      <w:rFonts w:cs="Times New Roman"/>
      <w:color w:val="auto"/>
    </w:rPr>
  </w:style>
  <w:style w:type="paragraph" w:customStyle="1" w:styleId="CM3">
    <w:name w:val="CM3"/>
    <w:basedOn w:val="Default"/>
    <w:next w:val="Default"/>
    <w:uiPriority w:val="99"/>
    <w:rsid w:val="00C5661B"/>
    <w:rPr>
      <w:rFonts w:cs="Times New Roman"/>
      <w:color w:val="auto"/>
    </w:rPr>
  </w:style>
  <w:style w:type="paragraph" w:customStyle="1" w:styleId="Zkladntext0">
    <w:name w:val="Základní text"/>
    <w:aliases w:val="Základný text Char Char"/>
    <w:rsid w:val="0015661B"/>
    <w:pPr>
      <w:widowControl w:val="0"/>
      <w:autoSpaceDE w:val="0"/>
      <w:autoSpaceDN w:val="0"/>
    </w:pPr>
    <w:rPr>
      <w:rFonts w:ascii="Arial Narrow" w:hAnsi="Arial Narrow" w:cs="Arial Narrow"/>
      <w:color w:val="000000"/>
      <w:sz w:val="24"/>
      <w:szCs w:val="24"/>
    </w:rPr>
  </w:style>
  <w:style w:type="paragraph" w:styleId="Textbubliny">
    <w:name w:val="Balloon Text"/>
    <w:basedOn w:val="Normlny"/>
    <w:link w:val="TextbublinyChar"/>
    <w:uiPriority w:val="99"/>
    <w:semiHidden/>
    <w:unhideWhenUsed/>
    <w:rsid w:val="005346E7"/>
    <w:rPr>
      <w:rFonts w:ascii="Tahoma" w:hAnsi="Tahoma" w:cs="Tahoma"/>
      <w:sz w:val="16"/>
      <w:szCs w:val="16"/>
    </w:rPr>
  </w:style>
  <w:style w:type="character" w:customStyle="1" w:styleId="TextbublinyChar">
    <w:name w:val="Text bubliny Char"/>
    <w:link w:val="Textbubliny"/>
    <w:uiPriority w:val="99"/>
    <w:semiHidden/>
    <w:locked/>
    <w:rsid w:val="005346E7"/>
    <w:rPr>
      <w:rFonts w:ascii="Tahoma" w:hAnsi="Tahoma" w:cs="Tahoma"/>
      <w:sz w:val="16"/>
      <w:szCs w:val="16"/>
    </w:rPr>
  </w:style>
  <w:style w:type="paragraph" w:styleId="Odsekzoznamu">
    <w:name w:val="List Paragraph"/>
    <w:basedOn w:val="Normlny"/>
    <w:uiPriority w:val="34"/>
    <w:qFormat/>
    <w:rsid w:val="009C2D64"/>
    <w:pPr>
      <w:spacing w:after="160" w:line="256" w:lineRule="auto"/>
      <w:ind w:left="720"/>
      <w:contextualSpacing/>
    </w:pPr>
    <w:rPr>
      <w:rFonts w:ascii="Calibri" w:hAnsi="Calibri"/>
      <w:sz w:val="22"/>
      <w:szCs w:val="22"/>
      <w:lang w:eastAsia="en-US"/>
    </w:rPr>
  </w:style>
  <w:style w:type="character" w:styleId="Odkaznakomentr">
    <w:name w:val="annotation reference"/>
    <w:uiPriority w:val="99"/>
    <w:unhideWhenUsed/>
    <w:rsid w:val="007F5E78"/>
    <w:rPr>
      <w:rFonts w:cs="Times New Roman"/>
      <w:sz w:val="16"/>
    </w:rPr>
  </w:style>
  <w:style w:type="paragraph" w:styleId="Textkomentra">
    <w:name w:val="annotation text"/>
    <w:basedOn w:val="Normlny"/>
    <w:link w:val="TextkomentraChar"/>
    <w:uiPriority w:val="99"/>
    <w:unhideWhenUsed/>
    <w:rsid w:val="007F5E78"/>
    <w:rPr>
      <w:rFonts w:ascii="Calibri" w:hAnsi="Calibri"/>
      <w:sz w:val="20"/>
      <w:szCs w:val="20"/>
      <w:lang w:eastAsia="en-US"/>
    </w:rPr>
  </w:style>
  <w:style w:type="character" w:customStyle="1" w:styleId="TextkomentraChar">
    <w:name w:val="Text komentára Char"/>
    <w:link w:val="Textkomentra"/>
    <w:uiPriority w:val="99"/>
    <w:locked/>
    <w:rsid w:val="007F5E78"/>
    <w:rPr>
      <w:rFonts w:ascii="Calibri" w:hAnsi="Calibri" w:cs="Times New Roman"/>
      <w:sz w:val="20"/>
      <w:szCs w:val="20"/>
      <w:lang w:val="x-none" w:eastAsia="en-US"/>
    </w:rPr>
  </w:style>
  <w:style w:type="paragraph" w:styleId="Hlavika">
    <w:name w:val="header"/>
    <w:basedOn w:val="Normlny"/>
    <w:link w:val="HlavikaChar"/>
    <w:uiPriority w:val="99"/>
    <w:unhideWhenUsed/>
    <w:rsid w:val="00534FA2"/>
    <w:pPr>
      <w:tabs>
        <w:tab w:val="center" w:pos="4536"/>
        <w:tab w:val="right" w:pos="9072"/>
      </w:tabs>
    </w:pPr>
    <w:rPr>
      <w:sz w:val="20"/>
      <w:szCs w:val="20"/>
    </w:rPr>
  </w:style>
  <w:style w:type="character" w:customStyle="1" w:styleId="HlavikaChar">
    <w:name w:val="Hlavička Char"/>
    <w:basedOn w:val="Predvolenpsmoodseku"/>
    <w:link w:val="Hlavika"/>
    <w:uiPriority w:val="99"/>
    <w:rsid w:val="00534FA2"/>
  </w:style>
  <w:style w:type="paragraph" w:styleId="Pta">
    <w:name w:val="footer"/>
    <w:basedOn w:val="Normlny"/>
    <w:link w:val="PtaChar"/>
    <w:uiPriority w:val="99"/>
    <w:unhideWhenUsed/>
    <w:rsid w:val="00534FA2"/>
    <w:pPr>
      <w:tabs>
        <w:tab w:val="center" w:pos="4536"/>
        <w:tab w:val="right" w:pos="9072"/>
      </w:tabs>
    </w:pPr>
    <w:rPr>
      <w:sz w:val="20"/>
      <w:szCs w:val="20"/>
    </w:rPr>
  </w:style>
  <w:style w:type="character" w:customStyle="1" w:styleId="PtaChar">
    <w:name w:val="Päta Char"/>
    <w:basedOn w:val="Predvolenpsmoodseku"/>
    <w:link w:val="Pta"/>
    <w:uiPriority w:val="99"/>
    <w:rsid w:val="00534FA2"/>
  </w:style>
  <w:style w:type="character" w:styleId="slostrany">
    <w:name w:val="page number"/>
    <w:uiPriority w:val="99"/>
    <w:rsid w:val="00534FA2"/>
    <w:rPr>
      <w:rFonts w:cs="Times New Roman"/>
    </w:rPr>
  </w:style>
  <w:style w:type="table" w:styleId="Mriekatabuky">
    <w:name w:val="Table Grid"/>
    <w:basedOn w:val="Normlnatabuka"/>
    <w:uiPriority w:val="99"/>
    <w:rsid w:val="00534FA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yajntext">
    <w:name w:val="Plain Text"/>
    <w:basedOn w:val="Normlny"/>
    <w:link w:val="ObyajntextChar"/>
    <w:uiPriority w:val="99"/>
    <w:unhideWhenUsed/>
    <w:rsid w:val="00534FA2"/>
    <w:rPr>
      <w:rFonts w:ascii="Calibri" w:hAnsi="Calibri"/>
      <w:sz w:val="22"/>
      <w:szCs w:val="21"/>
      <w:lang w:eastAsia="en-US"/>
    </w:rPr>
  </w:style>
  <w:style w:type="character" w:customStyle="1" w:styleId="ObyajntextChar">
    <w:name w:val="Obyčajný text Char"/>
    <w:link w:val="Obyajntext"/>
    <w:uiPriority w:val="99"/>
    <w:rsid w:val="00534FA2"/>
    <w:rPr>
      <w:rFonts w:ascii="Calibri" w:hAnsi="Calibri"/>
      <w:sz w:val="22"/>
      <w:szCs w:val="21"/>
      <w:lang w:eastAsia="en-US"/>
    </w:rPr>
  </w:style>
  <w:style w:type="paragraph" w:styleId="Bezriadkovania">
    <w:name w:val="No Spacing"/>
    <w:uiPriority w:val="1"/>
    <w:qFormat/>
    <w:rsid w:val="00534FA2"/>
    <w:rPr>
      <w:rFonts w:ascii="Calibri" w:hAnsi="Calibri"/>
      <w:sz w:val="22"/>
      <w:szCs w:val="22"/>
      <w:lang w:eastAsia="en-US"/>
    </w:rPr>
  </w:style>
  <w:style w:type="paragraph" w:styleId="Predmetkomentra">
    <w:name w:val="annotation subject"/>
    <w:basedOn w:val="Textkomentra"/>
    <w:next w:val="Textkomentra"/>
    <w:link w:val="PredmetkomentraChar"/>
    <w:uiPriority w:val="99"/>
    <w:rsid w:val="00534FA2"/>
    <w:pPr>
      <w:spacing w:after="200"/>
    </w:pPr>
    <w:rPr>
      <w:b/>
      <w:bCs/>
    </w:rPr>
  </w:style>
  <w:style w:type="character" w:customStyle="1" w:styleId="PredmetkomentraChar">
    <w:name w:val="Predmet komentára Char"/>
    <w:link w:val="Predmetkomentra"/>
    <w:uiPriority w:val="99"/>
    <w:rsid w:val="00534FA2"/>
    <w:rPr>
      <w:rFonts w:ascii="Calibri" w:hAnsi="Calibri" w:cs="Times New Roman"/>
      <w:b/>
      <w:bCs/>
      <w:sz w:val="20"/>
      <w:szCs w:val="20"/>
      <w:lang w:val="x-none" w:eastAsia="en-US"/>
    </w:rPr>
  </w:style>
  <w:style w:type="paragraph" w:styleId="Zarkazkladnhotextu">
    <w:name w:val="Body Text Indent"/>
    <w:basedOn w:val="Normlny"/>
    <w:link w:val="ZarkazkladnhotextuChar"/>
    <w:uiPriority w:val="99"/>
    <w:rsid w:val="00534FA2"/>
    <w:pPr>
      <w:spacing w:after="120"/>
      <w:ind w:left="283"/>
    </w:pPr>
  </w:style>
  <w:style w:type="character" w:customStyle="1" w:styleId="ZarkazkladnhotextuChar">
    <w:name w:val="Zarážka základného textu Char"/>
    <w:link w:val="Zarkazkladnhotextu"/>
    <w:uiPriority w:val="99"/>
    <w:rsid w:val="00534FA2"/>
    <w:rPr>
      <w:sz w:val="24"/>
      <w:szCs w:val="24"/>
    </w:rPr>
  </w:style>
  <w:style w:type="paragraph" w:customStyle="1" w:styleId="Zkladntext1">
    <w:name w:val="Zkladn text"/>
    <w:rsid w:val="00534FA2"/>
    <w:pPr>
      <w:widowControl w:val="0"/>
      <w:autoSpaceDE w:val="0"/>
      <w:autoSpaceDN w:val="0"/>
    </w:pPr>
    <w:rPr>
      <w:color w:val="000000"/>
    </w:rPr>
  </w:style>
  <w:style w:type="paragraph" w:customStyle="1" w:styleId="dka">
    <w:name w:val="dka"/>
    <w:rsid w:val="00534FA2"/>
    <w:pPr>
      <w:widowControl w:val="0"/>
      <w:autoSpaceDE w:val="0"/>
      <w:autoSpaceDN w:val="0"/>
    </w:pPr>
    <w:rPr>
      <w:color w:val="000000"/>
    </w:rPr>
  </w:style>
  <w:style w:type="paragraph" w:styleId="Nzov">
    <w:name w:val="Title"/>
    <w:basedOn w:val="Normlny"/>
    <w:link w:val="NzovChar"/>
    <w:qFormat/>
    <w:rsid w:val="00534FA2"/>
    <w:pPr>
      <w:autoSpaceDE w:val="0"/>
      <w:autoSpaceDN w:val="0"/>
      <w:jc w:val="center"/>
    </w:pPr>
    <w:rPr>
      <w:b/>
      <w:bCs/>
    </w:rPr>
  </w:style>
  <w:style w:type="character" w:customStyle="1" w:styleId="NzovChar">
    <w:name w:val="Názov Char"/>
    <w:link w:val="Nzov"/>
    <w:rsid w:val="00534FA2"/>
    <w:rPr>
      <w:b/>
      <w:bCs/>
      <w:sz w:val="24"/>
      <w:szCs w:val="24"/>
    </w:rPr>
  </w:style>
  <w:style w:type="character" w:styleId="Zvraznenie">
    <w:name w:val="Emphasis"/>
    <w:uiPriority w:val="20"/>
    <w:qFormat/>
    <w:rsid w:val="00534FA2"/>
    <w:rPr>
      <w:i/>
      <w:iCs/>
    </w:rPr>
  </w:style>
  <w:style w:type="character" w:styleId="Siln">
    <w:name w:val="Strong"/>
    <w:uiPriority w:val="22"/>
    <w:qFormat/>
    <w:rsid w:val="00534FA2"/>
    <w:rPr>
      <w:b/>
      <w:bCs/>
    </w:rPr>
  </w:style>
  <w:style w:type="character" w:customStyle="1" w:styleId="awspan1">
    <w:name w:val="awspan1"/>
    <w:rsid w:val="00534FA2"/>
    <w:rPr>
      <w:rFonts w:cs="Times New Roman"/>
      <w:color w:val="000000"/>
      <w:sz w:val="24"/>
      <w:szCs w:val="24"/>
    </w:rPr>
  </w:style>
  <w:style w:type="paragraph" w:customStyle="1" w:styleId="c08dispositif">
    <w:name w:val="c08dispositif"/>
    <w:basedOn w:val="Normlny"/>
    <w:rsid w:val="00534FA2"/>
    <w:pPr>
      <w:spacing w:before="100" w:beforeAutospacing="1" w:after="100" w:afterAutospacing="1"/>
    </w:pPr>
  </w:style>
  <w:style w:type="paragraph" w:customStyle="1" w:styleId="c31dispositiftiretlong">
    <w:name w:val="c31dispositiftiretlong"/>
    <w:basedOn w:val="Normlny"/>
    <w:rsid w:val="00534FA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508432">
      <w:marLeft w:val="0"/>
      <w:marRight w:val="0"/>
      <w:marTop w:val="0"/>
      <w:marBottom w:val="0"/>
      <w:divBdr>
        <w:top w:val="none" w:sz="0" w:space="0" w:color="auto"/>
        <w:left w:val="none" w:sz="0" w:space="0" w:color="auto"/>
        <w:bottom w:val="none" w:sz="0" w:space="0" w:color="auto"/>
        <w:right w:val="none" w:sz="0" w:space="0" w:color="auto"/>
      </w:divBdr>
    </w:div>
    <w:div w:id="1555508433">
      <w:marLeft w:val="0"/>
      <w:marRight w:val="0"/>
      <w:marTop w:val="0"/>
      <w:marBottom w:val="0"/>
      <w:divBdr>
        <w:top w:val="none" w:sz="0" w:space="0" w:color="auto"/>
        <w:left w:val="none" w:sz="0" w:space="0" w:color="auto"/>
        <w:bottom w:val="none" w:sz="0" w:space="0" w:color="auto"/>
        <w:right w:val="none" w:sz="0" w:space="0" w:color="auto"/>
      </w:divBdr>
    </w:div>
    <w:div w:id="1555508434">
      <w:marLeft w:val="0"/>
      <w:marRight w:val="0"/>
      <w:marTop w:val="0"/>
      <w:marBottom w:val="0"/>
      <w:divBdr>
        <w:top w:val="none" w:sz="0" w:space="0" w:color="auto"/>
        <w:left w:val="none" w:sz="0" w:space="0" w:color="auto"/>
        <w:bottom w:val="none" w:sz="0" w:space="0" w:color="auto"/>
        <w:right w:val="none" w:sz="0" w:space="0" w:color="auto"/>
      </w:divBdr>
    </w:div>
    <w:div w:id="1555508435">
      <w:marLeft w:val="0"/>
      <w:marRight w:val="0"/>
      <w:marTop w:val="0"/>
      <w:marBottom w:val="0"/>
      <w:divBdr>
        <w:top w:val="none" w:sz="0" w:space="0" w:color="auto"/>
        <w:left w:val="none" w:sz="0" w:space="0" w:color="auto"/>
        <w:bottom w:val="none" w:sz="0" w:space="0" w:color="auto"/>
        <w:right w:val="none" w:sz="0" w:space="0" w:color="auto"/>
      </w:divBdr>
    </w:div>
    <w:div w:id="15555084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F57F2-22F4-41A0-80C5-659C48708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28</Pages>
  <Words>9381</Words>
  <Characters>55765</Characters>
  <Application>Microsoft Office Word</Application>
  <DocSecurity>0</DocSecurity>
  <Lines>464</Lines>
  <Paragraphs>130</Paragraphs>
  <ScaleCrop>false</ScaleCrop>
  <HeadingPairs>
    <vt:vector size="2" baseType="variant">
      <vt:variant>
        <vt:lpstr>Názov</vt:lpstr>
      </vt:variant>
      <vt:variant>
        <vt:i4>1</vt:i4>
      </vt:variant>
    </vt:vector>
  </HeadingPairs>
  <TitlesOfParts>
    <vt:vector size="1" baseType="lpstr">
      <vt:lpstr>Predkladacia správa</vt:lpstr>
    </vt:vector>
  </TitlesOfParts>
  <Company>MFSR</Company>
  <LinksUpToDate>false</LinksUpToDate>
  <CharactersWithSpaces>65016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Predkladacia správa</dc:title>
  <dc:subject/>
  <dc:creator>MFSR</dc:creator>
  <cp:keywords/>
  <dc:description/>
  <cp:lastModifiedBy>Pavlovcik Michal</cp:lastModifiedBy>
  <cp:revision>8</cp:revision>
  <cp:lastPrinted>2020-10-01T11:59:00Z</cp:lastPrinted>
  <dcterms:created xsi:type="dcterms:W3CDTF">2020-10-01T06:58:00Z</dcterms:created>
  <dcterms:modified xsi:type="dcterms:W3CDTF">2020-10-01T12:29:00Z</dcterms:modified>
</cp:coreProperties>
</file>