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36"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5812"/>
        <w:gridCol w:w="1245"/>
        <w:gridCol w:w="846"/>
        <w:gridCol w:w="886"/>
        <w:gridCol w:w="5609"/>
        <w:gridCol w:w="423"/>
        <w:gridCol w:w="633"/>
      </w:tblGrid>
      <w:tr w:rsidR="008C54C3" w:rsidRPr="00924B99" w:rsidTr="00B151C6">
        <w:trPr>
          <w:trHeight w:val="685"/>
        </w:trPr>
        <w:tc>
          <w:tcPr>
            <w:tcW w:w="16136" w:type="dxa"/>
            <w:gridSpan w:val="8"/>
            <w:tcBorders>
              <w:top w:val="single" w:sz="12" w:space="0" w:color="auto"/>
              <w:left w:val="single" w:sz="12" w:space="0" w:color="auto"/>
              <w:bottom w:val="single" w:sz="4" w:space="0" w:color="auto"/>
              <w:right w:val="single" w:sz="12" w:space="0" w:color="auto"/>
            </w:tcBorders>
          </w:tcPr>
          <w:p w:rsidR="008C54C3" w:rsidRPr="00924B99" w:rsidRDefault="008C54C3" w:rsidP="0078287E">
            <w:pPr>
              <w:pStyle w:val="Nadpis1"/>
              <w:rPr>
                <w:sz w:val="20"/>
                <w:szCs w:val="20"/>
              </w:rPr>
            </w:pPr>
            <w:bookmarkStart w:id="0" w:name="_GoBack"/>
            <w:bookmarkEnd w:id="0"/>
            <w:r w:rsidRPr="00924B99">
              <w:rPr>
                <w:sz w:val="20"/>
                <w:szCs w:val="20"/>
              </w:rPr>
              <w:t>TABUĽKA  ZHODY</w:t>
            </w:r>
          </w:p>
          <w:p w:rsidR="0000149A" w:rsidRPr="00924B99" w:rsidRDefault="004577EC" w:rsidP="00AB7D27">
            <w:pPr>
              <w:widowControl w:val="0"/>
              <w:autoSpaceDE w:val="0"/>
              <w:autoSpaceDN w:val="0"/>
              <w:spacing w:before="0" w:beforeAutospacing="0" w:after="0" w:afterAutospacing="0"/>
              <w:jc w:val="center"/>
              <w:rPr>
                <w:b/>
                <w:sz w:val="20"/>
                <w:szCs w:val="20"/>
              </w:rPr>
            </w:pPr>
            <w:r w:rsidRPr="00924B99">
              <w:rPr>
                <w:b/>
                <w:sz w:val="20"/>
                <w:szCs w:val="20"/>
              </w:rPr>
              <w:t>k </w:t>
            </w:r>
            <w:r w:rsidR="0078287E" w:rsidRPr="00924B99">
              <w:rPr>
                <w:b/>
                <w:sz w:val="20"/>
                <w:szCs w:val="20"/>
              </w:rPr>
              <w:t>n</w:t>
            </w:r>
            <w:r w:rsidR="0091636B" w:rsidRPr="00924B99">
              <w:rPr>
                <w:b/>
                <w:sz w:val="20"/>
                <w:szCs w:val="20"/>
              </w:rPr>
              <w:t>ávrh</w:t>
            </w:r>
            <w:r w:rsidR="00AB7D27" w:rsidRPr="00924B99">
              <w:rPr>
                <w:b/>
                <w:sz w:val="20"/>
                <w:szCs w:val="20"/>
              </w:rPr>
              <w:t>u</w:t>
            </w:r>
            <w:r w:rsidR="0091636B" w:rsidRPr="00924B99">
              <w:rPr>
                <w:b/>
                <w:sz w:val="20"/>
                <w:szCs w:val="20"/>
              </w:rPr>
              <w:t xml:space="preserve"> zákona</w:t>
            </w:r>
            <w:r w:rsidR="002E1D16" w:rsidRPr="00924B99">
              <w:rPr>
                <w:b/>
                <w:sz w:val="20"/>
                <w:szCs w:val="20"/>
              </w:rPr>
              <w:t xml:space="preserve">, </w:t>
            </w:r>
            <w:r w:rsidR="0000149A" w:rsidRPr="00924B99">
              <w:rPr>
                <w:b/>
                <w:sz w:val="20"/>
                <w:szCs w:val="20"/>
              </w:rPr>
              <w:t xml:space="preserve">ktorým sa mení a dopĺňa zákon č. </w:t>
            </w:r>
            <w:r w:rsidR="00180F38" w:rsidRPr="00924B99">
              <w:rPr>
                <w:b/>
                <w:sz w:val="20"/>
                <w:szCs w:val="20"/>
              </w:rPr>
              <w:t>530</w:t>
            </w:r>
            <w:r w:rsidR="0000149A" w:rsidRPr="00924B99">
              <w:rPr>
                <w:b/>
                <w:sz w:val="20"/>
                <w:szCs w:val="20"/>
              </w:rPr>
              <w:t>/20</w:t>
            </w:r>
            <w:r w:rsidR="00180F38" w:rsidRPr="00924B99">
              <w:rPr>
                <w:b/>
                <w:sz w:val="20"/>
                <w:szCs w:val="20"/>
              </w:rPr>
              <w:t>11</w:t>
            </w:r>
            <w:r w:rsidR="0000149A" w:rsidRPr="00924B99">
              <w:rPr>
                <w:b/>
                <w:sz w:val="20"/>
                <w:szCs w:val="20"/>
              </w:rPr>
              <w:t xml:space="preserve"> Z. z. o spotrebnej dani z</w:t>
            </w:r>
            <w:r w:rsidR="00180F38" w:rsidRPr="00924B99">
              <w:rPr>
                <w:b/>
                <w:sz w:val="20"/>
                <w:szCs w:val="20"/>
              </w:rPr>
              <w:t> alkoholických nápojov</w:t>
            </w:r>
          </w:p>
          <w:p w:rsidR="008C54C3" w:rsidRPr="00924B99" w:rsidRDefault="0000149A" w:rsidP="00EA646D">
            <w:pPr>
              <w:pStyle w:val="Zkladntext1"/>
              <w:tabs>
                <w:tab w:val="left" w:pos="360"/>
              </w:tabs>
              <w:jc w:val="center"/>
              <w:rPr>
                <w:b/>
                <w:bCs/>
                <w:color w:val="auto"/>
                <w:sz w:val="20"/>
                <w:szCs w:val="20"/>
              </w:rPr>
            </w:pPr>
            <w:r w:rsidRPr="00924B99">
              <w:rPr>
                <w:b/>
                <w:color w:val="auto"/>
                <w:sz w:val="20"/>
                <w:szCs w:val="20"/>
              </w:rPr>
              <w:t xml:space="preserve">v znení neskorších predpisov </w:t>
            </w:r>
            <w:r w:rsidR="00EA646D" w:rsidRPr="00924B99">
              <w:rPr>
                <w:b/>
                <w:color w:val="auto"/>
                <w:sz w:val="20"/>
                <w:szCs w:val="20"/>
              </w:rPr>
              <w:t xml:space="preserve">a ktorým sa mení zákon č. 467/2002 Z. z. o výrobe a uvádzaní liehu na trh v znení neskorších predpisov </w:t>
            </w:r>
            <w:r w:rsidR="00127033" w:rsidRPr="00924B99">
              <w:rPr>
                <w:b/>
                <w:color w:val="auto"/>
                <w:sz w:val="20"/>
                <w:szCs w:val="20"/>
              </w:rPr>
              <w:t>s právom Európskej únie</w:t>
            </w:r>
          </w:p>
        </w:tc>
      </w:tr>
      <w:tr w:rsidR="008C54C3" w:rsidRPr="00924B99" w:rsidTr="004808B5">
        <w:trPr>
          <w:trHeight w:val="565"/>
        </w:trPr>
        <w:tc>
          <w:tcPr>
            <w:tcW w:w="7739" w:type="dxa"/>
            <w:gridSpan w:val="3"/>
            <w:tcBorders>
              <w:top w:val="single" w:sz="4" w:space="0" w:color="auto"/>
              <w:left w:val="single" w:sz="12" w:space="0" w:color="auto"/>
              <w:bottom w:val="single" w:sz="4" w:space="0" w:color="auto"/>
              <w:right w:val="single" w:sz="12" w:space="0" w:color="auto"/>
            </w:tcBorders>
          </w:tcPr>
          <w:p w:rsidR="00EA646D" w:rsidRPr="00441B53" w:rsidRDefault="0027335F" w:rsidP="00EA646D">
            <w:pPr>
              <w:pStyle w:val="Default"/>
              <w:rPr>
                <w:rFonts w:ascii="Times New Roman" w:hAnsi="Times New Roman" w:cs="Times New Roman"/>
                <w:b/>
                <w:color w:val="auto"/>
                <w:sz w:val="20"/>
                <w:szCs w:val="20"/>
              </w:rPr>
            </w:pPr>
            <w:r w:rsidRPr="00441B53">
              <w:rPr>
                <w:rFonts w:ascii="Times New Roman" w:hAnsi="Times New Roman" w:cs="Times New Roman"/>
                <w:b/>
                <w:color w:val="auto"/>
                <w:sz w:val="20"/>
                <w:szCs w:val="20"/>
              </w:rPr>
              <w:t>Smernica</w:t>
            </w:r>
          </w:p>
          <w:p w:rsidR="0027335F" w:rsidRPr="00441B53" w:rsidRDefault="0027335F" w:rsidP="00EA646D">
            <w:pPr>
              <w:pStyle w:val="Zkladntext3"/>
              <w:spacing w:line="240" w:lineRule="exact"/>
              <w:rPr>
                <w:sz w:val="20"/>
                <w:szCs w:val="20"/>
              </w:rPr>
            </w:pPr>
          </w:p>
          <w:p w:rsidR="00EE7DD6" w:rsidRPr="00441B53" w:rsidRDefault="00EA646D" w:rsidP="00EA646D">
            <w:pPr>
              <w:pStyle w:val="Zkladntext3"/>
              <w:spacing w:line="240" w:lineRule="exact"/>
              <w:rPr>
                <w:sz w:val="20"/>
                <w:szCs w:val="20"/>
              </w:rPr>
            </w:pPr>
            <w:r w:rsidRPr="00441B53">
              <w:rPr>
                <w:b/>
                <w:bCs/>
                <w:sz w:val="20"/>
                <w:szCs w:val="20"/>
              </w:rPr>
              <w:t xml:space="preserve">SMERNICA RADY (EÚ) 2020/1151 z 29. júla 2020, ktorou sa mení smernica 92/83/EHS o zosúladení štruktúr spotrebných daní pre etanol a alkoholické nápoje </w:t>
            </w:r>
          </w:p>
        </w:tc>
        <w:tc>
          <w:tcPr>
            <w:tcW w:w="8397" w:type="dxa"/>
            <w:gridSpan w:val="5"/>
            <w:tcBorders>
              <w:top w:val="single" w:sz="4" w:space="0" w:color="auto"/>
              <w:left w:val="nil"/>
              <w:bottom w:val="single" w:sz="4" w:space="0" w:color="auto"/>
              <w:right w:val="single" w:sz="12" w:space="0" w:color="auto"/>
            </w:tcBorders>
          </w:tcPr>
          <w:p w:rsidR="008C54C3" w:rsidRPr="00441B53" w:rsidRDefault="00D849D3" w:rsidP="00D849D3">
            <w:pPr>
              <w:pStyle w:val="Nadpis4"/>
              <w:spacing w:before="120"/>
              <w:jc w:val="left"/>
              <w:rPr>
                <w:sz w:val="20"/>
                <w:szCs w:val="20"/>
              </w:rPr>
            </w:pPr>
            <w:r w:rsidRPr="00441B53">
              <w:rPr>
                <w:sz w:val="20"/>
                <w:szCs w:val="20"/>
              </w:rPr>
              <w:t>P</w:t>
            </w:r>
            <w:r w:rsidR="008C54C3" w:rsidRPr="00441B53">
              <w:rPr>
                <w:sz w:val="20"/>
                <w:szCs w:val="20"/>
              </w:rPr>
              <w:t>rávne predpisy Slovenskej republiky</w:t>
            </w:r>
          </w:p>
          <w:p w:rsidR="00D849D3" w:rsidRPr="00441B53" w:rsidRDefault="00D849D3" w:rsidP="005F50F1">
            <w:pPr>
              <w:widowControl w:val="0"/>
              <w:autoSpaceDE w:val="0"/>
              <w:autoSpaceDN w:val="0"/>
              <w:spacing w:before="0" w:beforeAutospacing="0" w:after="0" w:afterAutospacing="0"/>
              <w:jc w:val="both"/>
              <w:rPr>
                <w:b/>
                <w:sz w:val="20"/>
                <w:szCs w:val="20"/>
              </w:rPr>
            </w:pPr>
          </w:p>
          <w:p w:rsidR="00217BF4" w:rsidRPr="00441B53" w:rsidRDefault="004577EC" w:rsidP="005F50F1">
            <w:pPr>
              <w:widowControl w:val="0"/>
              <w:autoSpaceDE w:val="0"/>
              <w:autoSpaceDN w:val="0"/>
              <w:spacing w:before="0" w:beforeAutospacing="0" w:after="0" w:afterAutospacing="0"/>
              <w:jc w:val="both"/>
              <w:rPr>
                <w:b/>
                <w:sz w:val="20"/>
                <w:szCs w:val="20"/>
              </w:rPr>
            </w:pPr>
            <w:r w:rsidRPr="00441B53">
              <w:rPr>
                <w:b/>
                <w:sz w:val="20"/>
                <w:szCs w:val="20"/>
              </w:rPr>
              <w:t xml:space="preserve">Návrh zákona, </w:t>
            </w:r>
            <w:r w:rsidR="0000149A" w:rsidRPr="00441B53">
              <w:rPr>
                <w:b/>
                <w:sz w:val="20"/>
                <w:szCs w:val="20"/>
              </w:rPr>
              <w:t xml:space="preserve">ktorým sa mení a dopĺňa zákon č. </w:t>
            </w:r>
            <w:r w:rsidR="0070143E" w:rsidRPr="00441B53">
              <w:rPr>
                <w:b/>
                <w:sz w:val="20"/>
                <w:szCs w:val="20"/>
              </w:rPr>
              <w:t>530/2011 Z</w:t>
            </w:r>
            <w:r w:rsidR="0000149A" w:rsidRPr="00441B53">
              <w:rPr>
                <w:b/>
                <w:sz w:val="20"/>
                <w:szCs w:val="20"/>
              </w:rPr>
              <w:t>. z. o spotrebnej dani z</w:t>
            </w:r>
            <w:r w:rsidR="0070143E" w:rsidRPr="00441B53">
              <w:rPr>
                <w:b/>
                <w:sz w:val="20"/>
                <w:szCs w:val="20"/>
              </w:rPr>
              <w:t> alkoholických nápojov</w:t>
            </w:r>
            <w:r w:rsidR="0000149A" w:rsidRPr="00441B53">
              <w:rPr>
                <w:b/>
                <w:sz w:val="20"/>
                <w:szCs w:val="20"/>
              </w:rPr>
              <w:t xml:space="preserve"> v znení neskorších predpisov</w:t>
            </w:r>
            <w:r w:rsidR="00EA646D" w:rsidRPr="00441B53">
              <w:rPr>
                <w:b/>
                <w:sz w:val="20"/>
                <w:szCs w:val="20"/>
              </w:rPr>
              <w:t xml:space="preserve"> a ktorým sa mení zákon č. 467/2002 Z. z. o výrobe a uvádzaní liehu na trh v znení neskorších predpisov</w:t>
            </w:r>
            <w:r w:rsidR="00D81C08" w:rsidRPr="00441B53">
              <w:rPr>
                <w:b/>
                <w:sz w:val="20"/>
                <w:szCs w:val="20"/>
              </w:rPr>
              <w:t xml:space="preserve"> (ďalej „návrh zákona“)</w:t>
            </w:r>
          </w:p>
          <w:p w:rsidR="0000149A" w:rsidRPr="00441B53" w:rsidRDefault="0000149A" w:rsidP="0000149A">
            <w:pPr>
              <w:widowControl w:val="0"/>
              <w:autoSpaceDE w:val="0"/>
              <w:autoSpaceDN w:val="0"/>
              <w:spacing w:before="0" w:beforeAutospacing="0" w:after="0" w:afterAutospacing="0"/>
              <w:rPr>
                <w:sz w:val="20"/>
                <w:szCs w:val="20"/>
              </w:rPr>
            </w:pPr>
          </w:p>
          <w:p w:rsidR="00ED4059" w:rsidRPr="00441B53" w:rsidRDefault="0000149A" w:rsidP="00EA646D">
            <w:pPr>
              <w:pStyle w:val="Zkladntext"/>
              <w:jc w:val="both"/>
              <w:rPr>
                <w:color w:val="auto"/>
                <w:sz w:val="20"/>
                <w:szCs w:val="20"/>
              </w:rPr>
            </w:pPr>
            <w:r w:rsidRPr="00441B53">
              <w:rPr>
                <w:color w:val="auto"/>
                <w:sz w:val="20"/>
                <w:szCs w:val="20"/>
              </w:rPr>
              <w:t xml:space="preserve">Zákon č. </w:t>
            </w:r>
            <w:r w:rsidR="0070143E" w:rsidRPr="00441B53">
              <w:rPr>
                <w:color w:val="auto"/>
                <w:sz w:val="20"/>
                <w:szCs w:val="20"/>
              </w:rPr>
              <w:t>530/2011</w:t>
            </w:r>
            <w:r w:rsidRPr="00441B53">
              <w:rPr>
                <w:color w:val="auto"/>
                <w:sz w:val="20"/>
                <w:szCs w:val="20"/>
              </w:rPr>
              <w:t xml:space="preserve"> Z. z. o spotrebnej dani z</w:t>
            </w:r>
            <w:r w:rsidR="0070143E" w:rsidRPr="00441B53">
              <w:rPr>
                <w:color w:val="auto"/>
                <w:sz w:val="20"/>
                <w:szCs w:val="20"/>
              </w:rPr>
              <w:t> alkoholických nápojov</w:t>
            </w:r>
            <w:r w:rsidRPr="00441B53">
              <w:rPr>
                <w:color w:val="auto"/>
                <w:sz w:val="20"/>
                <w:szCs w:val="20"/>
              </w:rPr>
              <w:t xml:space="preserve"> v znení neskorších predpisov</w:t>
            </w:r>
            <w:r w:rsidR="00D81C08" w:rsidRPr="00441B53">
              <w:rPr>
                <w:color w:val="auto"/>
                <w:sz w:val="20"/>
                <w:szCs w:val="20"/>
              </w:rPr>
              <w:t xml:space="preserve"> (ďalej „</w:t>
            </w:r>
            <w:r w:rsidR="0070143E" w:rsidRPr="00441B53">
              <w:rPr>
                <w:color w:val="auto"/>
                <w:sz w:val="20"/>
                <w:szCs w:val="20"/>
              </w:rPr>
              <w:t>530/2011</w:t>
            </w:r>
            <w:r w:rsidR="00D81C08" w:rsidRPr="00441B53">
              <w:rPr>
                <w:color w:val="auto"/>
                <w:sz w:val="20"/>
                <w:szCs w:val="20"/>
              </w:rPr>
              <w:t>“)</w:t>
            </w:r>
            <w:r w:rsidRPr="00441B53">
              <w:rPr>
                <w:color w:val="auto"/>
                <w:sz w:val="20"/>
                <w:szCs w:val="20"/>
              </w:rPr>
              <w:t xml:space="preserve"> </w:t>
            </w:r>
          </w:p>
          <w:p w:rsidR="0027335F" w:rsidRPr="00441B53" w:rsidRDefault="0027335F" w:rsidP="00EA646D">
            <w:pPr>
              <w:pStyle w:val="Zkladntext"/>
              <w:jc w:val="both"/>
              <w:rPr>
                <w:color w:val="auto"/>
                <w:sz w:val="20"/>
                <w:szCs w:val="20"/>
              </w:rPr>
            </w:pPr>
          </w:p>
          <w:p w:rsidR="0027335F" w:rsidRPr="00441B53" w:rsidRDefault="0027335F" w:rsidP="0027335F">
            <w:pPr>
              <w:pStyle w:val="Zkladntext1"/>
              <w:tabs>
                <w:tab w:val="left" w:pos="360"/>
              </w:tabs>
              <w:jc w:val="both"/>
              <w:rPr>
                <w:b/>
                <w:bCs/>
                <w:color w:val="auto"/>
                <w:sz w:val="20"/>
                <w:szCs w:val="20"/>
              </w:rPr>
            </w:pPr>
            <w:r w:rsidRPr="00441B53">
              <w:rPr>
                <w:bCs/>
                <w:color w:val="auto"/>
                <w:sz w:val="20"/>
                <w:szCs w:val="20"/>
              </w:rPr>
              <w:t xml:space="preserve">Zákon č. 575/2001 Z. z. </w:t>
            </w:r>
            <w:r w:rsidRPr="00441B53">
              <w:rPr>
                <w:bCs/>
                <w:color w:val="auto"/>
                <w:sz w:val="20"/>
                <w:szCs w:val="20"/>
                <w:shd w:val="clear" w:color="auto" w:fill="FFFFFF"/>
              </w:rPr>
              <w:t xml:space="preserve">o organizácii činnosti vlády a organizácii ústrednej štátnej správy </w:t>
            </w:r>
            <w:r w:rsidRPr="00441B53">
              <w:rPr>
                <w:bCs/>
                <w:color w:val="auto"/>
                <w:sz w:val="20"/>
                <w:szCs w:val="20"/>
              </w:rPr>
              <w:t>v znení neskorších predpisov (ďalej „575/2001“)</w:t>
            </w:r>
          </w:p>
          <w:p w:rsidR="0027335F" w:rsidRPr="00441B53" w:rsidRDefault="0027335F" w:rsidP="00EA646D">
            <w:pPr>
              <w:pStyle w:val="Zkladntext"/>
              <w:jc w:val="both"/>
              <w:rPr>
                <w:color w:val="auto"/>
                <w:sz w:val="20"/>
                <w:szCs w:val="20"/>
              </w:rPr>
            </w:pPr>
          </w:p>
        </w:tc>
      </w:tr>
      <w:tr w:rsidR="00A9063F" w:rsidRPr="00924B99" w:rsidTr="00316EFA">
        <w:trPr>
          <w:trHeight w:val="235"/>
        </w:trPr>
        <w:tc>
          <w:tcPr>
            <w:tcW w:w="682" w:type="dxa"/>
            <w:tcBorders>
              <w:top w:val="single" w:sz="4" w:space="0" w:color="auto"/>
              <w:left w:val="single" w:sz="12" w:space="0" w:color="auto"/>
              <w:bottom w:val="single" w:sz="4" w:space="0" w:color="auto"/>
              <w:right w:val="single" w:sz="4" w:space="0" w:color="auto"/>
            </w:tcBorders>
          </w:tcPr>
          <w:p w:rsidR="00A9063F" w:rsidRPr="00924B99" w:rsidRDefault="00A9063F">
            <w:pPr>
              <w:autoSpaceDE w:val="0"/>
              <w:autoSpaceDN w:val="0"/>
              <w:spacing w:before="0" w:beforeAutospacing="0" w:after="0" w:afterAutospacing="0"/>
              <w:jc w:val="center"/>
              <w:rPr>
                <w:sz w:val="20"/>
                <w:szCs w:val="20"/>
              </w:rPr>
            </w:pPr>
            <w:r w:rsidRPr="00924B99">
              <w:rPr>
                <w:sz w:val="20"/>
                <w:szCs w:val="20"/>
              </w:rPr>
              <w:t>1</w:t>
            </w:r>
          </w:p>
        </w:tc>
        <w:tc>
          <w:tcPr>
            <w:tcW w:w="5812" w:type="dxa"/>
            <w:tcBorders>
              <w:top w:val="single" w:sz="4" w:space="0" w:color="auto"/>
              <w:left w:val="single" w:sz="4" w:space="0" w:color="auto"/>
              <w:bottom w:val="single" w:sz="4" w:space="0" w:color="auto"/>
              <w:right w:val="single" w:sz="4" w:space="0" w:color="auto"/>
            </w:tcBorders>
          </w:tcPr>
          <w:p w:rsidR="00A9063F" w:rsidRPr="00924B99" w:rsidRDefault="00A9063F">
            <w:pPr>
              <w:autoSpaceDE w:val="0"/>
              <w:autoSpaceDN w:val="0"/>
              <w:spacing w:before="0" w:beforeAutospacing="0" w:after="0" w:afterAutospacing="0"/>
              <w:jc w:val="center"/>
              <w:rPr>
                <w:sz w:val="20"/>
                <w:szCs w:val="20"/>
              </w:rPr>
            </w:pPr>
            <w:r w:rsidRPr="00924B99">
              <w:rPr>
                <w:sz w:val="20"/>
                <w:szCs w:val="20"/>
              </w:rPr>
              <w:t>2</w:t>
            </w:r>
          </w:p>
        </w:tc>
        <w:tc>
          <w:tcPr>
            <w:tcW w:w="1245" w:type="dxa"/>
            <w:tcBorders>
              <w:top w:val="single" w:sz="4" w:space="0" w:color="auto"/>
              <w:left w:val="single" w:sz="4" w:space="0" w:color="auto"/>
              <w:bottom w:val="single" w:sz="4" w:space="0" w:color="auto"/>
              <w:right w:val="single" w:sz="12" w:space="0" w:color="auto"/>
            </w:tcBorders>
          </w:tcPr>
          <w:p w:rsidR="00A9063F" w:rsidRPr="00924B99" w:rsidRDefault="00A9063F">
            <w:pPr>
              <w:autoSpaceDE w:val="0"/>
              <w:autoSpaceDN w:val="0"/>
              <w:spacing w:before="0" w:beforeAutospacing="0" w:after="0" w:afterAutospacing="0"/>
              <w:jc w:val="center"/>
              <w:rPr>
                <w:sz w:val="20"/>
                <w:szCs w:val="20"/>
              </w:rPr>
            </w:pPr>
            <w:r w:rsidRPr="00924B99">
              <w:rPr>
                <w:sz w:val="20"/>
                <w:szCs w:val="20"/>
              </w:rPr>
              <w:t>3</w:t>
            </w:r>
          </w:p>
        </w:tc>
        <w:tc>
          <w:tcPr>
            <w:tcW w:w="846" w:type="dxa"/>
            <w:tcBorders>
              <w:top w:val="single" w:sz="4" w:space="0" w:color="auto"/>
              <w:left w:val="nil"/>
              <w:bottom w:val="single" w:sz="4" w:space="0" w:color="auto"/>
              <w:right w:val="single" w:sz="4" w:space="0" w:color="auto"/>
            </w:tcBorders>
          </w:tcPr>
          <w:p w:rsidR="00A9063F" w:rsidRPr="00924B99" w:rsidRDefault="00A9063F">
            <w:pPr>
              <w:autoSpaceDE w:val="0"/>
              <w:autoSpaceDN w:val="0"/>
              <w:spacing w:before="0" w:beforeAutospacing="0" w:after="0" w:afterAutospacing="0"/>
              <w:jc w:val="center"/>
              <w:rPr>
                <w:sz w:val="20"/>
                <w:szCs w:val="20"/>
              </w:rPr>
            </w:pPr>
            <w:r w:rsidRPr="00924B99">
              <w:rPr>
                <w:sz w:val="20"/>
                <w:szCs w:val="20"/>
              </w:rPr>
              <w:t>4</w:t>
            </w:r>
          </w:p>
        </w:tc>
        <w:tc>
          <w:tcPr>
            <w:tcW w:w="886" w:type="dxa"/>
            <w:tcBorders>
              <w:top w:val="single" w:sz="4" w:space="0" w:color="auto"/>
              <w:left w:val="single" w:sz="4" w:space="0" w:color="auto"/>
              <w:bottom w:val="single" w:sz="4" w:space="0" w:color="auto"/>
              <w:right w:val="single" w:sz="4" w:space="0" w:color="auto"/>
            </w:tcBorders>
          </w:tcPr>
          <w:p w:rsidR="00A9063F" w:rsidRPr="00924B99" w:rsidRDefault="00A9063F">
            <w:pPr>
              <w:pStyle w:val="Zkladntext2"/>
              <w:spacing w:line="240" w:lineRule="exact"/>
            </w:pPr>
            <w:r w:rsidRPr="00924B99">
              <w:t>5</w:t>
            </w:r>
          </w:p>
        </w:tc>
        <w:tc>
          <w:tcPr>
            <w:tcW w:w="5609" w:type="dxa"/>
            <w:tcBorders>
              <w:top w:val="single" w:sz="4" w:space="0" w:color="auto"/>
              <w:left w:val="single" w:sz="4" w:space="0" w:color="auto"/>
              <w:bottom w:val="single" w:sz="4" w:space="0" w:color="auto"/>
              <w:right w:val="single" w:sz="4" w:space="0" w:color="auto"/>
            </w:tcBorders>
          </w:tcPr>
          <w:p w:rsidR="00A9063F" w:rsidRPr="00924B99" w:rsidRDefault="00A9063F">
            <w:pPr>
              <w:pStyle w:val="Zkladntext2"/>
              <w:spacing w:line="240" w:lineRule="exact"/>
            </w:pPr>
            <w:r w:rsidRPr="00924B99">
              <w:t>6</w:t>
            </w:r>
          </w:p>
        </w:tc>
        <w:tc>
          <w:tcPr>
            <w:tcW w:w="423" w:type="dxa"/>
            <w:tcBorders>
              <w:top w:val="single" w:sz="4" w:space="0" w:color="auto"/>
              <w:left w:val="single" w:sz="4" w:space="0" w:color="auto"/>
              <w:bottom w:val="single" w:sz="4" w:space="0" w:color="auto"/>
              <w:right w:val="single" w:sz="4" w:space="0" w:color="auto"/>
            </w:tcBorders>
          </w:tcPr>
          <w:p w:rsidR="00A9063F" w:rsidRPr="00924B99" w:rsidRDefault="00A9063F">
            <w:pPr>
              <w:autoSpaceDE w:val="0"/>
              <w:autoSpaceDN w:val="0"/>
              <w:spacing w:before="0" w:beforeAutospacing="0" w:after="0" w:afterAutospacing="0"/>
              <w:jc w:val="center"/>
              <w:rPr>
                <w:sz w:val="20"/>
                <w:szCs w:val="20"/>
              </w:rPr>
            </w:pPr>
            <w:r w:rsidRPr="00924B99">
              <w:rPr>
                <w:sz w:val="20"/>
                <w:szCs w:val="20"/>
              </w:rPr>
              <w:t>7</w:t>
            </w:r>
          </w:p>
        </w:tc>
        <w:tc>
          <w:tcPr>
            <w:tcW w:w="633" w:type="dxa"/>
            <w:tcBorders>
              <w:top w:val="single" w:sz="4" w:space="0" w:color="auto"/>
              <w:left w:val="single" w:sz="4" w:space="0" w:color="auto"/>
              <w:bottom w:val="single" w:sz="4" w:space="0" w:color="auto"/>
              <w:right w:val="single" w:sz="12" w:space="0" w:color="auto"/>
            </w:tcBorders>
          </w:tcPr>
          <w:p w:rsidR="00A9063F" w:rsidRPr="00924B99" w:rsidRDefault="005170A9">
            <w:pPr>
              <w:autoSpaceDE w:val="0"/>
              <w:autoSpaceDN w:val="0"/>
              <w:spacing w:before="0" w:beforeAutospacing="0" w:after="0" w:afterAutospacing="0"/>
              <w:jc w:val="center"/>
              <w:rPr>
                <w:sz w:val="20"/>
                <w:szCs w:val="20"/>
              </w:rPr>
            </w:pPr>
            <w:r w:rsidRPr="00924B99">
              <w:rPr>
                <w:sz w:val="20"/>
                <w:szCs w:val="20"/>
              </w:rPr>
              <w:t>8</w:t>
            </w:r>
          </w:p>
        </w:tc>
      </w:tr>
      <w:tr w:rsidR="00A9063F" w:rsidRPr="00924B99" w:rsidTr="00316EFA">
        <w:trPr>
          <w:trHeight w:val="774"/>
        </w:trPr>
        <w:tc>
          <w:tcPr>
            <w:tcW w:w="682" w:type="dxa"/>
            <w:tcBorders>
              <w:top w:val="single" w:sz="4" w:space="0" w:color="auto"/>
              <w:left w:val="single" w:sz="12" w:space="0" w:color="auto"/>
              <w:bottom w:val="single" w:sz="4" w:space="0" w:color="auto"/>
              <w:right w:val="single" w:sz="4" w:space="0" w:color="auto"/>
            </w:tcBorders>
          </w:tcPr>
          <w:p w:rsidR="00A9063F" w:rsidRPr="00924B99" w:rsidRDefault="00A9063F">
            <w:pPr>
              <w:pStyle w:val="Normlny0"/>
              <w:jc w:val="center"/>
            </w:pPr>
            <w:r w:rsidRPr="00924B99">
              <w:t>Článok</w:t>
            </w:r>
          </w:p>
          <w:p w:rsidR="00A9063F" w:rsidRPr="00924B99" w:rsidRDefault="00A9063F">
            <w:pPr>
              <w:pStyle w:val="Normlny0"/>
              <w:jc w:val="center"/>
            </w:pPr>
            <w:r w:rsidRPr="00924B99">
              <w:t>(Č, O,</w:t>
            </w:r>
          </w:p>
          <w:p w:rsidR="00A9063F" w:rsidRPr="00924B99" w:rsidRDefault="00A9063F">
            <w:pPr>
              <w:pStyle w:val="Normlny0"/>
              <w:jc w:val="center"/>
            </w:pPr>
            <w:r w:rsidRPr="00924B99">
              <w:t>V, P)</w:t>
            </w:r>
          </w:p>
        </w:tc>
        <w:tc>
          <w:tcPr>
            <w:tcW w:w="5812" w:type="dxa"/>
            <w:tcBorders>
              <w:top w:val="single" w:sz="4" w:space="0" w:color="auto"/>
              <w:left w:val="single" w:sz="4" w:space="0" w:color="auto"/>
              <w:bottom w:val="single" w:sz="4" w:space="0" w:color="auto"/>
              <w:right w:val="single" w:sz="4" w:space="0" w:color="auto"/>
            </w:tcBorders>
          </w:tcPr>
          <w:p w:rsidR="00A9063F" w:rsidRPr="00924B99" w:rsidRDefault="00A9063F">
            <w:pPr>
              <w:pStyle w:val="Normlny0"/>
              <w:jc w:val="center"/>
            </w:pPr>
            <w:r w:rsidRPr="00924B99">
              <w:t>Text</w:t>
            </w:r>
          </w:p>
        </w:tc>
        <w:tc>
          <w:tcPr>
            <w:tcW w:w="1245" w:type="dxa"/>
            <w:tcBorders>
              <w:top w:val="single" w:sz="4" w:space="0" w:color="auto"/>
              <w:left w:val="single" w:sz="4" w:space="0" w:color="auto"/>
              <w:bottom w:val="single" w:sz="4" w:space="0" w:color="auto"/>
              <w:right w:val="single" w:sz="12" w:space="0" w:color="auto"/>
            </w:tcBorders>
          </w:tcPr>
          <w:p w:rsidR="00A9063F" w:rsidRPr="00924B99" w:rsidRDefault="00A9063F">
            <w:pPr>
              <w:pStyle w:val="Normlny0"/>
              <w:jc w:val="center"/>
            </w:pPr>
            <w:r w:rsidRPr="00924B99">
              <w:t>Spôsob transp.</w:t>
            </w:r>
          </w:p>
          <w:p w:rsidR="00A9063F" w:rsidRPr="00924B99" w:rsidRDefault="00A9063F">
            <w:pPr>
              <w:pStyle w:val="Normlny0"/>
              <w:jc w:val="center"/>
            </w:pPr>
            <w:r w:rsidRPr="00924B99">
              <w:t>(N, O, D, n.a.)</w:t>
            </w:r>
          </w:p>
        </w:tc>
        <w:tc>
          <w:tcPr>
            <w:tcW w:w="846" w:type="dxa"/>
            <w:tcBorders>
              <w:top w:val="single" w:sz="4" w:space="0" w:color="auto"/>
              <w:left w:val="nil"/>
              <w:bottom w:val="single" w:sz="4" w:space="0" w:color="auto"/>
              <w:right w:val="single" w:sz="4" w:space="0" w:color="auto"/>
            </w:tcBorders>
          </w:tcPr>
          <w:p w:rsidR="00A9063F" w:rsidRPr="00924B99" w:rsidRDefault="00A9063F">
            <w:pPr>
              <w:pStyle w:val="Normlny0"/>
              <w:jc w:val="center"/>
            </w:pPr>
            <w:r w:rsidRPr="00924B99">
              <w:t>Číslo</w:t>
            </w:r>
          </w:p>
          <w:p w:rsidR="00A9063F" w:rsidRPr="00924B99" w:rsidRDefault="00A9063F">
            <w:pPr>
              <w:pStyle w:val="Normlny0"/>
              <w:jc w:val="center"/>
            </w:pPr>
            <w:r w:rsidRPr="00924B99">
              <w:t>predpisu</w:t>
            </w:r>
          </w:p>
        </w:tc>
        <w:tc>
          <w:tcPr>
            <w:tcW w:w="886" w:type="dxa"/>
            <w:tcBorders>
              <w:top w:val="single" w:sz="4" w:space="0" w:color="auto"/>
              <w:left w:val="single" w:sz="4" w:space="0" w:color="auto"/>
              <w:bottom w:val="single" w:sz="4" w:space="0" w:color="auto"/>
              <w:right w:val="single" w:sz="4" w:space="0" w:color="auto"/>
            </w:tcBorders>
          </w:tcPr>
          <w:p w:rsidR="00A9063F" w:rsidRPr="00924B99" w:rsidRDefault="00A9063F">
            <w:pPr>
              <w:pStyle w:val="Normlny0"/>
              <w:jc w:val="center"/>
            </w:pPr>
            <w:r w:rsidRPr="00924B99">
              <w:t>Článok (Č, §, O, V, P)</w:t>
            </w:r>
          </w:p>
        </w:tc>
        <w:tc>
          <w:tcPr>
            <w:tcW w:w="5609" w:type="dxa"/>
            <w:tcBorders>
              <w:top w:val="single" w:sz="4" w:space="0" w:color="auto"/>
              <w:left w:val="single" w:sz="4" w:space="0" w:color="auto"/>
              <w:bottom w:val="single" w:sz="4" w:space="0" w:color="auto"/>
              <w:right w:val="single" w:sz="4" w:space="0" w:color="auto"/>
            </w:tcBorders>
          </w:tcPr>
          <w:p w:rsidR="00A9063F" w:rsidRPr="00924B99" w:rsidRDefault="00A9063F">
            <w:pPr>
              <w:pStyle w:val="Normlny0"/>
              <w:jc w:val="center"/>
            </w:pPr>
            <w:r w:rsidRPr="00924B99">
              <w:t>Text</w:t>
            </w:r>
          </w:p>
        </w:tc>
        <w:tc>
          <w:tcPr>
            <w:tcW w:w="423" w:type="dxa"/>
            <w:tcBorders>
              <w:top w:val="single" w:sz="4" w:space="0" w:color="auto"/>
              <w:left w:val="single" w:sz="4" w:space="0" w:color="auto"/>
              <w:bottom w:val="single" w:sz="4" w:space="0" w:color="auto"/>
              <w:right w:val="single" w:sz="4" w:space="0" w:color="auto"/>
            </w:tcBorders>
          </w:tcPr>
          <w:p w:rsidR="00A9063F" w:rsidRPr="00924B99" w:rsidRDefault="00A9063F">
            <w:pPr>
              <w:pStyle w:val="Normlny0"/>
              <w:jc w:val="center"/>
            </w:pPr>
            <w:r w:rsidRPr="00924B99">
              <w:t>Zhoda</w:t>
            </w:r>
          </w:p>
        </w:tc>
        <w:tc>
          <w:tcPr>
            <w:tcW w:w="633" w:type="dxa"/>
            <w:tcBorders>
              <w:top w:val="single" w:sz="4" w:space="0" w:color="auto"/>
              <w:left w:val="single" w:sz="4" w:space="0" w:color="auto"/>
              <w:bottom w:val="single" w:sz="4" w:space="0" w:color="auto"/>
              <w:right w:val="single" w:sz="12" w:space="0" w:color="auto"/>
            </w:tcBorders>
          </w:tcPr>
          <w:p w:rsidR="00A9063F" w:rsidRPr="00924B99" w:rsidRDefault="00A9063F">
            <w:pPr>
              <w:pStyle w:val="Normlny0"/>
              <w:jc w:val="center"/>
            </w:pPr>
            <w:r w:rsidRPr="00924B99">
              <w:t>Poznámky</w:t>
            </w:r>
          </w:p>
        </w:tc>
      </w:tr>
      <w:tr w:rsidR="0056254E" w:rsidRPr="00924B99" w:rsidTr="00316EFA">
        <w:trPr>
          <w:trHeight w:val="774"/>
        </w:trPr>
        <w:tc>
          <w:tcPr>
            <w:tcW w:w="682" w:type="dxa"/>
            <w:tcBorders>
              <w:top w:val="single" w:sz="4" w:space="0" w:color="auto"/>
              <w:left w:val="single" w:sz="12" w:space="0" w:color="auto"/>
              <w:bottom w:val="single" w:sz="4" w:space="0" w:color="auto"/>
              <w:right w:val="single" w:sz="4" w:space="0" w:color="auto"/>
            </w:tcBorders>
          </w:tcPr>
          <w:p w:rsidR="0056254E" w:rsidRPr="00441B53" w:rsidRDefault="0056254E" w:rsidP="0056254E">
            <w:pPr>
              <w:autoSpaceDE w:val="0"/>
              <w:autoSpaceDN w:val="0"/>
              <w:spacing w:before="0" w:beforeAutospacing="0" w:after="0" w:afterAutospacing="0"/>
              <w:jc w:val="center"/>
              <w:rPr>
                <w:sz w:val="20"/>
                <w:szCs w:val="20"/>
              </w:rPr>
            </w:pPr>
            <w:r w:rsidRPr="00441B53">
              <w:rPr>
                <w:sz w:val="20"/>
                <w:szCs w:val="20"/>
              </w:rPr>
              <w:t>Čl. 1, bod 1</w:t>
            </w:r>
          </w:p>
          <w:p w:rsidR="0056254E" w:rsidRPr="00441B53" w:rsidRDefault="0056254E">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56254E" w:rsidRPr="00441B53" w:rsidRDefault="0056254E" w:rsidP="00772CF5">
            <w:pPr>
              <w:pStyle w:val="oj-normal"/>
              <w:shd w:val="clear" w:color="auto" w:fill="FFFFFF"/>
              <w:spacing w:before="0" w:beforeAutospacing="0" w:after="0" w:afterAutospacing="0"/>
              <w:jc w:val="both"/>
              <w:rPr>
                <w:sz w:val="20"/>
                <w:szCs w:val="20"/>
              </w:rPr>
            </w:pPr>
            <w:r w:rsidRPr="00441B53">
              <w:rPr>
                <w:sz w:val="20"/>
                <w:szCs w:val="20"/>
              </w:rPr>
              <w:t>1.</w:t>
            </w:r>
            <w:r w:rsidR="00772CF5" w:rsidRPr="00441B53">
              <w:rPr>
                <w:sz w:val="20"/>
                <w:szCs w:val="20"/>
              </w:rPr>
              <w:t xml:space="preserve"> </w:t>
            </w:r>
            <w:r w:rsidRPr="00441B53">
              <w:rPr>
                <w:sz w:val="20"/>
                <w:szCs w:val="20"/>
              </w:rPr>
              <w:t>V článku 3 ods. 1 sa dopĺňajú tieto pododseky:</w:t>
            </w:r>
          </w:p>
          <w:p w:rsidR="0056254E" w:rsidRPr="00441B53" w:rsidRDefault="0056254E" w:rsidP="00772CF5">
            <w:pPr>
              <w:pStyle w:val="oj-normal"/>
              <w:shd w:val="clear" w:color="auto" w:fill="FFFFFF"/>
              <w:spacing w:before="0" w:beforeAutospacing="0" w:after="0" w:afterAutospacing="0"/>
              <w:jc w:val="both"/>
              <w:rPr>
                <w:sz w:val="20"/>
                <w:szCs w:val="20"/>
              </w:rPr>
            </w:pPr>
            <w:r w:rsidRPr="00441B53">
              <w:rPr>
                <w:sz w:val="20"/>
                <w:szCs w:val="20"/>
              </w:rPr>
              <w:t>„Na účely merania stupňa Plato sa zohľadňujú všetky zložky piva vrátane tých, ktoré sa pridali po skončení kvasenia.</w:t>
            </w:r>
          </w:p>
          <w:p w:rsidR="0056254E" w:rsidRPr="00441B53" w:rsidRDefault="0056254E" w:rsidP="00772CF5">
            <w:pPr>
              <w:pStyle w:val="oj-normal"/>
              <w:shd w:val="clear" w:color="auto" w:fill="FFFFFF"/>
              <w:spacing w:before="0" w:beforeAutospacing="0" w:after="0" w:afterAutospacing="0"/>
              <w:jc w:val="both"/>
              <w:rPr>
                <w:sz w:val="20"/>
                <w:szCs w:val="20"/>
              </w:rPr>
            </w:pPr>
            <w:r w:rsidRPr="00441B53">
              <w:rPr>
                <w:sz w:val="20"/>
                <w:szCs w:val="20"/>
              </w:rPr>
              <w:t>Odchylne od druhého pododseku členské štáty, ktoré 29. júla 2020 na účely merania stupňa Plato neberú do úvahy zložky piva, ktoré sa pridali po kvasení, tak môžu naďalej robiť do 31. decembra 2030.“</w:t>
            </w:r>
          </w:p>
          <w:p w:rsidR="0056254E" w:rsidRPr="00441B53" w:rsidRDefault="0056254E" w:rsidP="00772CF5">
            <w:pPr>
              <w:pStyle w:val="Normlny0"/>
              <w:jc w:val="center"/>
            </w:pPr>
          </w:p>
        </w:tc>
        <w:tc>
          <w:tcPr>
            <w:tcW w:w="1245" w:type="dxa"/>
            <w:tcBorders>
              <w:top w:val="single" w:sz="4" w:space="0" w:color="auto"/>
              <w:left w:val="single" w:sz="4" w:space="0" w:color="auto"/>
              <w:bottom w:val="single" w:sz="4" w:space="0" w:color="auto"/>
              <w:right w:val="single" w:sz="12" w:space="0" w:color="auto"/>
            </w:tcBorders>
          </w:tcPr>
          <w:p w:rsidR="0056254E" w:rsidRPr="00441B53" w:rsidRDefault="0056254E">
            <w:pPr>
              <w:pStyle w:val="Normlny0"/>
              <w:jc w:val="center"/>
            </w:pPr>
          </w:p>
          <w:p w:rsidR="00772CF5" w:rsidRPr="00441B53" w:rsidRDefault="00772CF5">
            <w:pPr>
              <w:pStyle w:val="Normlny0"/>
              <w:jc w:val="center"/>
            </w:pPr>
            <w:r w:rsidRPr="00441B53">
              <w:t>D</w:t>
            </w:r>
          </w:p>
        </w:tc>
        <w:tc>
          <w:tcPr>
            <w:tcW w:w="846" w:type="dxa"/>
            <w:tcBorders>
              <w:top w:val="single" w:sz="4" w:space="0" w:color="auto"/>
              <w:left w:val="nil"/>
              <w:bottom w:val="single" w:sz="4" w:space="0" w:color="auto"/>
              <w:right w:val="single" w:sz="4" w:space="0" w:color="auto"/>
            </w:tcBorders>
          </w:tcPr>
          <w:p w:rsidR="0056254E" w:rsidRPr="00441B53" w:rsidRDefault="0056254E">
            <w:pPr>
              <w:pStyle w:val="Normlny0"/>
              <w:jc w:val="center"/>
            </w:pPr>
          </w:p>
        </w:tc>
        <w:tc>
          <w:tcPr>
            <w:tcW w:w="886" w:type="dxa"/>
            <w:tcBorders>
              <w:top w:val="single" w:sz="4" w:space="0" w:color="auto"/>
              <w:left w:val="single" w:sz="4" w:space="0" w:color="auto"/>
              <w:bottom w:val="single" w:sz="4" w:space="0" w:color="auto"/>
              <w:right w:val="single" w:sz="4" w:space="0" w:color="auto"/>
            </w:tcBorders>
          </w:tcPr>
          <w:p w:rsidR="0056254E" w:rsidRPr="00441B53" w:rsidRDefault="0056254E">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56254E" w:rsidRPr="00441B53" w:rsidRDefault="0056254E">
            <w:pPr>
              <w:pStyle w:val="Normlny0"/>
              <w:jc w:val="center"/>
            </w:pPr>
          </w:p>
        </w:tc>
        <w:tc>
          <w:tcPr>
            <w:tcW w:w="423" w:type="dxa"/>
            <w:tcBorders>
              <w:top w:val="single" w:sz="4" w:space="0" w:color="auto"/>
              <w:left w:val="single" w:sz="4" w:space="0" w:color="auto"/>
              <w:bottom w:val="single" w:sz="4" w:space="0" w:color="auto"/>
              <w:right w:val="single" w:sz="4" w:space="0" w:color="auto"/>
            </w:tcBorders>
          </w:tcPr>
          <w:p w:rsidR="0056254E" w:rsidRPr="00441B53" w:rsidRDefault="00772CF5">
            <w:pPr>
              <w:pStyle w:val="Normlny0"/>
              <w:jc w:val="center"/>
            </w:pPr>
            <w:r w:rsidRPr="00441B53">
              <w:t>n.a.</w:t>
            </w:r>
          </w:p>
        </w:tc>
        <w:tc>
          <w:tcPr>
            <w:tcW w:w="633" w:type="dxa"/>
            <w:tcBorders>
              <w:top w:val="single" w:sz="4" w:space="0" w:color="auto"/>
              <w:left w:val="single" w:sz="4" w:space="0" w:color="auto"/>
              <w:bottom w:val="single" w:sz="4" w:space="0" w:color="auto"/>
              <w:right w:val="single" w:sz="12" w:space="0" w:color="auto"/>
            </w:tcBorders>
          </w:tcPr>
          <w:p w:rsidR="0056254E" w:rsidRPr="00441B53" w:rsidRDefault="0056254E">
            <w:pPr>
              <w:pStyle w:val="Normlny0"/>
              <w:jc w:val="center"/>
            </w:pPr>
          </w:p>
        </w:tc>
      </w:tr>
      <w:tr w:rsidR="0056254E" w:rsidRPr="00924B99" w:rsidTr="00316EFA">
        <w:trPr>
          <w:trHeight w:val="774"/>
        </w:trPr>
        <w:tc>
          <w:tcPr>
            <w:tcW w:w="682" w:type="dxa"/>
            <w:tcBorders>
              <w:top w:val="single" w:sz="4" w:space="0" w:color="auto"/>
              <w:left w:val="single" w:sz="12" w:space="0" w:color="auto"/>
              <w:bottom w:val="single" w:sz="4" w:space="0" w:color="auto"/>
              <w:right w:val="single" w:sz="4" w:space="0" w:color="auto"/>
            </w:tcBorders>
          </w:tcPr>
          <w:p w:rsidR="0056254E" w:rsidRPr="00441B53" w:rsidRDefault="0056254E" w:rsidP="0056254E">
            <w:pPr>
              <w:autoSpaceDE w:val="0"/>
              <w:autoSpaceDN w:val="0"/>
              <w:spacing w:before="0" w:beforeAutospacing="0" w:after="0" w:afterAutospacing="0"/>
              <w:jc w:val="center"/>
              <w:rPr>
                <w:sz w:val="20"/>
                <w:szCs w:val="20"/>
              </w:rPr>
            </w:pPr>
            <w:r w:rsidRPr="00441B53">
              <w:rPr>
                <w:sz w:val="20"/>
                <w:szCs w:val="20"/>
              </w:rPr>
              <w:t>Čl. 1, bod 2</w:t>
            </w:r>
          </w:p>
          <w:p w:rsidR="0056254E" w:rsidRPr="00441B53" w:rsidRDefault="0056254E">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772CF5" w:rsidRPr="00441B53" w:rsidRDefault="00772CF5" w:rsidP="00772CF5">
            <w:pPr>
              <w:pStyle w:val="oj-normal"/>
              <w:shd w:val="clear" w:color="auto" w:fill="FFFFFF"/>
              <w:spacing w:before="0" w:beforeAutospacing="0" w:after="0" w:afterAutospacing="0"/>
              <w:jc w:val="both"/>
              <w:rPr>
                <w:sz w:val="20"/>
                <w:szCs w:val="20"/>
              </w:rPr>
            </w:pPr>
            <w:r w:rsidRPr="00441B53">
              <w:rPr>
                <w:sz w:val="20"/>
                <w:szCs w:val="20"/>
              </w:rPr>
              <w:t>2. V článku 5 sa odsek 1 nahrádza takto:</w:t>
            </w:r>
          </w:p>
          <w:p w:rsidR="0056254E" w:rsidRPr="00441B53" w:rsidRDefault="00772CF5" w:rsidP="00772CF5">
            <w:pPr>
              <w:pStyle w:val="oj-normal"/>
              <w:shd w:val="clear" w:color="auto" w:fill="FFFFFF"/>
              <w:spacing w:before="0" w:beforeAutospacing="0" w:after="0" w:afterAutospacing="0"/>
              <w:jc w:val="both"/>
              <w:rPr>
                <w:sz w:val="20"/>
                <w:szCs w:val="20"/>
              </w:rPr>
            </w:pPr>
            <w:r w:rsidRPr="00441B53">
              <w:rPr>
                <w:sz w:val="20"/>
                <w:szCs w:val="20"/>
              </w:rPr>
              <w:t>„1.   Členské štáty môžu uplatňovať znížené sadzby spotrebnej dane, ktoré sú nižšie ako minimálna sadzba, na pivo so skutočným obsahom etanolu neprekračujúcim 3,5 % objemových percent etanolu.“</w:t>
            </w:r>
          </w:p>
        </w:tc>
        <w:tc>
          <w:tcPr>
            <w:tcW w:w="1245" w:type="dxa"/>
            <w:tcBorders>
              <w:top w:val="single" w:sz="4" w:space="0" w:color="auto"/>
              <w:left w:val="single" w:sz="4" w:space="0" w:color="auto"/>
              <w:bottom w:val="single" w:sz="4" w:space="0" w:color="auto"/>
              <w:right w:val="single" w:sz="12" w:space="0" w:color="auto"/>
            </w:tcBorders>
          </w:tcPr>
          <w:p w:rsidR="0056254E" w:rsidRPr="00441B53" w:rsidRDefault="0056254E">
            <w:pPr>
              <w:pStyle w:val="Normlny0"/>
              <w:jc w:val="center"/>
            </w:pPr>
          </w:p>
          <w:p w:rsidR="00772CF5" w:rsidRPr="00441B53" w:rsidRDefault="00772CF5">
            <w:pPr>
              <w:pStyle w:val="Normlny0"/>
              <w:jc w:val="center"/>
            </w:pPr>
            <w:r w:rsidRPr="00441B53">
              <w:t>D</w:t>
            </w:r>
          </w:p>
        </w:tc>
        <w:tc>
          <w:tcPr>
            <w:tcW w:w="846" w:type="dxa"/>
            <w:tcBorders>
              <w:top w:val="single" w:sz="4" w:space="0" w:color="auto"/>
              <w:left w:val="nil"/>
              <w:bottom w:val="single" w:sz="4" w:space="0" w:color="auto"/>
              <w:right w:val="single" w:sz="4" w:space="0" w:color="auto"/>
            </w:tcBorders>
          </w:tcPr>
          <w:p w:rsidR="0056254E" w:rsidRPr="00441B53" w:rsidRDefault="0056254E">
            <w:pPr>
              <w:pStyle w:val="Normlny0"/>
              <w:jc w:val="center"/>
            </w:pPr>
          </w:p>
        </w:tc>
        <w:tc>
          <w:tcPr>
            <w:tcW w:w="886" w:type="dxa"/>
            <w:tcBorders>
              <w:top w:val="single" w:sz="4" w:space="0" w:color="auto"/>
              <w:left w:val="single" w:sz="4" w:space="0" w:color="auto"/>
              <w:bottom w:val="single" w:sz="4" w:space="0" w:color="auto"/>
              <w:right w:val="single" w:sz="4" w:space="0" w:color="auto"/>
            </w:tcBorders>
          </w:tcPr>
          <w:p w:rsidR="0056254E" w:rsidRPr="00441B53" w:rsidRDefault="0056254E">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56254E" w:rsidRPr="00441B53" w:rsidRDefault="0056254E">
            <w:pPr>
              <w:pStyle w:val="Normlny0"/>
              <w:jc w:val="center"/>
            </w:pPr>
          </w:p>
        </w:tc>
        <w:tc>
          <w:tcPr>
            <w:tcW w:w="423" w:type="dxa"/>
            <w:tcBorders>
              <w:top w:val="single" w:sz="4" w:space="0" w:color="auto"/>
              <w:left w:val="single" w:sz="4" w:space="0" w:color="auto"/>
              <w:bottom w:val="single" w:sz="4" w:space="0" w:color="auto"/>
              <w:right w:val="single" w:sz="4" w:space="0" w:color="auto"/>
            </w:tcBorders>
          </w:tcPr>
          <w:p w:rsidR="0056254E" w:rsidRPr="00441B53" w:rsidRDefault="00772CF5">
            <w:pPr>
              <w:pStyle w:val="Normlny0"/>
              <w:jc w:val="center"/>
            </w:pPr>
            <w:r w:rsidRPr="00441B53">
              <w:t>n.a.</w:t>
            </w:r>
          </w:p>
        </w:tc>
        <w:tc>
          <w:tcPr>
            <w:tcW w:w="633" w:type="dxa"/>
            <w:tcBorders>
              <w:top w:val="single" w:sz="4" w:space="0" w:color="auto"/>
              <w:left w:val="single" w:sz="4" w:space="0" w:color="auto"/>
              <w:bottom w:val="single" w:sz="4" w:space="0" w:color="auto"/>
              <w:right w:val="single" w:sz="12" w:space="0" w:color="auto"/>
            </w:tcBorders>
          </w:tcPr>
          <w:p w:rsidR="0056254E" w:rsidRPr="00441B53" w:rsidRDefault="0056254E">
            <w:pPr>
              <w:pStyle w:val="Normlny0"/>
              <w:jc w:val="center"/>
            </w:pPr>
          </w:p>
        </w:tc>
      </w:tr>
      <w:tr w:rsidR="0056254E" w:rsidRPr="00924B99" w:rsidTr="00316EFA">
        <w:trPr>
          <w:trHeight w:val="774"/>
        </w:trPr>
        <w:tc>
          <w:tcPr>
            <w:tcW w:w="682" w:type="dxa"/>
            <w:tcBorders>
              <w:top w:val="single" w:sz="4" w:space="0" w:color="auto"/>
              <w:left w:val="single" w:sz="12" w:space="0" w:color="auto"/>
              <w:bottom w:val="single" w:sz="4" w:space="0" w:color="auto"/>
              <w:right w:val="single" w:sz="4" w:space="0" w:color="auto"/>
            </w:tcBorders>
          </w:tcPr>
          <w:p w:rsidR="0056254E" w:rsidRPr="00441B53" w:rsidRDefault="0056254E" w:rsidP="0056254E">
            <w:pPr>
              <w:autoSpaceDE w:val="0"/>
              <w:autoSpaceDN w:val="0"/>
              <w:spacing w:before="0" w:beforeAutospacing="0" w:after="0" w:afterAutospacing="0"/>
              <w:jc w:val="center"/>
              <w:rPr>
                <w:sz w:val="20"/>
                <w:szCs w:val="20"/>
              </w:rPr>
            </w:pPr>
            <w:r w:rsidRPr="00441B53">
              <w:rPr>
                <w:sz w:val="20"/>
                <w:szCs w:val="20"/>
              </w:rPr>
              <w:t>Čl. 1, bod 3</w:t>
            </w:r>
          </w:p>
          <w:p w:rsidR="0056254E" w:rsidRPr="00441B53" w:rsidRDefault="0056254E">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772CF5" w:rsidRPr="00441B53" w:rsidRDefault="0056254E" w:rsidP="00772CF5">
            <w:pPr>
              <w:pStyle w:val="oj-normal"/>
              <w:shd w:val="clear" w:color="auto" w:fill="FFFFFF"/>
              <w:spacing w:before="0" w:beforeAutospacing="0" w:after="0" w:afterAutospacing="0"/>
              <w:jc w:val="both"/>
              <w:rPr>
                <w:sz w:val="20"/>
                <w:szCs w:val="20"/>
              </w:rPr>
            </w:pPr>
            <w:r w:rsidRPr="00441B53">
              <w:rPr>
                <w:sz w:val="20"/>
                <w:szCs w:val="20"/>
              </w:rPr>
              <w:t>3.</w:t>
            </w:r>
            <w:r w:rsidR="00772CF5" w:rsidRPr="00441B53">
              <w:rPr>
                <w:sz w:val="20"/>
                <w:szCs w:val="20"/>
              </w:rPr>
              <w:t xml:space="preserve"> V článku 8 ods. 2 sa úvodná veta nahrádza takto:</w:t>
            </w:r>
          </w:p>
          <w:tbl>
            <w:tblPr>
              <w:tblW w:w="5000" w:type="pct"/>
              <w:tblLayout w:type="fixed"/>
              <w:tblCellMar>
                <w:left w:w="0" w:type="dxa"/>
                <w:right w:w="0" w:type="dxa"/>
              </w:tblCellMar>
              <w:tblLook w:val="04A0" w:firstRow="1" w:lastRow="0" w:firstColumn="1" w:lastColumn="0" w:noHBand="0" w:noVBand="1"/>
            </w:tblPr>
            <w:tblGrid>
              <w:gridCol w:w="241"/>
              <w:gridCol w:w="5485"/>
            </w:tblGrid>
            <w:tr w:rsidR="00924B99" w:rsidRPr="00441B53" w:rsidTr="00142823">
              <w:tc>
                <w:tcPr>
                  <w:tcW w:w="241" w:type="dxa"/>
                  <w:shd w:val="clear" w:color="auto" w:fill="FFFFFF"/>
                  <w:hideMark/>
                </w:tcPr>
                <w:p w:rsidR="00772CF5" w:rsidRPr="00441B53" w:rsidRDefault="00772CF5" w:rsidP="00772CF5">
                  <w:pPr>
                    <w:spacing w:before="0" w:beforeAutospacing="0" w:after="0" w:afterAutospacing="0"/>
                    <w:jc w:val="both"/>
                    <w:rPr>
                      <w:sz w:val="20"/>
                      <w:szCs w:val="20"/>
                    </w:rPr>
                  </w:pPr>
                  <w:r w:rsidRPr="00441B53">
                    <w:rPr>
                      <w:sz w:val="20"/>
                      <w:szCs w:val="20"/>
                    </w:rPr>
                    <w:t>„2.</w:t>
                  </w:r>
                </w:p>
              </w:tc>
              <w:tc>
                <w:tcPr>
                  <w:tcW w:w="5485" w:type="dxa"/>
                  <w:shd w:val="clear" w:color="auto" w:fill="FFFFFF"/>
                  <w:hideMark/>
                </w:tcPr>
                <w:p w:rsidR="00772CF5" w:rsidRPr="00441B53" w:rsidRDefault="00772CF5" w:rsidP="00772CF5">
                  <w:pPr>
                    <w:spacing w:before="0" w:beforeAutospacing="0" w:after="0" w:afterAutospacing="0"/>
                    <w:jc w:val="both"/>
                    <w:rPr>
                      <w:sz w:val="20"/>
                      <w:szCs w:val="20"/>
                    </w:rPr>
                  </w:pPr>
                  <w:r w:rsidRPr="00441B53">
                    <w:rPr>
                      <w:sz w:val="20"/>
                      <w:szCs w:val="20"/>
                    </w:rPr>
                    <w:t>Pojem „šumivé víno“ predstavuje všetky produkty spadajúce pod KN kódy 2204 10, 2204 21 06, 2204 21 07, 2204 21 08, 2204 21 09, 2204 29 10 a 2205, pričom tieto produkty:“</w:t>
                  </w:r>
                </w:p>
              </w:tc>
            </w:tr>
          </w:tbl>
          <w:p w:rsidR="0056254E" w:rsidRPr="00441B53" w:rsidRDefault="0056254E" w:rsidP="0056254E">
            <w:pPr>
              <w:pStyle w:val="Normlny0"/>
            </w:pPr>
          </w:p>
        </w:tc>
        <w:tc>
          <w:tcPr>
            <w:tcW w:w="1245" w:type="dxa"/>
            <w:tcBorders>
              <w:top w:val="single" w:sz="4" w:space="0" w:color="auto"/>
              <w:left w:val="single" w:sz="4" w:space="0" w:color="auto"/>
              <w:bottom w:val="single" w:sz="4" w:space="0" w:color="auto"/>
              <w:right w:val="single" w:sz="12" w:space="0" w:color="auto"/>
            </w:tcBorders>
          </w:tcPr>
          <w:p w:rsidR="0056254E" w:rsidRPr="00441B53" w:rsidRDefault="00772CF5">
            <w:pPr>
              <w:pStyle w:val="Normlny0"/>
              <w:jc w:val="center"/>
            </w:pPr>
            <w:r w:rsidRPr="00441B53">
              <w:t>N</w:t>
            </w:r>
          </w:p>
        </w:tc>
        <w:tc>
          <w:tcPr>
            <w:tcW w:w="846" w:type="dxa"/>
            <w:tcBorders>
              <w:top w:val="single" w:sz="4" w:space="0" w:color="auto"/>
              <w:left w:val="nil"/>
              <w:bottom w:val="single" w:sz="4" w:space="0" w:color="auto"/>
              <w:right w:val="single" w:sz="4" w:space="0" w:color="auto"/>
            </w:tcBorders>
          </w:tcPr>
          <w:p w:rsidR="0056254E" w:rsidRPr="00441B53" w:rsidRDefault="00772CF5">
            <w:pPr>
              <w:pStyle w:val="Normlny0"/>
              <w:jc w:val="center"/>
            </w:pPr>
            <w:r w:rsidRPr="00441B53">
              <w:t>530/2011</w:t>
            </w:r>
          </w:p>
        </w:tc>
        <w:tc>
          <w:tcPr>
            <w:tcW w:w="886" w:type="dxa"/>
            <w:tcBorders>
              <w:top w:val="single" w:sz="4" w:space="0" w:color="auto"/>
              <w:left w:val="single" w:sz="4" w:space="0" w:color="auto"/>
              <w:bottom w:val="single" w:sz="4" w:space="0" w:color="auto"/>
              <w:right w:val="single" w:sz="4" w:space="0" w:color="auto"/>
            </w:tcBorders>
          </w:tcPr>
          <w:p w:rsidR="00772CF5" w:rsidRPr="00441B53" w:rsidRDefault="00772CF5">
            <w:pPr>
              <w:pStyle w:val="Normlny0"/>
              <w:jc w:val="center"/>
            </w:pPr>
            <w:r w:rsidRPr="00441B53">
              <w:t xml:space="preserve">§ 4 ods.3 </w:t>
            </w:r>
          </w:p>
          <w:p w:rsidR="00772CF5" w:rsidRPr="00441B53" w:rsidRDefault="00772CF5">
            <w:pPr>
              <w:pStyle w:val="Normlny0"/>
              <w:jc w:val="center"/>
            </w:pPr>
          </w:p>
          <w:p w:rsidR="00772CF5" w:rsidRPr="00441B53" w:rsidRDefault="00772CF5">
            <w:pPr>
              <w:pStyle w:val="Normlny0"/>
              <w:jc w:val="center"/>
            </w:pPr>
          </w:p>
          <w:p w:rsidR="0056254E" w:rsidRPr="00441B53" w:rsidRDefault="00772CF5">
            <w:pPr>
              <w:pStyle w:val="Normlny0"/>
              <w:jc w:val="center"/>
            </w:pPr>
            <w:r w:rsidRPr="00441B53">
              <w:t>písm.b)</w:t>
            </w:r>
          </w:p>
        </w:tc>
        <w:tc>
          <w:tcPr>
            <w:tcW w:w="5609" w:type="dxa"/>
            <w:tcBorders>
              <w:top w:val="single" w:sz="4" w:space="0" w:color="auto"/>
              <w:left w:val="single" w:sz="4" w:space="0" w:color="auto"/>
              <w:bottom w:val="single" w:sz="4" w:space="0" w:color="auto"/>
              <w:right w:val="single" w:sz="4" w:space="0" w:color="auto"/>
            </w:tcBorders>
          </w:tcPr>
          <w:p w:rsidR="0056254E" w:rsidRPr="00441B53" w:rsidRDefault="00772CF5" w:rsidP="00772CF5">
            <w:pPr>
              <w:pStyle w:val="Normlny0"/>
              <w:jc w:val="both"/>
              <w:rPr>
                <w:shd w:val="clear" w:color="auto" w:fill="FFFFFF"/>
              </w:rPr>
            </w:pPr>
            <w:r w:rsidRPr="00441B53">
              <w:rPr>
                <w:shd w:val="clear" w:color="auto" w:fill="FFFFFF"/>
              </w:rPr>
              <w:t>Alkoholickým nápojom, ktorým je víno, sa na účely tohto zákona rozumie tiché víno, šumivé víno, tichý fermentovaný nápoj a šumivý fermentovaný nápoj, a to</w:t>
            </w:r>
          </w:p>
          <w:p w:rsidR="00772CF5" w:rsidRPr="00441B53" w:rsidRDefault="00772CF5" w:rsidP="00772CF5">
            <w:pPr>
              <w:pStyle w:val="Normlny0"/>
              <w:jc w:val="both"/>
            </w:pPr>
            <w:r w:rsidRPr="00441B53">
              <w:rPr>
                <w:shd w:val="clear" w:color="auto" w:fill="FFFFFF"/>
              </w:rPr>
              <w:t>šumivým vínom tovar naplnený vo fľašiach uzavretých zátkou hríbikovitého tvaru upevnenou pomocou pridržiavacieho zariadenia alebo tovar, ktorého pretlak spôsobený uvoľneným oxidom uhličitým sú 3 bary alebo viac, ktorý sa zatrieďuje do položiek kódu kombinovanej nomenklatúry 2204 10, 2204 21 06, 2204 21 07, 2204 21 08, 2204 21 09, 2204 29 10 a 2205 so skutočným obsahom alkoholu viac ako 1,2 % objemu a najviac 15 % objemu, ak alkohol obsiahnutý v hotovom výrobku vznikol výlučne kvasením,</w:t>
            </w:r>
          </w:p>
        </w:tc>
        <w:tc>
          <w:tcPr>
            <w:tcW w:w="423" w:type="dxa"/>
            <w:tcBorders>
              <w:top w:val="single" w:sz="4" w:space="0" w:color="auto"/>
              <w:left w:val="single" w:sz="4" w:space="0" w:color="auto"/>
              <w:bottom w:val="single" w:sz="4" w:space="0" w:color="auto"/>
              <w:right w:val="single" w:sz="4" w:space="0" w:color="auto"/>
            </w:tcBorders>
          </w:tcPr>
          <w:p w:rsidR="0056254E" w:rsidRPr="00441B53" w:rsidRDefault="00772CF5">
            <w:pPr>
              <w:pStyle w:val="Normlny0"/>
              <w:jc w:val="center"/>
            </w:pPr>
            <w:r w:rsidRPr="00441B53">
              <w:t>Ú</w:t>
            </w:r>
          </w:p>
        </w:tc>
        <w:tc>
          <w:tcPr>
            <w:tcW w:w="633" w:type="dxa"/>
            <w:tcBorders>
              <w:top w:val="single" w:sz="4" w:space="0" w:color="auto"/>
              <w:left w:val="single" w:sz="4" w:space="0" w:color="auto"/>
              <w:bottom w:val="single" w:sz="4" w:space="0" w:color="auto"/>
              <w:right w:val="single" w:sz="12" w:space="0" w:color="auto"/>
            </w:tcBorders>
          </w:tcPr>
          <w:p w:rsidR="0056254E" w:rsidRPr="00441B53" w:rsidRDefault="0056254E">
            <w:pPr>
              <w:pStyle w:val="Normlny0"/>
              <w:jc w:val="center"/>
            </w:pPr>
          </w:p>
        </w:tc>
      </w:tr>
      <w:tr w:rsidR="0056254E" w:rsidRPr="00924B99" w:rsidTr="00316EFA">
        <w:trPr>
          <w:trHeight w:val="774"/>
        </w:trPr>
        <w:tc>
          <w:tcPr>
            <w:tcW w:w="682" w:type="dxa"/>
            <w:tcBorders>
              <w:top w:val="single" w:sz="4" w:space="0" w:color="auto"/>
              <w:left w:val="single" w:sz="12" w:space="0" w:color="auto"/>
              <w:bottom w:val="single" w:sz="4" w:space="0" w:color="auto"/>
              <w:right w:val="single" w:sz="4" w:space="0" w:color="auto"/>
            </w:tcBorders>
          </w:tcPr>
          <w:p w:rsidR="0056254E" w:rsidRPr="00441B53" w:rsidRDefault="00772CF5" w:rsidP="0056254E">
            <w:pPr>
              <w:autoSpaceDE w:val="0"/>
              <w:autoSpaceDN w:val="0"/>
              <w:spacing w:before="0" w:beforeAutospacing="0" w:after="0" w:afterAutospacing="0"/>
              <w:jc w:val="center"/>
              <w:rPr>
                <w:sz w:val="20"/>
                <w:szCs w:val="20"/>
              </w:rPr>
            </w:pPr>
            <w:r w:rsidRPr="00441B53">
              <w:rPr>
                <w:sz w:val="20"/>
                <w:szCs w:val="20"/>
              </w:rPr>
              <w:lastRenderedPageBreak/>
              <w:t>Čl. 1, bod 4</w:t>
            </w:r>
          </w:p>
        </w:tc>
        <w:tc>
          <w:tcPr>
            <w:tcW w:w="5812" w:type="dxa"/>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5726"/>
            </w:tblGrid>
            <w:tr w:rsidR="00CE476E" w:rsidRPr="00441B53" w:rsidTr="00772CF5">
              <w:tc>
                <w:tcPr>
                  <w:tcW w:w="5726" w:type="dxa"/>
                  <w:shd w:val="clear" w:color="auto" w:fill="FFFFFF"/>
                  <w:hideMark/>
                </w:tcPr>
                <w:p w:rsidR="00772CF5" w:rsidRPr="00441B53" w:rsidRDefault="00772CF5" w:rsidP="00772CF5">
                  <w:pPr>
                    <w:spacing w:before="0" w:beforeAutospacing="0" w:after="0" w:afterAutospacing="0"/>
                    <w:jc w:val="both"/>
                    <w:rPr>
                      <w:sz w:val="20"/>
                      <w:szCs w:val="20"/>
                    </w:rPr>
                  </w:pPr>
                  <w:r w:rsidRPr="00441B53">
                    <w:rPr>
                      <w:sz w:val="20"/>
                      <w:szCs w:val="20"/>
                    </w:rPr>
                    <w:t>4. Vkladá sa tento článok:</w:t>
                  </w:r>
                </w:p>
                <w:p w:rsidR="00772CF5" w:rsidRPr="00441B53" w:rsidRDefault="00772CF5" w:rsidP="00772CF5">
                  <w:pPr>
                    <w:spacing w:before="0" w:beforeAutospacing="0" w:after="0" w:afterAutospacing="0"/>
                    <w:jc w:val="center"/>
                    <w:rPr>
                      <w:i/>
                      <w:iCs/>
                      <w:sz w:val="20"/>
                      <w:szCs w:val="20"/>
                    </w:rPr>
                  </w:pPr>
                  <w:r w:rsidRPr="00441B53">
                    <w:rPr>
                      <w:i/>
                      <w:iCs/>
                      <w:sz w:val="20"/>
                      <w:szCs w:val="20"/>
                    </w:rPr>
                    <w:t>„Článok 9a</w:t>
                  </w:r>
                </w:p>
                <w:p w:rsidR="00772CF5" w:rsidRPr="00441B53" w:rsidRDefault="00772CF5" w:rsidP="00772CF5">
                  <w:pPr>
                    <w:spacing w:before="0" w:beforeAutospacing="0" w:after="0" w:afterAutospacing="0"/>
                    <w:jc w:val="both"/>
                    <w:rPr>
                      <w:sz w:val="20"/>
                      <w:szCs w:val="20"/>
                    </w:rPr>
                  </w:pPr>
                  <w:r w:rsidRPr="00441B53">
                    <w:rPr>
                      <w:sz w:val="20"/>
                      <w:szCs w:val="20"/>
                    </w:rPr>
                    <w:t>1.   Členské štáty môžu uplatňovať znížené sadzby spotrebnej dane na víno vyrábané nezávislými malými výrobcami vína v rámci nasledujúcich limitov:</w:t>
                  </w:r>
                </w:p>
                <w:tbl>
                  <w:tblPr>
                    <w:tblW w:w="5000" w:type="pct"/>
                    <w:tblLayout w:type="fixed"/>
                    <w:tblCellMar>
                      <w:left w:w="0" w:type="dxa"/>
                      <w:right w:w="0" w:type="dxa"/>
                    </w:tblCellMar>
                    <w:tblLook w:val="04A0" w:firstRow="1" w:lastRow="0" w:firstColumn="1" w:lastColumn="0" w:noHBand="0" w:noVBand="1"/>
                  </w:tblPr>
                  <w:tblGrid>
                    <w:gridCol w:w="154"/>
                    <w:gridCol w:w="5572"/>
                  </w:tblGrid>
                  <w:tr w:rsidR="00CE476E" w:rsidRPr="00441B53" w:rsidTr="00772CF5">
                    <w:tc>
                      <w:tcPr>
                        <w:tcW w:w="240" w:type="dxa"/>
                        <w:hideMark/>
                      </w:tcPr>
                      <w:p w:rsidR="00772CF5" w:rsidRPr="00441B53" w:rsidRDefault="00772CF5" w:rsidP="00772CF5">
                        <w:pPr>
                          <w:spacing w:before="0" w:beforeAutospacing="0" w:after="0" w:afterAutospacing="0"/>
                          <w:jc w:val="both"/>
                          <w:rPr>
                            <w:sz w:val="20"/>
                            <w:szCs w:val="20"/>
                          </w:rPr>
                        </w:pPr>
                        <w:r w:rsidRPr="00441B53">
                          <w:rPr>
                            <w:sz w:val="20"/>
                            <w:szCs w:val="20"/>
                          </w:rPr>
                          <w:t>—</w:t>
                        </w:r>
                      </w:p>
                    </w:tc>
                    <w:tc>
                      <w:tcPr>
                        <w:tcW w:w="9166" w:type="dxa"/>
                        <w:hideMark/>
                      </w:tcPr>
                      <w:p w:rsidR="00772CF5" w:rsidRPr="00441B53" w:rsidRDefault="00772CF5" w:rsidP="00772CF5">
                        <w:pPr>
                          <w:spacing w:before="0" w:beforeAutospacing="0" w:after="0" w:afterAutospacing="0"/>
                          <w:jc w:val="both"/>
                          <w:rPr>
                            <w:sz w:val="20"/>
                            <w:szCs w:val="20"/>
                          </w:rPr>
                        </w:pPr>
                        <w:r w:rsidRPr="00441B53">
                          <w:rPr>
                            <w:sz w:val="20"/>
                            <w:szCs w:val="20"/>
                          </w:rPr>
                          <w:t>znížené sadzby spotrebnej dane sa neuplatňujú na podniky vyrábajúce v priemere viac ako 1 000 hl alebo, v prípade Maltskej republiky, v priemere viac ako 20 000 hl vína ročne,</w:t>
                        </w:r>
                      </w:p>
                    </w:tc>
                  </w:tr>
                </w:tbl>
                <w:p w:rsidR="00772CF5" w:rsidRPr="00441B53" w:rsidRDefault="00772CF5" w:rsidP="00772CF5">
                  <w:pPr>
                    <w:spacing w:before="0" w:beforeAutospacing="0" w:after="0" w:afterAutospacing="0"/>
                    <w:rPr>
                      <w:vanish/>
                      <w:sz w:val="20"/>
                      <w:szCs w:val="20"/>
                    </w:rPr>
                  </w:pPr>
                </w:p>
                <w:tbl>
                  <w:tblPr>
                    <w:tblW w:w="5000" w:type="pct"/>
                    <w:tblLayout w:type="fixed"/>
                    <w:tblCellMar>
                      <w:left w:w="0" w:type="dxa"/>
                      <w:right w:w="0" w:type="dxa"/>
                    </w:tblCellMar>
                    <w:tblLook w:val="04A0" w:firstRow="1" w:lastRow="0" w:firstColumn="1" w:lastColumn="0" w:noHBand="0" w:noVBand="1"/>
                  </w:tblPr>
                  <w:tblGrid>
                    <w:gridCol w:w="154"/>
                    <w:gridCol w:w="5572"/>
                  </w:tblGrid>
                  <w:tr w:rsidR="00CE476E" w:rsidRPr="00441B53" w:rsidTr="00772CF5">
                    <w:tc>
                      <w:tcPr>
                        <w:tcW w:w="240" w:type="dxa"/>
                        <w:hideMark/>
                      </w:tcPr>
                      <w:p w:rsidR="00772CF5" w:rsidRPr="00441B53" w:rsidRDefault="00772CF5" w:rsidP="00772CF5">
                        <w:pPr>
                          <w:spacing w:before="0" w:beforeAutospacing="0" w:after="0" w:afterAutospacing="0"/>
                          <w:jc w:val="both"/>
                          <w:rPr>
                            <w:sz w:val="20"/>
                            <w:szCs w:val="20"/>
                          </w:rPr>
                        </w:pPr>
                        <w:r w:rsidRPr="00441B53">
                          <w:rPr>
                            <w:sz w:val="20"/>
                            <w:szCs w:val="20"/>
                          </w:rPr>
                          <w:t>—</w:t>
                        </w:r>
                      </w:p>
                    </w:tc>
                    <w:tc>
                      <w:tcPr>
                        <w:tcW w:w="9166" w:type="dxa"/>
                        <w:hideMark/>
                      </w:tcPr>
                      <w:p w:rsidR="00772CF5" w:rsidRPr="00441B53" w:rsidRDefault="00772CF5" w:rsidP="00772CF5">
                        <w:pPr>
                          <w:spacing w:before="0" w:beforeAutospacing="0" w:after="0" w:afterAutospacing="0"/>
                          <w:jc w:val="both"/>
                          <w:rPr>
                            <w:sz w:val="20"/>
                            <w:szCs w:val="20"/>
                          </w:rPr>
                        </w:pPr>
                        <w:r w:rsidRPr="00441B53">
                          <w:rPr>
                            <w:sz w:val="20"/>
                            <w:szCs w:val="20"/>
                          </w:rPr>
                          <w:t>znížené sadzby spotrebnej dane nesmú byť o viac ako 50 % nižšie ako štandardná národná sadzba spotrebnej dane.</w:t>
                        </w:r>
                      </w:p>
                    </w:tc>
                  </w:tr>
                </w:tbl>
                <w:p w:rsidR="00772CF5" w:rsidRPr="00441B53" w:rsidRDefault="00772CF5" w:rsidP="00772CF5">
                  <w:pPr>
                    <w:spacing w:before="0" w:beforeAutospacing="0" w:after="0" w:afterAutospacing="0"/>
                    <w:jc w:val="both"/>
                    <w:rPr>
                      <w:sz w:val="20"/>
                      <w:szCs w:val="20"/>
                    </w:rPr>
                  </w:pPr>
                  <w:r w:rsidRPr="00441B53">
                    <w:rPr>
                      <w:sz w:val="20"/>
                      <w:szCs w:val="20"/>
                    </w:rPr>
                    <w:t>2.   Na účely znížených sadzieb spotrebnej dane sa pojmom „nezávislý malý výrobca vína“ označuje výrobca vína, ktorý je právne a hospodársky nezávislý od akéhokoľvek iného výrobcu vína, ktorý využíva priestory a budovy fyzicky sa nachádzajúce mimo priestorov a budov akéhokoľvek iného výrobcu vína a ktorý nevykonáva činnosť na základe licencie. Ak však spolupracujú dvaja alebo viacerí malí výrobcovia vína a ich celková spoločná ročná produkcia neprekračuje 1 000 hl, prípadne 20 000 hl, môžu sa títo výrobcovia vína považovať za jedného nezávislého malého výrobcu.</w:t>
                  </w:r>
                </w:p>
                <w:p w:rsidR="00772CF5" w:rsidRPr="00441B53" w:rsidRDefault="00772CF5" w:rsidP="00772CF5">
                  <w:pPr>
                    <w:spacing w:before="0" w:beforeAutospacing="0" w:after="0" w:afterAutospacing="0"/>
                    <w:jc w:val="both"/>
                    <w:rPr>
                      <w:sz w:val="20"/>
                      <w:szCs w:val="20"/>
                    </w:rPr>
                  </w:pPr>
                  <w:r w:rsidRPr="00441B53">
                    <w:rPr>
                      <w:sz w:val="20"/>
                      <w:szCs w:val="20"/>
                    </w:rPr>
                    <w:t>3.   Členské štáty zabezpečia, aby sa akékoľvek zavedené znížené sadzby spotrebnej dane uplatňovali rovnako aj na víno dodávané na ich územie od nezávislých malých výrobcov vína situovaných v iných členských štátoch. Predovšetkým musia zabezpečiť, aby žiadna individuálna dodávka z iného členského štátu nebola zaťažená vyššou daňou v porovnaní s ich zodpovedajúcim národným ekvivalentom.“</w:t>
                  </w:r>
                </w:p>
              </w:tc>
            </w:tr>
          </w:tbl>
          <w:p w:rsidR="0056254E" w:rsidRPr="00441B53" w:rsidRDefault="0056254E" w:rsidP="0056254E">
            <w:pPr>
              <w:pStyle w:val="Normlny0"/>
            </w:pPr>
          </w:p>
        </w:tc>
        <w:tc>
          <w:tcPr>
            <w:tcW w:w="1245" w:type="dxa"/>
            <w:tcBorders>
              <w:top w:val="single" w:sz="4" w:space="0" w:color="auto"/>
              <w:left w:val="single" w:sz="4" w:space="0" w:color="auto"/>
              <w:bottom w:val="single" w:sz="4" w:space="0" w:color="auto"/>
              <w:right w:val="single" w:sz="12" w:space="0" w:color="auto"/>
            </w:tcBorders>
          </w:tcPr>
          <w:p w:rsidR="0056254E" w:rsidRPr="00441B53" w:rsidRDefault="00772CF5">
            <w:pPr>
              <w:pStyle w:val="Normlny0"/>
              <w:jc w:val="center"/>
            </w:pPr>
            <w:r w:rsidRPr="00441B53">
              <w:t>D</w:t>
            </w:r>
          </w:p>
        </w:tc>
        <w:tc>
          <w:tcPr>
            <w:tcW w:w="846" w:type="dxa"/>
            <w:tcBorders>
              <w:top w:val="single" w:sz="4" w:space="0" w:color="auto"/>
              <w:left w:val="nil"/>
              <w:bottom w:val="single" w:sz="4" w:space="0" w:color="auto"/>
              <w:right w:val="single" w:sz="4" w:space="0" w:color="auto"/>
            </w:tcBorders>
          </w:tcPr>
          <w:p w:rsidR="0056254E" w:rsidRPr="00441B53" w:rsidRDefault="0056254E">
            <w:pPr>
              <w:pStyle w:val="Normlny0"/>
              <w:jc w:val="center"/>
            </w:pPr>
          </w:p>
        </w:tc>
        <w:tc>
          <w:tcPr>
            <w:tcW w:w="886" w:type="dxa"/>
            <w:tcBorders>
              <w:top w:val="single" w:sz="4" w:space="0" w:color="auto"/>
              <w:left w:val="single" w:sz="4" w:space="0" w:color="auto"/>
              <w:bottom w:val="single" w:sz="4" w:space="0" w:color="auto"/>
              <w:right w:val="single" w:sz="4" w:space="0" w:color="auto"/>
            </w:tcBorders>
          </w:tcPr>
          <w:p w:rsidR="0056254E" w:rsidRPr="00441B53" w:rsidRDefault="0056254E">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56254E" w:rsidRPr="00441B53" w:rsidRDefault="0056254E">
            <w:pPr>
              <w:pStyle w:val="Normlny0"/>
              <w:jc w:val="center"/>
            </w:pPr>
          </w:p>
        </w:tc>
        <w:tc>
          <w:tcPr>
            <w:tcW w:w="423" w:type="dxa"/>
            <w:tcBorders>
              <w:top w:val="single" w:sz="4" w:space="0" w:color="auto"/>
              <w:left w:val="single" w:sz="4" w:space="0" w:color="auto"/>
              <w:bottom w:val="single" w:sz="4" w:space="0" w:color="auto"/>
              <w:right w:val="single" w:sz="4" w:space="0" w:color="auto"/>
            </w:tcBorders>
          </w:tcPr>
          <w:p w:rsidR="0056254E" w:rsidRPr="00924B99" w:rsidRDefault="00772CF5">
            <w:pPr>
              <w:pStyle w:val="Normlny0"/>
              <w:jc w:val="center"/>
            </w:pPr>
            <w:r w:rsidRPr="00441B53">
              <w:t>n.a.</w:t>
            </w:r>
          </w:p>
        </w:tc>
        <w:tc>
          <w:tcPr>
            <w:tcW w:w="633" w:type="dxa"/>
            <w:tcBorders>
              <w:top w:val="single" w:sz="4" w:space="0" w:color="auto"/>
              <w:left w:val="single" w:sz="4" w:space="0" w:color="auto"/>
              <w:bottom w:val="single" w:sz="4" w:space="0" w:color="auto"/>
              <w:right w:val="single" w:sz="12" w:space="0" w:color="auto"/>
            </w:tcBorders>
          </w:tcPr>
          <w:p w:rsidR="0056254E" w:rsidRPr="00924B99" w:rsidRDefault="0056254E">
            <w:pPr>
              <w:pStyle w:val="Normlny0"/>
              <w:jc w:val="center"/>
            </w:pPr>
          </w:p>
        </w:tc>
      </w:tr>
      <w:tr w:rsidR="0056254E" w:rsidRPr="00924B99" w:rsidTr="00316EFA">
        <w:trPr>
          <w:trHeight w:val="774"/>
        </w:trPr>
        <w:tc>
          <w:tcPr>
            <w:tcW w:w="682" w:type="dxa"/>
            <w:tcBorders>
              <w:top w:val="single" w:sz="4" w:space="0" w:color="auto"/>
              <w:left w:val="single" w:sz="12" w:space="0" w:color="auto"/>
              <w:bottom w:val="single" w:sz="4" w:space="0" w:color="auto"/>
              <w:right w:val="single" w:sz="4" w:space="0" w:color="auto"/>
            </w:tcBorders>
          </w:tcPr>
          <w:p w:rsidR="0056254E" w:rsidRPr="00441B53" w:rsidRDefault="0056254E" w:rsidP="0056254E">
            <w:pPr>
              <w:autoSpaceDE w:val="0"/>
              <w:autoSpaceDN w:val="0"/>
              <w:spacing w:before="0" w:beforeAutospacing="0" w:after="0" w:afterAutospacing="0"/>
              <w:jc w:val="center"/>
              <w:rPr>
                <w:sz w:val="20"/>
                <w:szCs w:val="20"/>
              </w:rPr>
            </w:pPr>
            <w:r w:rsidRPr="00441B53">
              <w:rPr>
                <w:sz w:val="20"/>
                <w:szCs w:val="20"/>
              </w:rPr>
              <w:t xml:space="preserve">Čl. 1, bod </w:t>
            </w:r>
            <w:r w:rsidR="00CE476E" w:rsidRPr="00441B53">
              <w:rPr>
                <w:sz w:val="20"/>
                <w:szCs w:val="20"/>
              </w:rPr>
              <w:t>5</w:t>
            </w:r>
          </w:p>
          <w:p w:rsidR="0056254E" w:rsidRPr="00441B53" w:rsidRDefault="0056254E">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772CF5" w:rsidRPr="00441B53" w:rsidRDefault="0056254E" w:rsidP="00772CF5">
            <w:pPr>
              <w:pStyle w:val="oj-normal"/>
              <w:shd w:val="clear" w:color="auto" w:fill="FFFFFF"/>
              <w:spacing w:before="0" w:beforeAutospacing="0" w:after="0" w:afterAutospacing="0"/>
              <w:jc w:val="both"/>
              <w:rPr>
                <w:sz w:val="20"/>
                <w:szCs w:val="20"/>
              </w:rPr>
            </w:pPr>
            <w:r w:rsidRPr="00441B53">
              <w:rPr>
                <w:sz w:val="20"/>
                <w:szCs w:val="20"/>
              </w:rPr>
              <w:t>5.</w:t>
            </w:r>
            <w:r w:rsidR="00772CF5" w:rsidRPr="00441B53">
              <w:rPr>
                <w:sz w:val="20"/>
                <w:szCs w:val="20"/>
              </w:rPr>
              <w:t xml:space="preserve"> V článku 12 ods. 2 sa úvodná veta nahrádza takto:</w:t>
            </w:r>
          </w:p>
          <w:tbl>
            <w:tblPr>
              <w:tblW w:w="5000" w:type="pct"/>
              <w:tblLayout w:type="fixed"/>
              <w:tblCellMar>
                <w:left w:w="0" w:type="dxa"/>
                <w:right w:w="0" w:type="dxa"/>
              </w:tblCellMar>
              <w:tblLook w:val="04A0" w:firstRow="1" w:lastRow="0" w:firstColumn="1" w:lastColumn="0" w:noHBand="0" w:noVBand="1"/>
            </w:tblPr>
            <w:tblGrid>
              <w:gridCol w:w="241"/>
              <w:gridCol w:w="5485"/>
            </w:tblGrid>
            <w:tr w:rsidR="00CE476E" w:rsidRPr="00441B53" w:rsidTr="00772CF5">
              <w:tc>
                <w:tcPr>
                  <w:tcW w:w="241" w:type="dxa"/>
                  <w:shd w:val="clear" w:color="auto" w:fill="FFFFFF"/>
                  <w:hideMark/>
                </w:tcPr>
                <w:p w:rsidR="00772CF5" w:rsidRPr="00441B53" w:rsidRDefault="00772CF5" w:rsidP="00772CF5">
                  <w:pPr>
                    <w:spacing w:before="0" w:beforeAutospacing="0" w:after="0" w:afterAutospacing="0"/>
                    <w:jc w:val="both"/>
                    <w:rPr>
                      <w:sz w:val="20"/>
                      <w:szCs w:val="20"/>
                    </w:rPr>
                  </w:pPr>
                  <w:r w:rsidRPr="00441B53">
                    <w:rPr>
                      <w:sz w:val="20"/>
                      <w:szCs w:val="20"/>
                    </w:rPr>
                    <w:t>„2.</w:t>
                  </w:r>
                </w:p>
              </w:tc>
              <w:tc>
                <w:tcPr>
                  <w:tcW w:w="5485" w:type="dxa"/>
                  <w:shd w:val="clear" w:color="auto" w:fill="FFFFFF"/>
                  <w:hideMark/>
                </w:tcPr>
                <w:p w:rsidR="00772CF5" w:rsidRPr="00441B53" w:rsidRDefault="00772CF5" w:rsidP="00772CF5">
                  <w:pPr>
                    <w:spacing w:before="0" w:beforeAutospacing="0" w:after="0" w:afterAutospacing="0"/>
                    <w:jc w:val="both"/>
                    <w:rPr>
                      <w:sz w:val="20"/>
                      <w:szCs w:val="20"/>
                    </w:rPr>
                  </w:pPr>
                  <w:r w:rsidRPr="00441B53">
                    <w:rPr>
                      <w:sz w:val="20"/>
                      <w:szCs w:val="20"/>
                    </w:rPr>
                    <w:t>Pojem „ostatné šumivé kvasené nápoje“ predstavuje všetky produkty spadajúce pod KN kód 2206 00 31 a 2206 00 39, ako aj produkty spadajúce pod KN kód 2204 10, 2204 21 06, 2204 21 07, 2204 21 08, 2204 21 09, 2204 29 10 a 2205 neuvedené v článku 8, ktoré:“</w:t>
                  </w:r>
                </w:p>
              </w:tc>
            </w:tr>
          </w:tbl>
          <w:p w:rsidR="0056254E" w:rsidRPr="00441B53" w:rsidRDefault="0056254E" w:rsidP="0056254E">
            <w:pPr>
              <w:pStyle w:val="Normlny0"/>
            </w:pPr>
          </w:p>
        </w:tc>
        <w:tc>
          <w:tcPr>
            <w:tcW w:w="1245" w:type="dxa"/>
            <w:tcBorders>
              <w:top w:val="single" w:sz="4" w:space="0" w:color="auto"/>
              <w:left w:val="single" w:sz="4" w:space="0" w:color="auto"/>
              <w:bottom w:val="single" w:sz="4" w:space="0" w:color="auto"/>
              <w:right w:val="single" w:sz="12" w:space="0" w:color="auto"/>
            </w:tcBorders>
          </w:tcPr>
          <w:p w:rsidR="0056254E" w:rsidRPr="00441B53" w:rsidRDefault="00772CF5">
            <w:pPr>
              <w:pStyle w:val="Normlny0"/>
              <w:jc w:val="center"/>
            </w:pPr>
            <w:r w:rsidRPr="00441B53">
              <w:t xml:space="preserve">N </w:t>
            </w:r>
          </w:p>
        </w:tc>
        <w:tc>
          <w:tcPr>
            <w:tcW w:w="846" w:type="dxa"/>
            <w:tcBorders>
              <w:top w:val="single" w:sz="4" w:space="0" w:color="auto"/>
              <w:left w:val="nil"/>
              <w:bottom w:val="single" w:sz="4" w:space="0" w:color="auto"/>
              <w:right w:val="single" w:sz="4" w:space="0" w:color="auto"/>
            </w:tcBorders>
          </w:tcPr>
          <w:p w:rsidR="0056254E" w:rsidRPr="00441B53" w:rsidRDefault="00772CF5">
            <w:pPr>
              <w:pStyle w:val="Normlny0"/>
              <w:jc w:val="center"/>
            </w:pPr>
            <w:r w:rsidRPr="00441B53">
              <w:t>530/2011</w:t>
            </w:r>
          </w:p>
        </w:tc>
        <w:tc>
          <w:tcPr>
            <w:tcW w:w="886" w:type="dxa"/>
            <w:tcBorders>
              <w:top w:val="single" w:sz="4" w:space="0" w:color="auto"/>
              <w:left w:val="single" w:sz="4" w:space="0" w:color="auto"/>
              <w:bottom w:val="single" w:sz="4" w:space="0" w:color="auto"/>
              <w:right w:val="single" w:sz="4" w:space="0" w:color="auto"/>
            </w:tcBorders>
          </w:tcPr>
          <w:p w:rsidR="00772CF5" w:rsidRPr="00441B53" w:rsidRDefault="00772CF5" w:rsidP="00772CF5">
            <w:pPr>
              <w:pStyle w:val="Normlny0"/>
              <w:jc w:val="center"/>
            </w:pPr>
            <w:r w:rsidRPr="00441B53">
              <w:t xml:space="preserve">§ 4 ods.3 </w:t>
            </w:r>
          </w:p>
          <w:p w:rsidR="00772CF5" w:rsidRPr="00441B53" w:rsidRDefault="00772CF5" w:rsidP="00772CF5">
            <w:pPr>
              <w:pStyle w:val="Normlny0"/>
              <w:jc w:val="center"/>
            </w:pPr>
          </w:p>
          <w:p w:rsidR="00772CF5" w:rsidRPr="00441B53" w:rsidRDefault="00772CF5" w:rsidP="00772CF5">
            <w:pPr>
              <w:pStyle w:val="Normlny0"/>
              <w:jc w:val="center"/>
            </w:pPr>
          </w:p>
          <w:p w:rsidR="0056254E" w:rsidRPr="00441B53" w:rsidRDefault="00772CF5" w:rsidP="00772CF5">
            <w:pPr>
              <w:pStyle w:val="Normlny0"/>
              <w:jc w:val="center"/>
            </w:pPr>
            <w:r w:rsidRPr="00441B53">
              <w:t>písm.d)</w:t>
            </w:r>
          </w:p>
        </w:tc>
        <w:tc>
          <w:tcPr>
            <w:tcW w:w="5609" w:type="dxa"/>
            <w:tcBorders>
              <w:top w:val="single" w:sz="4" w:space="0" w:color="auto"/>
              <w:left w:val="single" w:sz="4" w:space="0" w:color="auto"/>
              <w:bottom w:val="single" w:sz="4" w:space="0" w:color="auto"/>
              <w:right w:val="single" w:sz="4" w:space="0" w:color="auto"/>
            </w:tcBorders>
          </w:tcPr>
          <w:p w:rsidR="00772CF5" w:rsidRPr="00441B53" w:rsidRDefault="00772CF5" w:rsidP="00772CF5">
            <w:pPr>
              <w:pStyle w:val="Normlny0"/>
              <w:jc w:val="both"/>
              <w:rPr>
                <w:shd w:val="clear" w:color="auto" w:fill="FFFFFF"/>
              </w:rPr>
            </w:pPr>
            <w:r w:rsidRPr="00441B53">
              <w:rPr>
                <w:shd w:val="clear" w:color="auto" w:fill="FFFFFF"/>
              </w:rPr>
              <w:t>Alkoholickým nápojom, ktorým je víno, sa na účely tohto zákona rozumie tiché víno, šumivé víno, tichý fermentovaný nápoj a šumivý fermentovaný nápoj, a to</w:t>
            </w:r>
          </w:p>
          <w:p w:rsidR="00772CF5" w:rsidRPr="00441B53" w:rsidRDefault="00772CF5" w:rsidP="00772CF5">
            <w:pPr>
              <w:shd w:val="clear" w:color="auto" w:fill="FFFFFF"/>
              <w:spacing w:before="75" w:beforeAutospacing="0" w:after="0" w:afterAutospacing="0"/>
              <w:jc w:val="both"/>
              <w:rPr>
                <w:sz w:val="20"/>
                <w:szCs w:val="20"/>
              </w:rPr>
            </w:pPr>
            <w:r w:rsidRPr="00441B53">
              <w:rPr>
                <w:sz w:val="20"/>
                <w:szCs w:val="20"/>
              </w:rPr>
              <w:t>šumivým fermentovaným nápojom tovar naplnený vo fľašiach uzavretých zátkou hríbikovitého tvaru upevnenou pomocou pridržiavacieho zariadenia alebo tovar, ktorého pretlak spôsobený uvoľneným oxidom uhličitým sú 3 bary alebo viac, ktorý sa zatrieďuje do položiek kódu kombinovanej nomenklatúry</w:t>
            </w:r>
          </w:p>
          <w:p w:rsidR="00772CF5" w:rsidRPr="00441B53" w:rsidRDefault="00772CF5" w:rsidP="00772CF5">
            <w:pPr>
              <w:numPr>
                <w:ilvl w:val="0"/>
                <w:numId w:val="25"/>
              </w:numPr>
              <w:shd w:val="clear" w:color="auto" w:fill="FFFFFF"/>
              <w:tabs>
                <w:tab w:val="left" w:pos="240"/>
              </w:tabs>
              <w:spacing w:before="75" w:beforeAutospacing="0" w:after="0" w:afterAutospacing="0"/>
              <w:ind w:left="98" w:hanging="142"/>
              <w:jc w:val="both"/>
              <w:rPr>
                <w:sz w:val="20"/>
                <w:szCs w:val="20"/>
              </w:rPr>
            </w:pPr>
            <w:r w:rsidRPr="00441B53">
              <w:rPr>
                <w:sz w:val="20"/>
                <w:szCs w:val="20"/>
              </w:rPr>
              <w:t>2204 10, 2204 21 06, 2204 21 07, 2204 21 08, 2204 21 09, 2204 29 10 a 2205 neuvedený v písmene b), ako aj 2206 00 31 a 2206 00 39 so skutočným obsahom alkoholu viac ako 1,2 % objemu a najviac 13 % objemu,</w:t>
            </w:r>
          </w:p>
          <w:p w:rsidR="00772CF5" w:rsidRPr="00441B53" w:rsidRDefault="00772CF5" w:rsidP="00772CF5">
            <w:pPr>
              <w:shd w:val="clear" w:color="auto" w:fill="FFFFFF"/>
              <w:spacing w:before="75" w:beforeAutospacing="0" w:after="0" w:afterAutospacing="0"/>
              <w:jc w:val="both"/>
              <w:rPr>
                <w:sz w:val="20"/>
                <w:szCs w:val="20"/>
              </w:rPr>
            </w:pPr>
            <w:r w:rsidRPr="00441B53">
              <w:rPr>
                <w:sz w:val="20"/>
                <w:szCs w:val="20"/>
              </w:rPr>
              <w:t>2. 2206 00 31 a 2206 00 39 so skutočným obsahom alkoholu viac ako 13 % objemu a najviac 15 % objemu, ak alkohol obsiahnutý v hotovom výrobku vznikol výlučne kvasením.</w:t>
            </w:r>
          </w:p>
          <w:p w:rsidR="0056254E" w:rsidRPr="00441B53" w:rsidRDefault="0056254E" w:rsidP="00772CF5">
            <w:pPr>
              <w:pStyle w:val="Normlny0"/>
            </w:pPr>
          </w:p>
        </w:tc>
        <w:tc>
          <w:tcPr>
            <w:tcW w:w="423" w:type="dxa"/>
            <w:tcBorders>
              <w:top w:val="single" w:sz="4" w:space="0" w:color="auto"/>
              <w:left w:val="single" w:sz="4" w:space="0" w:color="auto"/>
              <w:bottom w:val="single" w:sz="4" w:space="0" w:color="auto"/>
              <w:right w:val="single" w:sz="4" w:space="0" w:color="auto"/>
            </w:tcBorders>
          </w:tcPr>
          <w:p w:rsidR="0056254E" w:rsidRPr="00924B99" w:rsidRDefault="00772CF5">
            <w:pPr>
              <w:pStyle w:val="Normlny0"/>
              <w:jc w:val="center"/>
            </w:pPr>
            <w:r w:rsidRPr="00441B53">
              <w:t>Ú</w:t>
            </w:r>
          </w:p>
        </w:tc>
        <w:tc>
          <w:tcPr>
            <w:tcW w:w="633" w:type="dxa"/>
            <w:tcBorders>
              <w:top w:val="single" w:sz="4" w:space="0" w:color="auto"/>
              <w:left w:val="single" w:sz="4" w:space="0" w:color="auto"/>
              <w:bottom w:val="single" w:sz="4" w:space="0" w:color="auto"/>
              <w:right w:val="single" w:sz="12" w:space="0" w:color="auto"/>
            </w:tcBorders>
          </w:tcPr>
          <w:p w:rsidR="0056254E" w:rsidRPr="00924B99" w:rsidRDefault="0056254E">
            <w:pPr>
              <w:pStyle w:val="Normlny0"/>
              <w:jc w:val="center"/>
            </w:pPr>
          </w:p>
        </w:tc>
      </w:tr>
      <w:tr w:rsidR="0056254E" w:rsidRPr="00924B99" w:rsidTr="00316EFA">
        <w:trPr>
          <w:trHeight w:val="774"/>
        </w:trPr>
        <w:tc>
          <w:tcPr>
            <w:tcW w:w="682" w:type="dxa"/>
            <w:tcBorders>
              <w:top w:val="single" w:sz="4" w:space="0" w:color="auto"/>
              <w:left w:val="single" w:sz="12" w:space="0" w:color="auto"/>
              <w:bottom w:val="single" w:sz="4" w:space="0" w:color="auto"/>
              <w:right w:val="single" w:sz="4" w:space="0" w:color="auto"/>
            </w:tcBorders>
          </w:tcPr>
          <w:p w:rsidR="0056254E" w:rsidRPr="00441B53" w:rsidRDefault="0056254E" w:rsidP="0056254E">
            <w:pPr>
              <w:autoSpaceDE w:val="0"/>
              <w:autoSpaceDN w:val="0"/>
              <w:spacing w:before="0" w:beforeAutospacing="0" w:after="0" w:afterAutospacing="0"/>
              <w:jc w:val="center"/>
              <w:rPr>
                <w:sz w:val="20"/>
                <w:szCs w:val="20"/>
              </w:rPr>
            </w:pPr>
            <w:r w:rsidRPr="00441B53">
              <w:rPr>
                <w:sz w:val="20"/>
                <w:szCs w:val="20"/>
              </w:rPr>
              <w:lastRenderedPageBreak/>
              <w:t xml:space="preserve">Čl. </w:t>
            </w:r>
            <w:r w:rsidR="00772CF5" w:rsidRPr="00441B53">
              <w:rPr>
                <w:sz w:val="20"/>
                <w:szCs w:val="20"/>
              </w:rPr>
              <w:t>1, bod 6</w:t>
            </w:r>
          </w:p>
          <w:p w:rsidR="0056254E" w:rsidRPr="00441B53" w:rsidRDefault="0056254E">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772CF5" w:rsidRPr="00441B53" w:rsidRDefault="0056254E" w:rsidP="00772CF5">
            <w:pPr>
              <w:pStyle w:val="oj-normal"/>
              <w:shd w:val="clear" w:color="auto" w:fill="FFFFFF"/>
              <w:spacing w:before="0" w:beforeAutospacing="0" w:after="0" w:afterAutospacing="0"/>
              <w:ind w:hanging="45"/>
              <w:jc w:val="both"/>
              <w:rPr>
                <w:sz w:val="20"/>
                <w:szCs w:val="20"/>
              </w:rPr>
            </w:pPr>
            <w:r w:rsidRPr="00441B53">
              <w:rPr>
                <w:sz w:val="20"/>
                <w:szCs w:val="20"/>
              </w:rPr>
              <w:t>6.</w:t>
            </w:r>
            <w:r w:rsidR="00772CF5" w:rsidRPr="00441B53">
              <w:rPr>
                <w:sz w:val="20"/>
                <w:szCs w:val="20"/>
              </w:rPr>
              <w:t xml:space="preserve"> V článku 13 sa odsek 2 nahrádza takto:</w:t>
            </w:r>
          </w:p>
          <w:p w:rsidR="0056254E" w:rsidRPr="00441B53" w:rsidRDefault="00772CF5" w:rsidP="00CE476E">
            <w:pPr>
              <w:pStyle w:val="oj-normal"/>
              <w:shd w:val="clear" w:color="auto" w:fill="FFFFFF"/>
              <w:spacing w:before="0" w:beforeAutospacing="0" w:after="0" w:afterAutospacing="0"/>
              <w:ind w:hanging="45"/>
              <w:jc w:val="both"/>
              <w:rPr>
                <w:sz w:val="20"/>
                <w:szCs w:val="20"/>
              </w:rPr>
            </w:pPr>
            <w:r w:rsidRPr="00441B53">
              <w:rPr>
                <w:sz w:val="20"/>
                <w:szCs w:val="20"/>
              </w:rPr>
              <w:t>„2.   S výnimkou ustanovení uvedených v odseku 3 tohto článku a článku 13a musia členské štáty uplatňovať rovnakú sadzbu spotrebnej dane na všetky produkty podliehajúce dani pre ostatné nešumivé kvasené nápoje. Podobne budú uplatňovať rovnakú sadzbu spotrebnej dane na produkty podliehajúce dani pre ostatné šumivé kvasené nápoje. Môžu uplatňovať rovnakú sadzbu spotrebnej dane tak na ostatné nešumivé kvasené nápoje, ako aj na ostatné šumivé kvasené nápoje.“</w:t>
            </w:r>
          </w:p>
        </w:tc>
        <w:tc>
          <w:tcPr>
            <w:tcW w:w="1245" w:type="dxa"/>
            <w:tcBorders>
              <w:top w:val="single" w:sz="4" w:space="0" w:color="auto"/>
              <w:left w:val="single" w:sz="4" w:space="0" w:color="auto"/>
              <w:bottom w:val="single" w:sz="4" w:space="0" w:color="auto"/>
              <w:right w:val="single" w:sz="12" w:space="0" w:color="auto"/>
            </w:tcBorders>
          </w:tcPr>
          <w:p w:rsidR="0056254E" w:rsidRPr="00441B53" w:rsidRDefault="0056254E">
            <w:pPr>
              <w:pStyle w:val="Normlny0"/>
              <w:jc w:val="center"/>
            </w:pPr>
          </w:p>
          <w:p w:rsidR="00CE476E" w:rsidRPr="00441B53" w:rsidRDefault="00CE476E">
            <w:pPr>
              <w:pStyle w:val="Normlny0"/>
              <w:jc w:val="center"/>
            </w:pPr>
            <w:r w:rsidRPr="00441B53">
              <w:t>N</w:t>
            </w:r>
          </w:p>
        </w:tc>
        <w:tc>
          <w:tcPr>
            <w:tcW w:w="846" w:type="dxa"/>
            <w:tcBorders>
              <w:top w:val="single" w:sz="4" w:space="0" w:color="auto"/>
              <w:left w:val="nil"/>
              <w:bottom w:val="single" w:sz="4" w:space="0" w:color="auto"/>
              <w:right w:val="single" w:sz="4" w:space="0" w:color="auto"/>
            </w:tcBorders>
          </w:tcPr>
          <w:p w:rsidR="00CE476E" w:rsidRPr="00441B53" w:rsidRDefault="00CE476E">
            <w:pPr>
              <w:pStyle w:val="Normlny0"/>
              <w:jc w:val="center"/>
            </w:pPr>
          </w:p>
          <w:p w:rsidR="0056254E" w:rsidRPr="00441B53" w:rsidRDefault="00CE476E">
            <w:pPr>
              <w:pStyle w:val="Normlny0"/>
              <w:jc w:val="center"/>
            </w:pPr>
            <w:r w:rsidRPr="00441B53">
              <w:t>530/2011</w:t>
            </w:r>
          </w:p>
        </w:tc>
        <w:tc>
          <w:tcPr>
            <w:tcW w:w="886" w:type="dxa"/>
            <w:tcBorders>
              <w:top w:val="single" w:sz="4" w:space="0" w:color="auto"/>
              <w:left w:val="single" w:sz="4" w:space="0" w:color="auto"/>
              <w:bottom w:val="single" w:sz="4" w:space="0" w:color="auto"/>
              <w:right w:val="single" w:sz="4" w:space="0" w:color="auto"/>
            </w:tcBorders>
          </w:tcPr>
          <w:p w:rsidR="00CE476E" w:rsidRPr="00441B53" w:rsidRDefault="00CE476E">
            <w:pPr>
              <w:pStyle w:val="Normlny0"/>
              <w:jc w:val="center"/>
            </w:pPr>
          </w:p>
          <w:p w:rsidR="0056254E" w:rsidRPr="00441B53" w:rsidRDefault="00CE476E">
            <w:pPr>
              <w:pStyle w:val="Normlny0"/>
              <w:jc w:val="center"/>
            </w:pPr>
            <w:r w:rsidRPr="00441B53">
              <w:t>§ 6 ods.4</w:t>
            </w:r>
          </w:p>
        </w:tc>
        <w:tc>
          <w:tcPr>
            <w:tcW w:w="5609" w:type="dxa"/>
            <w:tcBorders>
              <w:top w:val="single" w:sz="4" w:space="0" w:color="auto"/>
              <w:left w:val="single" w:sz="4" w:space="0" w:color="auto"/>
              <w:bottom w:val="single" w:sz="4" w:space="0" w:color="auto"/>
              <w:right w:val="single" w:sz="4" w:space="0" w:color="auto"/>
            </w:tcBorders>
          </w:tcPr>
          <w:p w:rsidR="00CE476E" w:rsidRPr="00441B53" w:rsidRDefault="00CE476E" w:rsidP="00CE476E">
            <w:pPr>
              <w:shd w:val="clear" w:color="auto" w:fill="FFFFFF"/>
              <w:spacing w:before="0" w:beforeAutospacing="0" w:after="0" w:afterAutospacing="0"/>
              <w:jc w:val="both"/>
              <w:rPr>
                <w:sz w:val="20"/>
                <w:szCs w:val="20"/>
              </w:rPr>
            </w:pP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Sadzba dane z alkoholického nápoja, ktorým je víno, sa ustanovuje na hl</w:t>
            </w:r>
          </w:p>
          <w:p w:rsidR="00CE476E" w:rsidRPr="00441B53" w:rsidRDefault="00CE476E" w:rsidP="00CE476E">
            <w:pPr>
              <w:numPr>
                <w:ilvl w:val="0"/>
                <w:numId w:val="26"/>
              </w:numPr>
              <w:shd w:val="clear" w:color="auto" w:fill="FFFFFF"/>
              <w:tabs>
                <w:tab w:val="left" w:pos="240"/>
              </w:tabs>
              <w:spacing w:before="0" w:beforeAutospacing="0" w:after="0" w:afterAutospacing="0"/>
              <w:ind w:left="98" w:hanging="98"/>
              <w:jc w:val="both"/>
              <w:rPr>
                <w:sz w:val="20"/>
                <w:szCs w:val="20"/>
              </w:rPr>
            </w:pPr>
            <w:r w:rsidRPr="00441B53">
              <w:rPr>
                <w:sz w:val="20"/>
                <w:szCs w:val="20"/>
              </w:rPr>
              <w:t>tichého vína a vypočíta sa ako súčin 0 % zo sadzby dane uvedenej v odseku 1 a koeficientu 0,125,</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b) šumivého vína a vypočíta sa ako súčin 59 % zo sadzby dane uvedenej v odseku 1 a koeficientu 0,125,</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c)šumivého vína s obsahom alkoholu nie viac ako 8,5 % objemu a vypočíta sa ako súčin 59 % zo sadzby dane uvedenej v odseku 1 a koeficientu 0,085,</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d)tichého fermentovaného nápoja a vypočíta sa ako súčin 0 % zo sadzby dane uvedenej v odseku 1 a koeficientu 0,125,</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e)šumivého fermentovaného nápoja a vypočíta sa ako súčin 59 % zo sadzby dane uvedenej v odseku 1 a koeficientu 0,125.</w:t>
            </w:r>
          </w:p>
          <w:p w:rsidR="0056254E" w:rsidRPr="00441B53" w:rsidRDefault="0056254E" w:rsidP="00CE476E">
            <w:pPr>
              <w:pStyle w:val="Normlny0"/>
            </w:pPr>
          </w:p>
        </w:tc>
        <w:tc>
          <w:tcPr>
            <w:tcW w:w="423" w:type="dxa"/>
            <w:tcBorders>
              <w:top w:val="single" w:sz="4" w:space="0" w:color="auto"/>
              <w:left w:val="single" w:sz="4" w:space="0" w:color="auto"/>
              <w:bottom w:val="single" w:sz="4" w:space="0" w:color="auto"/>
              <w:right w:val="single" w:sz="4" w:space="0" w:color="auto"/>
            </w:tcBorders>
          </w:tcPr>
          <w:p w:rsidR="0056254E" w:rsidRPr="00441B53" w:rsidRDefault="0056254E">
            <w:pPr>
              <w:pStyle w:val="Normlny0"/>
              <w:jc w:val="center"/>
            </w:pPr>
          </w:p>
          <w:p w:rsidR="00CE476E" w:rsidRPr="00441B53" w:rsidRDefault="00CE476E">
            <w:pPr>
              <w:pStyle w:val="Normlny0"/>
              <w:jc w:val="center"/>
            </w:pPr>
            <w:r w:rsidRPr="00441B53">
              <w:t>Ú</w:t>
            </w:r>
          </w:p>
        </w:tc>
        <w:tc>
          <w:tcPr>
            <w:tcW w:w="633" w:type="dxa"/>
            <w:tcBorders>
              <w:top w:val="single" w:sz="4" w:space="0" w:color="auto"/>
              <w:left w:val="single" w:sz="4" w:space="0" w:color="auto"/>
              <w:bottom w:val="single" w:sz="4" w:space="0" w:color="auto"/>
              <w:right w:val="single" w:sz="12" w:space="0" w:color="auto"/>
            </w:tcBorders>
          </w:tcPr>
          <w:p w:rsidR="0056254E" w:rsidRPr="00441B53" w:rsidRDefault="0056254E">
            <w:pPr>
              <w:pStyle w:val="Normlny0"/>
              <w:jc w:val="center"/>
            </w:pPr>
          </w:p>
        </w:tc>
      </w:tr>
      <w:tr w:rsidR="00CE476E" w:rsidRPr="00924B99" w:rsidTr="00316EFA">
        <w:trPr>
          <w:trHeight w:val="774"/>
        </w:trPr>
        <w:tc>
          <w:tcPr>
            <w:tcW w:w="682" w:type="dxa"/>
            <w:tcBorders>
              <w:top w:val="single" w:sz="4" w:space="0" w:color="auto"/>
              <w:left w:val="single" w:sz="12" w:space="0" w:color="auto"/>
              <w:bottom w:val="single" w:sz="4" w:space="0" w:color="auto"/>
              <w:right w:val="single" w:sz="4" w:space="0" w:color="auto"/>
            </w:tcBorders>
          </w:tcPr>
          <w:p w:rsidR="00772CF5" w:rsidRPr="00441B53" w:rsidRDefault="00772CF5" w:rsidP="0056254E">
            <w:pPr>
              <w:autoSpaceDE w:val="0"/>
              <w:autoSpaceDN w:val="0"/>
              <w:spacing w:before="0" w:beforeAutospacing="0" w:after="0" w:afterAutospacing="0"/>
              <w:jc w:val="center"/>
              <w:rPr>
                <w:sz w:val="20"/>
                <w:szCs w:val="20"/>
              </w:rPr>
            </w:pPr>
            <w:r w:rsidRPr="00441B53">
              <w:rPr>
                <w:sz w:val="20"/>
                <w:szCs w:val="20"/>
              </w:rPr>
              <w:t>Čl. 1, bod 7</w:t>
            </w:r>
          </w:p>
        </w:tc>
        <w:tc>
          <w:tcPr>
            <w:tcW w:w="5812" w:type="dxa"/>
            <w:tcBorders>
              <w:top w:val="single" w:sz="4" w:space="0" w:color="auto"/>
              <w:left w:val="single" w:sz="4" w:space="0" w:color="auto"/>
              <w:bottom w:val="single" w:sz="4" w:space="0" w:color="auto"/>
              <w:right w:val="single" w:sz="4" w:space="0" w:color="auto"/>
            </w:tcBorders>
          </w:tcPr>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7.Vkladá sa tento článok:</w:t>
            </w:r>
          </w:p>
          <w:p w:rsidR="00CE476E" w:rsidRPr="00441B53" w:rsidRDefault="00CE476E" w:rsidP="00CE476E">
            <w:pPr>
              <w:shd w:val="clear" w:color="auto" w:fill="FFFFFF"/>
              <w:spacing w:before="0" w:beforeAutospacing="0" w:after="0" w:afterAutospacing="0"/>
              <w:jc w:val="center"/>
              <w:rPr>
                <w:i/>
                <w:iCs/>
                <w:sz w:val="20"/>
                <w:szCs w:val="20"/>
              </w:rPr>
            </w:pPr>
            <w:r w:rsidRPr="00441B53">
              <w:rPr>
                <w:i/>
                <w:iCs/>
                <w:sz w:val="20"/>
                <w:szCs w:val="20"/>
              </w:rPr>
              <w:t>„Článok 13a</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1.   Členské štáty môžu uplatňovať znížené sadzby spotrebnej dane, ktoré môžu byť diferencované podľa ročnej produkcie dotknutých výrobcov, na ostatné kvasené nápoje, ktoré vyrábajú nezávislí malí výrobcovia v rámci týchto limitov:</w:t>
            </w:r>
          </w:p>
          <w:tbl>
            <w:tblPr>
              <w:tblW w:w="5000" w:type="pct"/>
              <w:tblLayout w:type="fixed"/>
              <w:tblCellMar>
                <w:left w:w="0" w:type="dxa"/>
                <w:right w:w="0" w:type="dxa"/>
              </w:tblCellMar>
              <w:tblLook w:val="04A0" w:firstRow="1" w:lastRow="0" w:firstColumn="1" w:lastColumn="0" w:noHBand="0" w:noVBand="1"/>
            </w:tblPr>
            <w:tblGrid>
              <w:gridCol w:w="154"/>
              <w:gridCol w:w="5572"/>
            </w:tblGrid>
            <w:tr w:rsidR="00CE476E" w:rsidRPr="00441B53" w:rsidTr="00CE476E">
              <w:tc>
                <w:tcPr>
                  <w:tcW w:w="240" w:type="dxa"/>
                  <w:hideMark/>
                </w:tcPr>
                <w:p w:rsidR="00CE476E" w:rsidRPr="00441B53" w:rsidRDefault="00CE476E" w:rsidP="00CE476E">
                  <w:pPr>
                    <w:spacing w:before="0" w:beforeAutospacing="0" w:after="0" w:afterAutospacing="0"/>
                    <w:jc w:val="both"/>
                    <w:rPr>
                      <w:sz w:val="20"/>
                      <w:szCs w:val="20"/>
                    </w:rPr>
                  </w:pPr>
                  <w:r w:rsidRPr="00441B53">
                    <w:rPr>
                      <w:sz w:val="20"/>
                      <w:szCs w:val="20"/>
                    </w:rPr>
                    <w:t>—</w:t>
                  </w:r>
                </w:p>
              </w:tc>
              <w:tc>
                <w:tcPr>
                  <w:tcW w:w="9166" w:type="dxa"/>
                  <w:hideMark/>
                </w:tcPr>
                <w:p w:rsidR="00CE476E" w:rsidRPr="00441B53" w:rsidRDefault="00CE476E" w:rsidP="00CE476E">
                  <w:pPr>
                    <w:spacing w:before="0" w:beforeAutospacing="0" w:after="0" w:afterAutospacing="0"/>
                    <w:jc w:val="both"/>
                    <w:rPr>
                      <w:sz w:val="20"/>
                      <w:szCs w:val="20"/>
                    </w:rPr>
                  </w:pPr>
                  <w:r w:rsidRPr="00441B53">
                    <w:rPr>
                      <w:sz w:val="20"/>
                      <w:szCs w:val="20"/>
                    </w:rPr>
                    <w:t>znížené sadzby spotrebnej dane sa neuplatňujú na podniky, ktoré celkovo vyrábajú viac ako 15 000 hl týchto nápojov ročne,</w:t>
                  </w:r>
                </w:p>
              </w:tc>
            </w:tr>
          </w:tbl>
          <w:p w:rsidR="00CE476E" w:rsidRPr="00441B53" w:rsidRDefault="00CE476E" w:rsidP="00CE476E">
            <w:pPr>
              <w:shd w:val="clear" w:color="auto" w:fill="FFFFFF"/>
              <w:spacing w:before="0" w:beforeAutospacing="0" w:after="0" w:afterAutospacing="0"/>
              <w:rPr>
                <w:vanish/>
                <w:sz w:val="20"/>
                <w:szCs w:val="20"/>
              </w:rPr>
            </w:pPr>
          </w:p>
          <w:tbl>
            <w:tblPr>
              <w:tblW w:w="5000" w:type="pct"/>
              <w:tblLayout w:type="fixed"/>
              <w:tblCellMar>
                <w:left w:w="0" w:type="dxa"/>
                <w:right w:w="0" w:type="dxa"/>
              </w:tblCellMar>
              <w:tblLook w:val="04A0" w:firstRow="1" w:lastRow="0" w:firstColumn="1" w:lastColumn="0" w:noHBand="0" w:noVBand="1"/>
            </w:tblPr>
            <w:tblGrid>
              <w:gridCol w:w="154"/>
              <w:gridCol w:w="5572"/>
            </w:tblGrid>
            <w:tr w:rsidR="00CE476E" w:rsidRPr="00441B53" w:rsidTr="00CE476E">
              <w:tc>
                <w:tcPr>
                  <w:tcW w:w="240" w:type="dxa"/>
                  <w:hideMark/>
                </w:tcPr>
                <w:p w:rsidR="00CE476E" w:rsidRPr="00441B53" w:rsidRDefault="00CE476E" w:rsidP="00CE476E">
                  <w:pPr>
                    <w:spacing w:before="0" w:beforeAutospacing="0" w:after="0" w:afterAutospacing="0"/>
                    <w:jc w:val="both"/>
                    <w:rPr>
                      <w:sz w:val="20"/>
                      <w:szCs w:val="20"/>
                    </w:rPr>
                  </w:pPr>
                  <w:r w:rsidRPr="00441B53">
                    <w:rPr>
                      <w:sz w:val="20"/>
                      <w:szCs w:val="20"/>
                    </w:rPr>
                    <w:t>—</w:t>
                  </w:r>
                </w:p>
              </w:tc>
              <w:tc>
                <w:tcPr>
                  <w:tcW w:w="9166" w:type="dxa"/>
                  <w:hideMark/>
                </w:tcPr>
                <w:p w:rsidR="00CE476E" w:rsidRPr="00441B53" w:rsidRDefault="00CE476E" w:rsidP="00CE476E">
                  <w:pPr>
                    <w:spacing w:before="0" w:beforeAutospacing="0" w:after="0" w:afterAutospacing="0"/>
                    <w:jc w:val="both"/>
                    <w:rPr>
                      <w:sz w:val="20"/>
                      <w:szCs w:val="20"/>
                    </w:rPr>
                  </w:pPr>
                  <w:r w:rsidRPr="00441B53">
                    <w:rPr>
                      <w:sz w:val="20"/>
                      <w:szCs w:val="20"/>
                    </w:rPr>
                    <w:t>znížené sadzby spotrebnej dane nesmú byť o viac ako 50 % nižšie ako štandardná národná sadzba spotrebnej dane na ostatné kvasené nápoje.</w:t>
                  </w:r>
                </w:p>
              </w:tc>
            </w:tr>
          </w:tbl>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2.   Na účely tohto článku sa ostatné kvasené nápoje musia získavať fermentáciou ovocia, bobuľovitého ovocia, zeleniny, medu rozpusteného vo vode alebo fermentáciou čerstvej alebo koncentrovanej šťavy získanej z vyššie uvedených produktov. Členské štáty nepovolia pridávanie akéhokoľvek iného alkoholu alebo alkoholického nápoja na účely výroby ostatných kvasených nápojov. Na účely tohto článku sa pridanie alkoholu na riedenie alebo rozpúšťanie aróm v dávke nevyhnutne potrebnej do miery, ktorou sa obsah alkoholu nezvýši o viac ako 1,2 objemových percent, nepovažuje za pridanie alkoholu na účely výroby ostatných kvasených nápojov. Pridanie takýchto aróm nesmie výrazne meniť charakter pôvodného výrobku.</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3.   Členské štáty môžu obmedziť uplatňovanie tohto článku na určité typy ostatných kvasených nápojov.</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 xml:space="preserve">4.   Na účely tohto článku sa pojmom „nezávislý malý výrobca“ označuje výrobca ostatných kvasených nápojov, ktorý je právne a hospodársky nezávislý od akéhokoľvek iného výrobcu ostatných </w:t>
            </w:r>
            <w:r w:rsidRPr="00441B53">
              <w:rPr>
                <w:sz w:val="20"/>
                <w:szCs w:val="20"/>
              </w:rPr>
              <w:lastRenderedPageBreak/>
              <w:t>kvasených nápojov, ktorý využíva priestory a budovy fyzicky sa nachádzajúce mimo priestorov a budov akýchkoľvek iných výrobcov a ktorý nevykonáva činnosť na základe licencie. Ak však spolupracujú dvaja alebo viacerí malí výrobcovia a ich celková ročná produkcia neprekračuje 15 000 hl, môžu sa títo výrobcovia považovať za jedného nezávislého malého výrobcu.</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5.   Členské štáty zabezpečia, aby sa akékoľvek zavedené znížené sadzby spotrebnej dane uplatňovali rovnako aj na ostatné kvasené nápoje dodávané na ich územie od nezávislých malých výrobcov situovaných v iných členských štátoch. Predovšetkým musia zabezpečiť, aby žiadna individuálna dodávka z iného členského štátu nebola zaťažená vyššou daňou v porovnaní s jej zodpovedajúcim národným ekvivalentom.“</w:t>
            </w:r>
          </w:p>
          <w:p w:rsidR="00772CF5" w:rsidRPr="00441B53" w:rsidRDefault="00772CF5" w:rsidP="00772CF5">
            <w:pPr>
              <w:pStyle w:val="oj-normal"/>
              <w:shd w:val="clear" w:color="auto" w:fill="FFFFFF"/>
              <w:spacing w:before="120" w:beforeAutospacing="0" w:after="0" w:afterAutospacing="0" w:line="312" w:lineRule="atLeast"/>
              <w:jc w:val="both"/>
              <w:rPr>
                <w:sz w:val="20"/>
                <w:szCs w:val="20"/>
              </w:rPr>
            </w:pPr>
          </w:p>
        </w:tc>
        <w:tc>
          <w:tcPr>
            <w:tcW w:w="1245" w:type="dxa"/>
            <w:tcBorders>
              <w:top w:val="single" w:sz="4" w:space="0" w:color="auto"/>
              <w:left w:val="single" w:sz="4" w:space="0" w:color="auto"/>
              <w:bottom w:val="single" w:sz="4" w:space="0" w:color="auto"/>
              <w:right w:val="single" w:sz="12" w:space="0" w:color="auto"/>
            </w:tcBorders>
          </w:tcPr>
          <w:p w:rsidR="00772CF5" w:rsidRPr="00441B53" w:rsidRDefault="00772CF5">
            <w:pPr>
              <w:pStyle w:val="Normlny0"/>
              <w:jc w:val="center"/>
            </w:pPr>
          </w:p>
          <w:p w:rsidR="00CE476E" w:rsidRPr="00441B53" w:rsidRDefault="00CE476E">
            <w:pPr>
              <w:pStyle w:val="Normlny0"/>
              <w:jc w:val="center"/>
            </w:pPr>
            <w:r w:rsidRPr="00441B53">
              <w:t>D</w:t>
            </w:r>
          </w:p>
        </w:tc>
        <w:tc>
          <w:tcPr>
            <w:tcW w:w="846" w:type="dxa"/>
            <w:tcBorders>
              <w:top w:val="single" w:sz="4" w:space="0" w:color="auto"/>
              <w:left w:val="nil"/>
              <w:bottom w:val="single" w:sz="4" w:space="0" w:color="auto"/>
              <w:right w:val="single" w:sz="4" w:space="0" w:color="auto"/>
            </w:tcBorders>
          </w:tcPr>
          <w:p w:rsidR="00772CF5" w:rsidRPr="00441B53" w:rsidRDefault="00772CF5">
            <w:pPr>
              <w:pStyle w:val="Normlny0"/>
              <w:jc w:val="center"/>
            </w:pPr>
          </w:p>
        </w:tc>
        <w:tc>
          <w:tcPr>
            <w:tcW w:w="886" w:type="dxa"/>
            <w:tcBorders>
              <w:top w:val="single" w:sz="4" w:space="0" w:color="auto"/>
              <w:left w:val="single" w:sz="4" w:space="0" w:color="auto"/>
              <w:bottom w:val="single" w:sz="4" w:space="0" w:color="auto"/>
              <w:right w:val="single" w:sz="4" w:space="0" w:color="auto"/>
            </w:tcBorders>
          </w:tcPr>
          <w:p w:rsidR="00772CF5" w:rsidRPr="00441B53" w:rsidRDefault="00772CF5">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772CF5" w:rsidRPr="00441B53" w:rsidRDefault="00772CF5">
            <w:pPr>
              <w:pStyle w:val="Normlny0"/>
              <w:jc w:val="center"/>
            </w:pPr>
          </w:p>
        </w:tc>
        <w:tc>
          <w:tcPr>
            <w:tcW w:w="423" w:type="dxa"/>
            <w:tcBorders>
              <w:top w:val="single" w:sz="4" w:space="0" w:color="auto"/>
              <w:left w:val="single" w:sz="4" w:space="0" w:color="auto"/>
              <w:bottom w:val="single" w:sz="4" w:space="0" w:color="auto"/>
              <w:right w:val="single" w:sz="4" w:space="0" w:color="auto"/>
            </w:tcBorders>
          </w:tcPr>
          <w:p w:rsidR="00772CF5" w:rsidRPr="00441B53" w:rsidRDefault="00772CF5">
            <w:pPr>
              <w:pStyle w:val="Normlny0"/>
              <w:jc w:val="center"/>
            </w:pPr>
          </w:p>
          <w:p w:rsidR="00CE476E" w:rsidRPr="00441B53" w:rsidRDefault="00CE476E">
            <w:pPr>
              <w:pStyle w:val="Normlny0"/>
              <w:jc w:val="center"/>
            </w:pPr>
            <w:r w:rsidRPr="00441B53">
              <w:t>n.a.</w:t>
            </w:r>
          </w:p>
        </w:tc>
        <w:tc>
          <w:tcPr>
            <w:tcW w:w="633" w:type="dxa"/>
            <w:tcBorders>
              <w:top w:val="single" w:sz="4" w:space="0" w:color="auto"/>
              <w:left w:val="single" w:sz="4" w:space="0" w:color="auto"/>
              <w:bottom w:val="single" w:sz="4" w:space="0" w:color="auto"/>
              <w:right w:val="single" w:sz="12" w:space="0" w:color="auto"/>
            </w:tcBorders>
          </w:tcPr>
          <w:p w:rsidR="00772CF5" w:rsidRPr="00441B53" w:rsidRDefault="00772CF5">
            <w:pPr>
              <w:pStyle w:val="Normlny0"/>
              <w:jc w:val="center"/>
            </w:pPr>
          </w:p>
        </w:tc>
      </w:tr>
      <w:tr w:rsidR="0056254E" w:rsidRPr="00924B99" w:rsidTr="00316EFA">
        <w:trPr>
          <w:trHeight w:val="774"/>
        </w:trPr>
        <w:tc>
          <w:tcPr>
            <w:tcW w:w="682" w:type="dxa"/>
            <w:tcBorders>
              <w:top w:val="single" w:sz="4" w:space="0" w:color="auto"/>
              <w:left w:val="single" w:sz="12" w:space="0" w:color="auto"/>
              <w:bottom w:val="single" w:sz="4" w:space="0" w:color="auto"/>
              <w:right w:val="single" w:sz="4" w:space="0" w:color="auto"/>
            </w:tcBorders>
          </w:tcPr>
          <w:p w:rsidR="0056254E" w:rsidRPr="00441B53" w:rsidRDefault="0056254E" w:rsidP="0056254E">
            <w:pPr>
              <w:autoSpaceDE w:val="0"/>
              <w:autoSpaceDN w:val="0"/>
              <w:spacing w:before="0" w:beforeAutospacing="0" w:after="0" w:afterAutospacing="0"/>
              <w:jc w:val="center"/>
              <w:rPr>
                <w:sz w:val="20"/>
                <w:szCs w:val="20"/>
              </w:rPr>
            </w:pPr>
            <w:r w:rsidRPr="00441B53">
              <w:rPr>
                <w:sz w:val="20"/>
                <w:szCs w:val="20"/>
              </w:rPr>
              <w:t xml:space="preserve">Čl. </w:t>
            </w:r>
            <w:r w:rsidR="00CE476E" w:rsidRPr="00441B53">
              <w:rPr>
                <w:sz w:val="20"/>
                <w:szCs w:val="20"/>
              </w:rPr>
              <w:t>1, bod 8</w:t>
            </w:r>
          </w:p>
          <w:p w:rsidR="0056254E" w:rsidRPr="00441B53" w:rsidRDefault="0056254E">
            <w:pPr>
              <w:pStyle w:val="Normlny0"/>
              <w:jc w:val="center"/>
            </w:pPr>
          </w:p>
        </w:tc>
        <w:tc>
          <w:tcPr>
            <w:tcW w:w="5812" w:type="dxa"/>
            <w:tcBorders>
              <w:top w:val="single" w:sz="4" w:space="0" w:color="auto"/>
              <w:left w:val="single" w:sz="4" w:space="0" w:color="auto"/>
              <w:bottom w:val="single" w:sz="4" w:space="0" w:color="auto"/>
              <w:right w:val="single" w:sz="4" w:space="0" w:color="auto"/>
            </w:tcBorders>
          </w:tcPr>
          <w:p w:rsidR="00CE476E" w:rsidRPr="00441B53" w:rsidRDefault="0056254E" w:rsidP="00CE476E">
            <w:pPr>
              <w:pStyle w:val="oj-normal"/>
              <w:shd w:val="clear" w:color="auto" w:fill="FFFFFF"/>
              <w:spacing w:before="0" w:beforeAutospacing="0" w:after="0" w:afterAutospacing="0"/>
              <w:jc w:val="both"/>
              <w:rPr>
                <w:sz w:val="20"/>
                <w:szCs w:val="20"/>
              </w:rPr>
            </w:pPr>
            <w:r w:rsidRPr="00441B53">
              <w:rPr>
                <w:sz w:val="20"/>
                <w:szCs w:val="20"/>
              </w:rPr>
              <w:t>8.</w:t>
            </w:r>
            <w:r w:rsidR="00CE476E" w:rsidRPr="00441B53">
              <w:rPr>
                <w:sz w:val="20"/>
                <w:szCs w:val="20"/>
              </w:rPr>
              <w:t xml:space="preserve"> Článok 15 sa nahrádza takto:</w:t>
            </w:r>
          </w:p>
          <w:p w:rsidR="00CE476E" w:rsidRPr="00441B53" w:rsidRDefault="00CE476E" w:rsidP="00CE476E">
            <w:pPr>
              <w:pStyle w:val="oj-ti-art"/>
              <w:shd w:val="clear" w:color="auto" w:fill="FFFFFF"/>
              <w:spacing w:before="0" w:beforeAutospacing="0" w:after="0" w:afterAutospacing="0"/>
              <w:jc w:val="center"/>
              <w:rPr>
                <w:i/>
                <w:iCs/>
                <w:sz w:val="20"/>
                <w:szCs w:val="20"/>
              </w:rPr>
            </w:pPr>
            <w:r w:rsidRPr="00441B53">
              <w:rPr>
                <w:i/>
                <w:iCs/>
                <w:sz w:val="20"/>
                <w:szCs w:val="20"/>
              </w:rPr>
              <w:t>„Článok 15</w:t>
            </w:r>
          </w:p>
          <w:p w:rsidR="00CE476E" w:rsidRPr="00441B53" w:rsidRDefault="00CE476E" w:rsidP="00CE476E">
            <w:pPr>
              <w:pStyle w:val="oj-normal"/>
              <w:shd w:val="clear" w:color="auto" w:fill="FFFFFF"/>
              <w:spacing w:before="0" w:beforeAutospacing="0" w:after="0" w:afterAutospacing="0"/>
              <w:jc w:val="both"/>
              <w:rPr>
                <w:sz w:val="20"/>
                <w:szCs w:val="20"/>
              </w:rPr>
            </w:pPr>
            <w:r w:rsidRPr="00441B53">
              <w:rPr>
                <w:sz w:val="20"/>
                <w:szCs w:val="20"/>
              </w:rPr>
              <w:t>Na uplatňovanie smernice 92/84/EHS a smernice Rady 2008/118/ES</w:t>
            </w:r>
            <w:hyperlink r:id="rId7" w:anchor="ntr*-L_2020256SK.01000101-E0005" w:history="1">
              <w:r w:rsidRPr="00441B53">
                <w:rPr>
                  <w:rStyle w:val="Hypertextovprepojenie"/>
                  <w:color w:val="auto"/>
                  <w:sz w:val="20"/>
                  <w:szCs w:val="20"/>
                </w:rPr>
                <w:t> (</w:t>
              </w:r>
              <w:r w:rsidRPr="00441B53">
                <w:rPr>
                  <w:rStyle w:val="oj-super"/>
                  <w:sz w:val="20"/>
                  <w:szCs w:val="20"/>
                  <w:vertAlign w:val="superscript"/>
                </w:rPr>
                <w:t>*</w:t>
              </w:r>
              <w:r w:rsidRPr="00441B53">
                <w:rPr>
                  <w:rStyle w:val="Hypertextovprepojenie"/>
                  <w:color w:val="auto"/>
                  <w:sz w:val="20"/>
                  <w:szCs w:val="20"/>
                </w:rPr>
                <w:t>)</w:t>
              </w:r>
            </w:hyperlink>
            <w:r w:rsidRPr="00441B53">
              <w:rPr>
                <w:sz w:val="20"/>
                <w:szCs w:val="20"/>
              </w:rPr>
              <w:t> sa budú odkazy na „víno“ uplatňovať rovnako aj na ostatné kvasené nápoje definované v tomto oddiele.</w:t>
            </w:r>
          </w:p>
          <w:p w:rsidR="0056254E" w:rsidRPr="00441B53" w:rsidRDefault="0056254E" w:rsidP="0056254E">
            <w:pPr>
              <w:pStyle w:val="Normlny0"/>
            </w:pPr>
          </w:p>
        </w:tc>
        <w:tc>
          <w:tcPr>
            <w:tcW w:w="1245" w:type="dxa"/>
            <w:tcBorders>
              <w:top w:val="single" w:sz="4" w:space="0" w:color="auto"/>
              <w:left w:val="single" w:sz="4" w:space="0" w:color="auto"/>
              <w:bottom w:val="single" w:sz="4" w:space="0" w:color="auto"/>
              <w:right w:val="single" w:sz="12" w:space="0" w:color="auto"/>
            </w:tcBorders>
          </w:tcPr>
          <w:p w:rsidR="0056254E" w:rsidRPr="00441B53" w:rsidRDefault="0056254E">
            <w:pPr>
              <w:pStyle w:val="Normlny0"/>
              <w:jc w:val="center"/>
            </w:pPr>
          </w:p>
          <w:p w:rsidR="00CE476E" w:rsidRPr="00441B53" w:rsidRDefault="00CE476E">
            <w:pPr>
              <w:pStyle w:val="Normlny0"/>
              <w:jc w:val="center"/>
            </w:pPr>
          </w:p>
          <w:p w:rsidR="00CE476E" w:rsidRPr="00441B53" w:rsidRDefault="00CE476E">
            <w:pPr>
              <w:pStyle w:val="Normlny0"/>
              <w:jc w:val="center"/>
            </w:pPr>
            <w:r w:rsidRPr="00441B53">
              <w:t>N</w:t>
            </w:r>
          </w:p>
        </w:tc>
        <w:tc>
          <w:tcPr>
            <w:tcW w:w="846" w:type="dxa"/>
            <w:tcBorders>
              <w:top w:val="single" w:sz="4" w:space="0" w:color="auto"/>
              <w:left w:val="nil"/>
              <w:bottom w:val="single" w:sz="4" w:space="0" w:color="auto"/>
              <w:right w:val="single" w:sz="4" w:space="0" w:color="auto"/>
            </w:tcBorders>
          </w:tcPr>
          <w:p w:rsidR="0056254E" w:rsidRPr="00441B53" w:rsidRDefault="0056254E">
            <w:pPr>
              <w:pStyle w:val="Normlny0"/>
              <w:jc w:val="center"/>
            </w:pPr>
          </w:p>
          <w:p w:rsidR="00CE476E" w:rsidRPr="00441B53" w:rsidRDefault="00CE476E">
            <w:pPr>
              <w:pStyle w:val="Normlny0"/>
              <w:jc w:val="center"/>
            </w:pPr>
          </w:p>
          <w:p w:rsidR="00CE476E" w:rsidRPr="00441B53" w:rsidRDefault="00CE476E">
            <w:pPr>
              <w:pStyle w:val="Normlny0"/>
              <w:jc w:val="center"/>
            </w:pPr>
            <w:r w:rsidRPr="00441B53">
              <w:t>530/2011</w:t>
            </w:r>
          </w:p>
          <w:p w:rsidR="00CE476E" w:rsidRPr="00441B53" w:rsidRDefault="00CE476E">
            <w:pPr>
              <w:pStyle w:val="Normlny0"/>
              <w:jc w:val="center"/>
            </w:pPr>
          </w:p>
        </w:tc>
        <w:tc>
          <w:tcPr>
            <w:tcW w:w="886" w:type="dxa"/>
            <w:tcBorders>
              <w:top w:val="single" w:sz="4" w:space="0" w:color="auto"/>
              <w:left w:val="single" w:sz="4" w:space="0" w:color="auto"/>
              <w:bottom w:val="single" w:sz="4" w:space="0" w:color="auto"/>
              <w:right w:val="single" w:sz="4" w:space="0" w:color="auto"/>
            </w:tcBorders>
          </w:tcPr>
          <w:p w:rsidR="0056254E" w:rsidRPr="00441B53" w:rsidRDefault="0056254E">
            <w:pPr>
              <w:pStyle w:val="Normlny0"/>
              <w:jc w:val="center"/>
            </w:pPr>
          </w:p>
          <w:p w:rsidR="00CE476E" w:rsidRPr="00441B53" w:rsidRDefault="00CE476E">
            <w:pPr>
              <w:pStyle w:val="Normlny0"/>
              <w:jc w:val="center"/>
            </w:pPr>
          </w:p>
          <w:p w:rsidR="00CE476E" w:rsidRPr="00441B53" w:rsidRDefault="00CE476E">
            <w:pPr>
              <w:pStyle w:val="Normlny0"/>
              <w:jc w:val="center"/>
            </w:pPr>
            <w:r w:rsidRPr="00441B53">
              <w:t>§ 4 ods.3</w:t>
            </w:r>
          </w:p>
        </w:tc>
        <w:tc>
          <w:tcPr>
            <w:tcW w:w="5609" w:type="dxa"/>
            <w:tcBorders>
              <w:top w:val="single" w:sz="4" w:space="0" w:color="auto"/>
              <w:left w:val="single" w:sz="4" w:space="0" w:color="auto"/>
              <w:bottom w:val="single" w:sz="4" w:space="0" w:color="auto"/>
              <w:right w:val="single" w:sz="4" w:space="0" w:color="auto"/>
            </w:tcBorders>
          </w:tcPr>
          <w:p w:rsidR="0056254E" w:rsidRPr="00441B53" w:rsidRDefault="0056254E">
            <w:pPr>
              <w:pStyle w:val="Normlny0"/>
              <w:jc w:val="center"/>
            </w:pPr>
          </w:p>
          <w:p w:rsidR="00142823" w:rsidRPr="00441B53" w:rsidRDefault="00142823" w:rsidP="00CE476E">
            <w:pPr>
              <w:shd w:val="clear" w:color="auto" w:fill="FFFFFF"/>
              <w:spacing w:before="0" w:beforeAutospacing="0" w:after="0" w:afterAutospacing="0"/>
              <w:jc w:val="both"/>
              <w:rPr>
                <w:sz w:val="20"/>
                <w:szCs w:val="20"/>
              </w:rPr>
            </w:pP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Alkoholickým nápojom, ktorým je víno, sa na účely tohto zákona rozumie tiché víno, šumivé víno, tichý fermentovaný nápoj a šumivý fermentovaný nápoj, a to</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a) tichým vínom tovar kódu kombinovanej nomenklatúry 2204 a 2205, okrem písmen b), c) a d), so skutočným obsahom alkoholu viac</w:t>
            </w:r>
          </w:p>
          <w:p w:rsidR="00CE476E" w:rsidRPr="00441B53" w:rsidRDefault="00CE476E" w:rsidP="00CE476E">
            <w:pPr>
              <w:shd w:val="clear" w:color="auto" w:fill="FFFFFF"/>
              <w:spacing w:before="75" w:beforeAutospacing="0" w:after="0" w:afterAutospacing="0"/>
              <w:jc w:val="both"/>
              <w:rPr>
                <w:sz w:val="20"/>
                <w:szCs w:val="20"/>
              </w:rPr>
            </w:pPr>
            <w:r w:rsidRPr="00441B53">
              <w:rPr>
                <w:sz w:val="20"/>
                <w:szCs w:val="20"/>
              </w:rPr>
              <w:t>1. ako 1,2 % objemu a najviac 15 % objemu, ak alkohol obsiahnutý v hotovom výrobku vznikol výlučne kvasením,</w:t>
            </w:r>
          </w:p>
          <w:p w:rsidR="00CE476E" w:rsidRPr="00441B53" w:rsidRDefault="00CE476E" w:rsidP="00CE476E">
            <w:pPr>
              <w:shd w:val="clear" w:color="auto" w:fill="FFFFFF"/>
              <w:spacing w:before="75" w:beforeAutospacing="0" w:after="0" w:afterAutospacing="0"/>
              <w:jc w:val="both"/>
              <w:rPr>
                <w:sz w:val="20"/>
                <w:szCs w:val="20"/>
              </w:rPr>
            </w:pPr>
            <w:r w:rsidRPr="00441B53">
              <w:rPr>
                <w:sz w:val="20"/>
                <w:szCs w:val="20"/>
              </w:rPr>
              <w:t>2. ako 15 % objemu a najviac 18 % objemu, ktorý bol vyrobený bez obohatenia najmä pridaním cukru alebo zahusteného muštu, ak alkohol obsiahnutý v hotovom výrobku vznikol výlučne kvasením,</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b) šumivým vínom tovar naplnený vo fľašiach uzavretých zátkou hríbikovitého tvaru upevnenou pomocou pridržiavacieho zariadenia alebo tovar, ktorého pretlak spôsobený uvoľneným oxidom uhličitým sú 3 bary alebo viac, ktorý sa zatrieďuje do položiek kódu kombinovanej nomenklatúry 2204 10, 2204 21 06, 2204 21 07, 2204 21 08, 2204 21 09, 2204 29 10 a 2205 so skutočným obsahom alkoholu viac ako 1,2 % objemu a najviac 15 % objemu, ak alkohol obsiahnutý v hotovom výrobku vznikol výlučne kvasením,</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c) tichým fermentovaným nápojom tovar kódu kombinovanej nomenklatúry 2204 a 2205 neuvedený v písmenách a), b) a d), tovar kódu kombinovanej nomenklatúry 2206 okrem písmena d) so skutočným obsahom alkoholu viac</w:t>
            </w:r>
          </w:p>
          <w:p w:rsidR="00CE476E" w:rsidRPr="00441B53" w:rsidRDefault="00CE476E" w:rsidP="00CE476E">
            <w:pPr>
              <w:shd w:val="clear" w:color="auto" w:fill="FFFFFF"/>
              <w:spacing w:before="75" w:beforeAutospacing="0" w:after="0" w:afterAutospacing="0"/>
              <w:jc w:val="both"/>
              <w:rPr>
                <w:sz w:val="20"/>
                <w:szCs w:val="20"/>
              </w:rPr>
            </w:pPr>
            <w:r w:rsidRPr="00441B53">
              <w:rPr>
                <w:sz w:val="20"/>
                <w:szCs w:val="20"/>
              </w:rPr>
              <w:t>1. ako 1,2 % objemu a najviac 10 % objemu,</w:t>
            </w:r>
          </w:p>
          <w:p w:rsidR="00CE476E" w:rsidRPr="00441B53" w:rsidRDefault="00CE476E" w:rsidP="00CE476E">
            <w:pPr>
              <w:shd w:val="clear" w:color="auto" w:fill="FFFFFF"/>
              <w:spacing w:before="75" w:beforeAutospacing="0" w:after="0" w:afterAutospacing="0"/>
              <w:jc w:val="both"/>
              <w:rPr>
                <w:sz w:val="20"/>
                <w:szCs w:val="20"/>
              </w:rPr>
            </w:pPr>
            <w:r w:rsidRPr="00441B53">
              <w:rPr>
                <w:sz w:val="20"/>
                <w:szCs w:val="20"/>
              </w:rPr>
              <w:t>2. ako 10 % objemu a najviac 15 % objemu, a ak alkohol obsiahnutý v hotovom výrobku vznikol výlučne kvasením,</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d) šumivým fermentovaným nápojom tovar naplnený vo fľašiach uzavretých zátkou hríbikovitého tvaru upevnenou pomocou pridržiavacieho zariadenia alebo tovar, ktorého pretlak spôsobený uvoľneným oxidom uhličitým sú 3 bary alebo viac, ktorý sa zatrieďuje do položiek kódu kombinovanej nomenklatúry</w:t>
            </w:r>
          </w:p>
          <w:p w:rsidR="00CE476E" w:rsidRPr="00441B53" w:rsidRDefault="00CE476E" w:rsidP="00CE476E">
            <w:pPr>
              <w:shd w:val="clear" w:color="auto" w:fill="FFFFFF"/>
              <w:spacing w:before="75" w:beforeAutospacing="0" w:after="0" w:afterAutospacing="0"/>
              <w:jc w:val="both"/>
              <w:rPr>
                <w:sz w:val="20"/>
                <w:szCs w:val="20"/>
              </w:rPr>
            </w:pPr>
            <w:r w:rsidRPr="00441B53">
              <w:rPr>
                <w:sz w:val="20"/>
                <w:szCs w:val="20"/>
              </w:rPr>
              <w:t>1. 2204 10, 2204 21 06, 2204 21 07, 2204 21 08, 2204 21 09, 2204 29 10 a 2205 neuvedený v písmene b), ako aj 2206 00 31 a 2206 00 39 so skutočným obsahom alkoholu viac ako 1,2 % objemu a najviac 13 % objemu,</w:t>
            </w:r>
          </w:p>
          <w:p w:rsidR="00CE476E" w:rsidRPr="00441B53" w:rsidRDefault="00CE476E" w:rsidP="00CE476E">
            <w:pPr>
              <w:shd w:val="clear" w:color="auto" w:fill="FFFFFF"/>
              <w:spacing w:before="75" w:beforeAutospacing="0" w:after="0" w:afterAutospacing="0"/>
              <w:jc w:val="both"/>
              <w:rPr>
                <w:sz w:val="20"/>
                <w:szCs w:val="20"/>
              </w:rPr>
            </w:pPr>
            <w:r w:rsidRPr="00441B53">
              <w:rPr>
                <w:sz w:val="20"/>
                <w:szCs w:val="20"/>
              </w:rPr>
              <w:t>2. 2206 00 31 a 2206 00 39 so skutočným obsahom alkoholu viac ako 13 % objemu a najviac 15 % objemu, ak alkohol obsiahnutý v hotovom výrobku vznikol výlučne kvasením.</w:t>
            </w:r>
          </w:p>
          <w:p w:rsidR="00CE476E" w:rsidRPr="00441B53" w:rsidRDefault="00CE476E">
            <w:pPr>
              <w:pStyle w:val="Normlny0"/>
              <w:jc w:val="center"/>
            </w:pPr>
          </w:p>
        </w:tc>
        <w:tc>
          <w:tcPr>
            <w:tcW w:w="423" w:type="dxa"/>
            <w:tcBorders>
              <w:top w:val="single" w:sz="4" w:space="0" w:color="auto"/>
              <w:left w:val="single" w:sz="4" w:space="0" w:color="auto"/>
              <w:bottom w:val="single" w:sz="4" w:space="0" w:color="auto"/>
              <w:right w:val="single" w:sz="4" w:space="0" w:color="auto"/>
            </w:tcBorders>
          </w:tcPr>
          <w:p w:rsidR="0056254E" w:rsidRPr="00441B53" w:rsidRDefault="0056254E">
            <w:pPr>
              <w:pStyle w:val="Normlny0"/>
              <w:jc w:val="center"/>
            </w:pPr>
          </w:p>
          <w:p w:rsidR="00142823" w:rsidRPr="00441B53" w:rsidRDefault="00142823">
            <w:pPr>
              <w:pStyle w:val="Normlny0"/>
              <w:jc w:val="center"/>
            </w:pPr>
          </w:p>
          <w:p w:rsidR="00CE476E" w:rsidRPr="00441B53" w:rsidRDefault="00CE476E">
            <w:pPr>
              <w:pStyle w:val="Normlny0"/>
              <w:jc w:val="center"/>
            </w:pPr>
            <w:r w:rsidRPr="00441B53">
              <w:t>Ú</w:t>
            </w:r>
          </w:p>
        </w:tc>
        <w:tc>
          <w:tcPr>
            <w:tcW w:w="633" w:type="dxa"/>
            <w:tcBorders>
              <w:top w:val="single" w:sz="4" w:space="0" w:color="auto"/>
              <w:left w:val="single" w:sz="4" w:space="0" w:color="auto"/>
              <w:bottom w:val="single" w:sz="4" w:space="0" w:color="auto"/>
              <w:right w:val="single" w:sz="12" w:space="0" w:color="auto"/>
            </w:tcBorders>
          </w:tcPr>
          <w:p w:rsidR="0056254E" w:rsidRPr="00924B99" w:rsidRDefault="0056254E">
            <w:pPr>
              <w:pStyle w:val="Normlny0"/>
              <w:jc w:val="center"/>
            </w:pPr>
          </w:p>
        </w:tc>
      </w:tr>
      <w:tr w:rsidR="00CE476E" w:rsidRPr="00924B99" w:rsidTr="00316EFA">
        <w:trPr>
          <w:trHeight w:val="774"/>
        </w:trPr>
        <w:tc>
          <w:tcPr>
            <w:tcW w:w="682" w:type="dxa"/>
            <w:tcBorders>
              <w:top w:val="single" w:sz="4" w:space="0" w:color="auto"/>
              <w:left w:val="single" w:sz="12" w:space="0" w:color="auto"/>
              <w:bottom w:val="single" w:sz="4" w:space="0" w:color="auto"/>
              <w:right w:val="single" w:sz="4" w:space="0" w:color="auto"/>
            </w:tcBorders>
          </w:tcPr>
          <w:p w:rsidR="00CE476E" w:rsidRPr="00441B53" w:rsidRDefault="00CE476E" w:rsidP="0056254E">
            <w:pPr>
              <w:autoSpaceDE w:val="0"/>
              <w:autoSpaceDN w:val="0"/>
              <w:spacing w:before="0" w:beforeAutospacing="0" w:after="0" w:afterAutospacing="0"/>
              <w:jc w:val="center"/>
              <w:rPr>
                <w:sz w:val="20"/>
                <w:szCs w:val="20"/>
              </w:rPr>
            </w:pPr>
            <w:r w:rsidRPr="00441B53">
              <w:rPr>
                <w:sz w:val="20"/>
                <w:szCs w:val="20"/>
              </w:rPr>
              <w:t>Čl. 1, bod 9</w:t>
            </w:r>
          </w:p>
        </w:tc>
        <w:tc>
          <w:tcPr>
            <w:tcW w:w="5812" w:type="dxa"/>
            <w:tcBorders>
              <w:top w:val="single" w:sz="4" w:space="0" w:color="auto"/>
              <w:left w:val="single" w:sz="4" w:space="0" w:color="auto"/>
              <w:bottom w:val="single" w:sz="4" w:space="0" w:color="auto"/>
              <w:right w:val="single" w:sz="4" w:space="0" w:color="auto"/>
            </w:tcBorders>
          </w:tcPr>
          <w:p w:rsidR="00CE476E" w:rsidRPr="00441B53" w:rsidRDefault="00CE476E" w:rsidP="00CE476E">
            <w:pPr>
              <w:pStyle w:val="oj-normal"/>
              <w:shd w:val="clear" w:color="auto" w:fill="FFFFFF"/>
              <w:spacing w:before="0" w:beforeAutospacing="0" w:after="0" w:afterAutospacing="0"/>
              <w:jc w:val="both"/>
              <w:rPr>
                <w:sz w:val="20"/>
                <w:szCs w:val="20"/>
              </w:rPr>
            </w:pPr>
            <w:r w:rsidRPr="00441B53">
              <w:rPr>
                <w:sz w:val="20"/>
                <w:szCs w:val="20"/>
              </w:rPr>
              <w:t>9.V článku 18 ods. 4 sa prvý pododsek nahrádza takto:</w:t>
            </w:r>
          </w:p>
          <w:p w:rsidR="00CE476E" w:rsidRPr="00441B53" w:rsidRDefault="00CE476E" w:rsidP="00CE476E">
            <w:pPr>
              <w:pStyle w:val="oj-normal"/>
              <w:shd w:val="clear" w:color="auto" w:fill="FFFFFF"/>
              <w:spacing w:before="0" w:beforeAutospacing="0" w:after="0" w:afterAutospacing="0"/>
              <w:jc w:val="both"/>
              <w:rPr>
                <w:sz w:val="20"/>
                <w:szCs w:val="20"/>
              </w:rPr>
            </w:pPr>
            <w:r w:rsidRPr="00441B53">
              <w:rPr>
                <w:sz w:val="20"/>
                <w:szCs w:val="20"/>
              </w:rPr>
              <w:t>„4.   Členské štáty môžu uplatňovať samostatnú zníženú sadzbu spotrebnej dane na medziprodukty, ktoré sú definované v časti II prílohy VII k nariadeniu Európskeho parlamentu a Rady (EÚ) č. 1308/2013</w:t>
            </w:r>
            <w:hyperlink r:id="rId8" w:anchor="ntr*-L_2020256SK.01000101-E0006" w:history="1">
              <w:r w:rsidRPr="00441B53">
                <w:rPr>
                  <w:rStyle w:val="Hypertextovprepojenie"/>
                  <w:color w:val="auto"/>
                  <w:sz w:val="20"/>
                  <w:szCs w:val="20"/>
                </w:rPr>
                <w:t> (</w:t>
              </w:r>
              <w:r w:rsidRPr="00441B53">
                <w:rPr>
                  <w:rStyle w:val="oj-super"/>
                  <w:sz w:val="20"/>
                  <w:szCs w:val="20"/>
                  <w:vertAlign w:val="superscript"/>
                </w:rPr>
                <w:t>*</w:t>
              </w:r>
              <w:r w:rsidRPr="00441B53">
                <w:rPr>
                  <w:rStyle w:val="Hypertextovprepojenie"/>
                  <w:color w:val="auto"/>
                  <w:sz w:val="20"/>
                  <w:szCs w:val="20"/>
                </w:rPr>
                <w:t>)</w:t>
              </w:r>
            </w:hyperlink>
            <w:r w:rsidRPr="00441B53">
              <w:rPr>
                <w:sz w:val="20"/>
                <w:szCs w:val="20"/>
              </w:rPr>
              <w:t>.</w:t>
            </w:r>
          </w:p>
          <w:p w:rsidR="00CE476E" w:rsidRPr="00441B53" w:rsidRDefault="00CE476E" w:rsidP="00CE476E">
            <w:pPr>
              <w:pStyle w:val="oj-normal"/>
              <w:shd w:val="clear" w:color="auto" w:fill="FFFFFF"/>
              <w:spacing w:before="0" w:beforeAutospacing="0" w:after="0" w:afterAutospacing="0"/>
              <w:jc w:val="both"/>
              <w:rPr>
                <w:sz w:val="20"/>
                <w:szCs w:val="20"/>
              </w:rPr>
            </w:pPr>
          </w:p>
        </w:tc>
        <w:tc>
          <w:tcPr>
            <w:tcW w:w="1245" w:type="dxa"/>
            <w:tcBorders>
              <w:top w:val="single" w:sz="4" w:space="0" w:color="auto"/>
              <w:left w:val="single" w:sz="4" w:space="0" w:color="auto"/>
              <w:bottom w:val="single" w:sz="4" w:space="0" w:color="auto"/>
              <w:right w:val="single" w:sz="12" w:space="0" w:color="auto"/>
            </w:tcBorders>
          </w:tcPr>
          <w:p w:rsidR="00CE476E" w:rsidRPr="00441B53" w:rsidRDefault="00CE476E">
            <w:pPr>
              <w:pStyle w:val="Normlny0"/>
              <w:jc w:val="center"/>
            </w:pPr>
          </w:p>
          <w:p w:rsidR="00CE476E" w:rsidRPr="00441B53" w:rsidRDefault="00CE476E">
            <w:pPr>
              <w:pStyle w:val="Normlny0"/>
              <w:jc w:val="center"/>
            </w:pPr>
            <w:r w:rsidRPr="00441B53">
              <w:t>D</w:t>
            </w:r>
          </w:p>
        </w:tc>
        <w:tc>
          <w:tcPr>
            <w:tcW w:w="846" w:type="dxa"/>
            <w:tcBorders>
              <w:top w:val="single" w:sz="4" w:space="0" w:color="auto"/>
              <w:left w:val="nil"/>
              <w:bottom w:val="single" w:sz="4" w:space="0" w:color="auto"/>
              <w:right w:val="single" w:sz="4" w:space="0" w:color="auto"/>
            </w:tcBorders>
          </w:tcPr>
          <w:p w:rsidR="00CE476E" w:rsidRPr="00441B53" w:rsidRDefault="00CE476E">
            <w:pPr>
              <w:pStyle w:val="Normlny0"/>
              <w:jc w:val="center"/>
            </w:pPr>
          </w:p>
        </w:tc>
        <w:tc>
          <w:tcPr>
            <w:tcW w:w="886" w:type="dxa"/>
            <w:tcBorders>
              <w:top w:val="single" w:sz="4" w:space="0" w:color="auto"/>
              <w:left w:val="single" w:sz="4" w:space="0" w:color="auto"/>
              <w:bottom w:val="single" w:sz="4" w:space="0" w:color="auto"/>
              <w:right w:val="single" w:sz="4" w:space="0" w:color="auto"/>
            </w:tcBorders>
          </w:tcPr>
          <w:p w:rsidR="00CE476E" w:rsidRPr="00441B53" w:rsidRDefault="00CE476E">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CE476E" w:rsidRPr="00441B53" w:rsidRDefault="00CE476E">
            <w:pPr>
              <w:pStyle w:val="Normlny0"/>
              <w:jc w:val="center"/>
            </w:pPr>
          </w:p>
        </w:tc>
        <w:tc>
          <w:tcPr>
            <w:tcW w:w="423" w:type="dxa"/>
            <w:tcBorders>
              <w:top w:val="single" w:sz="4" w:space="0" w:color="auto"/>
              <w:left w:val="single" w:sz="4" w:space="0" w:color="auto"/>
              <w:bottom w:val="single" w:sz="4" w:space="0" w:color="auto"/>
              <w:right w:val="single" w:sz="4" w:space="0" w:color="auto"/>
            </w:tcBorders>
          </w:tcPr>
          <w:p w:rsidR="00CE476E" w:rsidRPr="00441B53" w:rsidRDefault="00CE476E">
            <w:pPr>
              <w:pStyle w:val="Normlny0"/>
              <w:jc w:val="center"/>
            </w:pPr>
          </w:p>
          <w:p w:rsidR="00CE476E" w:rsidRPr="00441B53" w:rsidRDefault="00CE476E">
            <w:pPr>
              <w:pStyle w:val="Normlny0"/>
              <w:jc w:val="center"/>
            </w:pPr>
            <w:r w:rsidRPr="00441B53">
              <w:t>n.a.</w:t>
            </w:r>
          </w:p>
        </w:tc>
        <w:tc>
          <w:tcPr>
            <w:tcW w:w="633" w:type="dxa"/>
            <w:tcBorders>
              <w:top w:val="single" w:sz="4" w:space="0" w:color="auto"/>
              <w:left w:val="single" w:sz="4" w:space="0" w:color="auto"/>
              <w:bottom w:val="single" w:sz="4" w:space="0" w:color="auto"/>
              <w:right w:val="single" w:sz="12" w:space="0" w:color="auto"/>
            </w:tcBorders>
          </w:tcPr>
          <w:p w:rsidR="00CE476E" w:rsidRPr="00441B53" w:rsidRDefault="00CE476E">
            <w:pPr>
              <w:pStyle w:val="Normlny0"/>
              <w:jc w:val="center"/>
            </w:pPr>
          </w:p>
        </w:tc>
      </w:tr>
      <w:tr w:rsidR="00CE476E" w:rsidRPr="00924B99" w:rsidTr="00316EFA">
        <w:trPr>
          <w:trHeight w:val="774"/>
        </w:trPr>
        <w:tc>
          <w:tcPr>
            <w:tcW w:w="682" w:type="dxa"/>
            <w:tcBorders>
              <w:top w:val="single" w:sz="4" w:space="0" w:color="auto"/>
              <w:left w:val="single" w:sz="12" w:space="0" w:color="auto"/>
              <w:bottom w:val="single" w:sz="4" w:space="0" w:color="auto"/>
              <w:right w:val="single" w:sz="4" w:space="0" w:color="auto"/>
            </w:tcBorders>
          </w:tcPr>
          <w:p w:rsidR="00CE476E" w:rsidRPr="00441B53" w:rsidRDefault="00CE476E" w:rsidP="0056254E">
            <w:pPr>
              <w:autoSpaceDE w:val="0"/>
              <w:autoSpaceDN w:val="0"/>
              <w:spacing w:before="0" w:beforeAutospacing="0" w:after="0" w:afterAutospacing="0"/>
              <w:jc w:val="center"/>
              <w:rPr>
                <w:sz w:val="20"/>
                <w:szCs w:val="20"/>
              </w:rPr>
            </w:pPr>
            <w:r w:rsidRPr="00441B53">
              <w:rPr>
                <w:sz w:val="20"/>
                <w:szCs w:val="20"/>
              </w:rPr>
              <w:t>Čl. 1, bod 10</w:t>
            </w:r>
          </w:p>
        </w:tc>
        <w:tc>
          <w:tcPr>
            <w:tcW w:w="5812" w:type="dxa"/>
            <w:tcBorders>
              <w:top w:val="single" w:sz="4" w:space="0" w:color="auto"/>
              <w:left w:val="single" w:sz="4" w:space="0" w:color="auto"/>
              <w:bottom w:val="single" w:sz="4" w:space="0" w:color="auto"/>
              <w:right w:val="single" w:sz="4" w:space="0" w:color="auto"/>
            </w:tcBorders>
          </w:tcPr>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10. Vkladá sa tento článok:</w:t>
            </w:r>
          </w:p>
          <w:p w:rsidR="00CE476E" w:rsidRPr="00441B53" w:rsidRDefault="00CE476E" w:rsidP="00CE476E">
            <w:pPr>
              <w:shd w:val="clear" w:color="auto" w:fill="FFFFFF"/>
              <w:spacing w:before="0" w:beforeAutospacing="0" w:after="0" w:afterAutospacing="0"/>
              <w:jc w:val="center"/>
              <w:rPr>
                <w:i/>
                <w:iCs/>
                <w:sz w:val="20"/>
                <w:szCs w:val="20"/>
              </w:rPr>
            </w:pPr>
            <w:r w:rsidRPr="00441B53">
              <w:rPr>
                <w:i/>
                <w:iCs/>
                <w:sz w:val="20"/>
                <w:szCs w:val="20"/>
              </w:rPr>
              <w:t>„Článok 18a</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1.   Členské štáty môžu uplatňovať znížené sadzby spotrebnej dane, ktoré môžu byť diferencované podľa ročnej produkcie dotknutých výrobcov, a to na medziprodukty vyrábané nezávislými malými výrobcami v rámci nasledujúcich limitov:</w:t>
            </w:r>
          </w:p>
          <w:tbl>
            <w:tblPr>
              <w:tblW w:w="5000" w:type="pct"/>
              <w:tblLayout w:type="fixed"/>
              <w:tblCellMar>
                <w:left w:w="0" w:type="dxa"/>
                <w:right w:w="0" w:type="dxa"/>
              </w:tblCellMar>
              <w:tblLook w:val="04A0" w:firstRow="1" w:lastRow="0" w:firstColumn="1" w:lastColumn="0" w:noHBand="0" w:noVBand="1"/>
            </w:tblPr>
            <w:tblGrid>
              <w:gridCol w:w="154"/>
              <w:gridCol w:w="5572"/>
            </w:tblGrid>
            <w:tr w:rsidR="00CE476E" w:rsidRPr="00441B53" w:rsidTr="00CE476E">
              <w:tc>
                <w:tcPr>
                  <w:tcW w:w="240" w:type="dxa"/>
                  <w:hideMark/>
                </w:tcPr>
                <w:p w:rsidR="00CE476E" w:rsidRPr="00441B53" w:rsidRDefault="00CE476E" w:rsidP="00CE476E">
                  <w:pPr>
                    <w:spacing w:before="0" w:beforeAutospacing="0" w:after="0" w:afterAutospacing="0"/>
                    <w:jc w:val="both"/>
                    <w:rPr>
                      <w:sz w:val="20"/>
                      <w:szCs w:val="20"/>
                    </w:rPr>
                  </w:pPr>
                  <w:r w:rsidRPr="00441B53">
                    <w:rPr>
                      <w:sz w:val="20"/>
                      <w:szCs w:val="20"/>
                    </w:rPr>
                    <w:t>—</w:t>
                  </w:r>
                </w:p>
              </w:tc>
              <w:tc>
                <w:tcPr>
                  <w:tcW w:w="9166" w:type="dxa"/>
                  <w:hideMark/>
                </w:tcPr>
                <w:p w:rsidR="00CE476E" w:rsidRPr="00441B53" w:rsidRDefault="00CE476E" w:rsidP="00CE476E">
                  <w:pPr>
                    <w:spacing w:before="0" w:beforeAutospacing="0" w:after="0" w:afterAutospacing="0"/>
                    <w:jc w:val="both"/>
                    <w:rPr>
                      <w:sz w:val="20"/>
                      <w:szCs w:val="20"/>
                    </w:rPr>
                  </w:pPr>
                  <w:r w:rsidRPr="00441B53">
                    <w:rPr>
                      <w:sz w:val="20"/>
                      <w:szCs w:val="20"/>
                    </w:rPr>
                    <w:t>znížené sadzby spotrebnej dane sa neuplatňujú na podniky, ktoré vyrábajú celkovo viac ako 250 hl týchto nápojov ročne,</w:t>
                  </w:r>
                </w:p>
              </w:tc>
            </w:tr>
          </w:tbl>
          <w:p w:rsidR="00CE476E" w:rsidRPr="00441B53" w:rsidRDefault="00CE476E" w:rsidP="00CE476E">
            <w:pPr>
              <w:shd w:val="clear" w:color="auto" w:fill="FFFFFF"/>
              <w:spacing w:before="0" w:beforeAutospacing="0" w:after="0" w:afterAutospacing="0"/>
              <w:rPr>
                <w:vanish/>
                <w:sz w:val="20"/>
                <w:szCs w:val="20"/>
              </w:rPr>
            </w:pPr>
          </w:p>
          <w:tbl>
            <w:tblPr>
              <w:tblW w:w="5000" w:type="pct"/>
              <w:tblLayout w:type="fixed"/>
              <w:tblCellMar>
                <w:left w:w="0" w:type="dxa"/>
                <w:right w:w="0" w:type="dxa"/>
              </w:tblCellMar>
              <w:tblLook w:val="04A0" w:firstRow="1" w:lastRow="0" w:firstColumn="1" w:lastColumn="0" w:noHBand="0" w:noVBand="1"/>
            </w:tblPr>
            <w:tblGrid>
              <w:gridCol w:w="154"/>
              <w:gridCol w:w="5572"/>
            </w:tblGrid>
            <w:tr w:rsidR="00CE476E" w:rsidRPr="00441B53" w:rsidTr="00CE476E">
              <w:tc>
                <w:tcPr>
                  <w:tcW w:w="240" w:type="dxa"/>
                  <w:hideMark/>
                </w:tcPr>
                <w:p w:rsidR="00CE476E" w:rsidRPr="00441B53" w:rsidRDefault="00CE476E" w:rsidP="00CE476E">
                  <w:pPr>
                    <w:spacing w:before="0" w:beforeAutospacing="0" w:after="0" w:afterAutospacing="0"/>
                    <w:jc w:val="both"/>
                    <w:rPr>
                      <w:sz w:val="20"/>
                      <w:szCs w:val="20"/>
                    </w:rPr>
                  </w:pPr>
                  <w:r w:rsidRPr="00441B53">
                    <w:rPr>
                      <w:sz w:val="20"/>
                      <w:szCs w:val="20"/>
                    </w:rPr>
                    <w:t>—</w:t>
                  </w:r>
                </w:p>
              </w:tc>
              <w:tc>
                <w:tcPr>
                  <w:tcW w:w="9166" w:type="dxa"/>
                  <w:hideMark/>
                </w:tcPr>
                <w:p w:rsidR="00CE476E" w:rsidRPr="00441B53" w:rsidRDefault="00CE476E" w:rsidP="00CE476E">
                  <w:pPr>
                    <w:spacing w:before="0" w:beforeAutospacing="0" w:after="0" w:afterAutospacing="0"/>
                    <w:jc w:val="both"/>
                    <w:rPr>
                      <w:sz w:val="20"/>
                      <w:szCs w:val="20"/>
                    </w:rPr>
                  </w:pPr>
                  <w:r w:rsidRPr="00441B53">
                    <w:rPr>
                      <w:sz w:val="20"/>
                      <w:szCs w:val="20"/>
                    </w:rPr>
                    <w:t>znížené sadzby spotrebnej dane ktoré môžu klesnúť pod hodnotu minimálnej sadzby, nesmú byť znížené o viac ako 50 % pod hodnotu štandardnej národnej sadzby dane na medziprodukty.</w:t>
                  </w:r>
                </w:p>
              </w:tc>
            </w:tr>
          </w:tbl>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2.   Členské štáty môžu obmedziť uplatňovanie tohto článku na určité typy medziproduktov.</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3.   Na účely tohto článku sa pojmom „nezávislý malý výrobca“ označuje výrobca medziproduktov, ktorý je právne a hospodársky nezávislý od akéhokoľvek iného výrobcu medziproduktov, ktorý využíva priestory a budovy fyzicky sa nachádzajúce mimo priestorov a budov akýchkoľvek iných výrobcov a ktorý nevykonáva činnosť na základe licencie. Ak však spolupracujú dvaja alebo viacerí malí výrobcovia a ich celková ročná produkcia neprekračuje hodnotu 250 hl, môžu sa títo výrobcovia považovať za jedného nezávislého malého výrobcu.</w:t>
            </w:r>
          </w:p>
          <w:p w:rsidR="00CE476E" w:rsidRPr="00441B53" w:rsidRDefault="00CE476E" w:rsidP="00CE476E">
            <w:pPr>
              <w:shd w:val="clear" w:color="auto" w:fill="FFFFFF"/>
              <w:spacing w:before="0" w:beforeAutospacing="0" w:after="0" w:afterAutospacing="0"/>
              <w:jc w:val="both"/>
              <w:rPr>
                <w:sz w:val="20"/>
                <w:szCs w:val="20"/>
              </w:rPr>
            </w:pPr>
            <w:r w:rsidRPr="00441B53">
              <w:rPr>
                <w:sz w:val="20"/>
                <w:szCs w:val="20"/>
              </w:rPr>
              <w:t>4.   Členské štáty zabezpečia, aby sa akékoľvek zavedené znížené sadzby spotrebnej dane uplatňovali rovnako aj na ostatné medziprodukty dodávané na ich územie od nezávislých malých výrobcov situovaných v iných členských štátoch. Predovšetkým musia zabezpečiť, aby žiadna individuálna dodávka z iného členského štátu nebola zaťažená vyššou daňou v porovnaní s jej zodpovedajúcim národným ekvivalentom.“</w:t>
            </w:r>
          </w:p>
          <w:p w:rsidR="00CE476E" w:rsidRPr="00441B53" w:rsidRDefault="00CE476E" w:rsidP="00CE476E">
            <w:pPr>
              <w:pStyle w:val="oj-normal"/>
              <w:shd w:val="clear" w:color="auto" w:fill="FFFFFF"/>
              <w:spacing w:before="0" w:beforeAutospacing="0" w:after="0" w:afterAutospacing="0"/>
              <w:jc w:val="both"/>
              <w:rPr>
                <w:sz w:val="20"/>
                <w:szCs w:val="20"/>
              </w:rPr>
            </w:pPr>
          </w:p>
        </w:tc>
        <w:tc>
          <w:tcPr>
            <w:tcW w:w="1245" w:type="dxa"/>
            <w:tcBorders>
              <w:top w:val="single" w:sz="4" w:space="0" w:color="auto"/>
              <w:left w:val="single" w:sz="4" w:space="0" w:color="auto"/>
              <w:bottom w:val="single" w:sz="4" w:space="0" w:color="auto"/>
              <w:right w:val="single" w:sz="12" w:space="0" w:color="auto"/>
            </w:tcBorders>
          </w:tcPr>
          <w:p w:rsidR="00CE476E" w:rsidRPr="00441B53" w:rsidRDefault="00CE476E">
            <w:pPr>
              <w:pStyle w:val="Normlny0"/>
              <w:jc w:val="center"/>
            </w:pPr>
          </w:p>
          <w:p w:rsidR="00CE476E" w:rsidRPr="00441B53" w:rsidRDefault="00CE476E">
            <w:pPr>
              <w:pStyle w:val="Normlny0"/>
              <w:jc w:val="center"/>
            </w:pPr>
            <w:r w:rsidRPr="00441B53">
              <w:t>D</w:t>
            </w:r>
          </w:p>
        </w:tc>
        <w:tc>
          <w:tcPr>
            <w:tcW w:w="846" w:type="dxa"/>
            <w:tcBorders>
              <w:top w:val="single" w:sz="4" w:space="0" w:color="auto"/>
              <w:left w:val="nil"/>
              <w:bottom w:val="single" w:sz="4" w:space="0" w:color="auto"/>
              <w:right w:val="single" w:sz="4" w:space="0" w:color="auto"/>
            </w:tcBorders>
          </w:tcPr>
          <w:p w:rsidR="00CE476E" w:rsidRPr="00441B53" w:rsidRDefault="00CE476E">
            <w:pPr>
              <w:pStyle w:val="Normlny0"/>
              <w:jc w:val="center"/>
            </w:pPr>
          </w:p>
        </w:tc>
        <w:tc>
          <w:tcPr>
            <w:tcW w:w="886" w:type="dxa"/>
            <w:tcBorders>
              <w:top w:val="single" w:sz="4" w:space="0" w:color="auto"/>
              <w:left w:val="single" w:sz="4" w:space="0" w:color="auto"/>
              <w:bottom w:val="single" w:sz="4" w:space="0" w:color="auto"/>
              <w:right w:val="single" w:sz="4" w:space="0" w:color="auto"/>
            </w:tcBorders>
          </w:tcPr>
          <w:p w:rsidR="00CE476E" w:rsidRPr="00441B53" w:rsidRDefault="00CE476E">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CE476E" w:rsidRPr="00441B53" w:rsidRDefault="00CE476E">
            <w:pPr>
              <w:pStyle w:val="Normlny0"/>
              <w:jc w:val="center"/>
            </w:pPr>
          </w:p>
        </w:tc>
        <w:tc>
          <w:tcPr>
            <w:tcW w:w="423" w:type="dxa"/>
            <w:tcBorders>
              <w:top w:val="single" w:sz="4" w:space="0" w:color="auto"/>
              <w:left w:val="single" w:sz="4" w:space="0" w:color="auto"/>
              <w:bottom w:val="single" w:sz="4" w:space="0" w:color="auto"/>
              <w:right w:val="single" w:sz="4" w:space="0" w:color="auto"/>
            </w:tcBorders>
          </w:tcPr>
          <w:p w:rsidR="00CE476E" w:rsidRPr="00441B53" w:rsidRDefault="00CE476E">
            <w:pPr>
              <w:pStyle w:val="Normlny0"/>
              <w:jc w:val="center"/>
            </w:pPr>
          </w:p>
          <w:p w:rsidR="00CE476E" w:rsidRPr="00441B53" w:rsidRDefault="00CE476E">
            <w:pPr>
              <w:pStyle w:val="Normlny0"/>
              <w:jc w:val="center"/>
            </w:pPr>
            <w:r w:rsidRPr="00441B53">
              <w:t>n.a.</w:t>
            </w:r>
          </w:p>
        </w:tc>
        <w:tc>
          <w:tcPr>
            <w:tcW w:w="633" w:type="dxa"/>
            <w:tcBorders>
              <w:top w:val="single" w:sz="4" w:space="0" w:color="auto"/>
              <w:left w:val="single" w:sz="4" w:space="0" w:color="auto"/>
              <w:bottom w:val="single" w:sz="4" w:space="0" w:color="auto"/>
              <w:right w:val="single" w:sz="12" w:space="0" w:color="auto"/>
            </w:tcBorders>
          </w:tcPr>
          <w:p w:rsidR="00CE476E" w:rsidRPr="00924B99" w:rsidRDefault="00CE476E">
            <w:pPr>
              <w:pStyle w:val="Normlny0"/>
              <w:jc w:val="center"/>
            </w:pPr>
          </w:p>
        </w:tc>
      </w:tr>
      <w:tr w:rsidR="00A9063F" w:rsidRPr="00441B53" w:rsidTr="00475447">
        <w:trPr>
          <w:trHeight w:val="2313"/>
        </w:trPr>
        <w:tc>
          <w:tcPr>
            <w:tcW w:w="682" w:type="dxa"/>
            <w:tcBorders>
              <w:top w:val="single" w:sz="4" w:space="0" w:color="auto"/>
              <w:left w:val="single" w:sz="12" w:space="0" w:color="auto"/>
              <w:bottom w:val="single" w:sz="4" w:space="0" w:color="auto"/>
              <w:right w:val="single" w:sz="4" w:space="0" w:color="auto"/>
            </w:tcBorders>
          </w:tcPr>
          <w:p w:rsidR="00AE4B8A" w:rsidRPr="00441B53" w:rsidRDefault="0078287E" w:rsidP="00EA646D">
            <w:pPr>
              <w:autoSpaceDE w:val="0"/>
              <w:autoSpaceDN w:val="0"/>
              <w:spacing w:before="0" w:beforeAutospacing="0" w:after="0" w:afterAutospacing="0"/>
              <w:jc w:val="center"/>
              <w:rPr>
                <w:sz w:val="20"/>
                <w:szCs w:val="20"/>
              </w:rPr>
            </w:pPr>
            <w:r w:rsidRPr="00441B53">
              <w:rPr>
                <w:sz w:val="20"/>
                <w:szCs w:val="20"/>
              </w:rPr>
              <w:t xml:space="preserve">Čl. </w:t>
            </w:r>
            <w:r w:rsidR="00EA646D" w:rsidRPr="00441B53">
              <w:rPr>
                <w:sz w:val="20"/>
                <w:szCs w:val="20"/>
              </w:rPr>
              <w:t>1, bod 11</w:t>
            </w:r>
          </w:p>
          <w:p w:rsidR="00A9063F" w:rsidRPr="00441B53" w:rsidRDefault="00A9063F" w:rsidP="00AE4B8A">
            <w:pPr>
              <w:autoSpaceDE w:val="0"/>
              <w:autoSpaceDN w:val="0"/>
              <w:spacing w:before="0" w:beforeAutospacing="0" w:after="0" w:afterAutospacing="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tcPr>
          <w:p w:rsidR="0027335F" w:rsidRPr="00441B53" w:rsidRDefault="0027335F" w:rsidP="00EA646D">
            <w:pPr>
              <w:spacing w:before="0" w:beforeAutospacing="0" w:after="0" w:afterAutospacing="0"/>
              <w:ind w:left="382" w:hanging="382"/>
              <w:jc w:val="both"/>
              <w:rPr>
                <w:sz w:val="20"/>
                <w:szCs w:val="20"/>
                <w:shd w:val="clear" w:color="auto" w:fill="FFFFFF"/>
              </w:rPr>
            </w:pPr>
            <w:r w:rsidRPr="00441B53">
              <w:rPr>
                <w:sz w:val="20"/>
                <w:szCs w:val="20"/>
                <w:shd w:val="clear" w:color="auto" w:fill="FFFFFF"/>
              </w:rPr>
              <w:t>11.Článok 22 sa mení takto:</w:t>
            </w:r>
          </w:p>
          <w:tbl>
            <w:tblPr>
              <w:tblW w:w="5000" w:type="pct"/>
              <w:tblLayout w:type="fixed"/>
              <w:tblCellMar>
                <w:left w:w="0" w:type="dxa"/>
                <w:right w:w="0" w:type="dxa"/>
              </w:tblCellMar>
              <w:tblLook w:val="04A0" w:firstRow="1" w:lastRow="0" w:firstColumn="1" w:lastColumn="0" w:noHBand="0" w:noVBand="1"/>
            </w:tblPr>
            <w:tblGrid>
              <w:gridCol w:w="241"/>
              <w:gridCol w:w="5485"/>
            </w:tblGrid>
            <w:tr w:rsidR="00AA3436" w:rsidRPr="00441B53" w:rsidTr="00AA3436">
              <w:tc>
                <w:tcPr>
                  <w:tcW w:w="241" w:type="dxa"/>
                  <w:shd w:val="clear" w:color="auto" w:fill="FFFFFF"/>
                  <w:hideMark/>
                </w:tcPr>
                <w:p w:rsidR="00CE476E" w:rsidRPr="00441B53" w:rsidRDefault="00CE476E" w:rsidP="00AA3436">
                  <w:pPr>
                    <w:spacing w:before="0" w:beforeAutospacing="0" w:after="0" w:afterAutospacing="0"/>
                    <w:jc w:val="both"/>
                    <w:rPr>
                      <w:sz w:val="20"/>
                      <w:szCs w:val="20"/>
                    </w:rPr>
                  </w:pPr>
                  <w:r w:rsidRPr="00441B53">
                    <w:rPr>
                      <w:sz w:val="20"/>
                      <w:szCs w:val="20"/>
                    </w:rPr>
                    <w:t>a)</w:t>
                  </w:r>
                </w:p>
              </w:tc>
              <w:tc>
                <w:tcPr>
                  <w:tcW w:w="5485" w:type="dxa"/>
                  <w:shd w:val="clear" w:color="auto" w:fill="FFFFFF"/>
                  <w:hideMark/>
                </w:tcPr>
                <w:p w:rsidR="00CE476E" w:rsidRPr="00441B53" w:rsidRDefault="00CE476E" w:rsidP="00AA3436">
                  <w:pPr>
                    <w:spacing w:before="0" w:beforeAutospacing="0" w:after="0" w:afterAutospacing="0"/>
                    <w:jc w:val="both"/>
                    <w:rPr>
                      <w:sz w:val="20"/>
                      <w:szCs w:val="20"/>
                    </w:rPr>
                  </w:pPr>
                  <w:r w:rsidRPr="00441B53">
                    <w:rPr>
                      <w:sz w:val="20"/>
                      <w:szCs w:val="20"/>
                    </w:rPr>
                    <w:t>odsek 6 sa nahrádza takto:</w:t>
                  </w:r>
                </w:p>
                <w:p w:rsidR="00CE476E" w:rsidRPr="00441B53" w:rsidRDefault="00CE476E" w:rsidP="00AA3436">
                  <w:pPr>
                    <w:spacing w:before="0" w:beforeAutospacing="0" w:after="0" w:afterAutospacing="0"/>
                    <w:jc w:val="both"/>
                    <w:rPr>
                      <w:sz w:val="20"/>
                      <w:szCs w:val="20"/>
                    </w:rPr>
                  </w:pPr>
                  <w:r w:rsidRPr="00441B53">
                    <w:rPr>
                      <w:sz w:val="20"/>
                      <w:szCs w:val="20"/>
                    </w:rPr>
                    <w:t>„6.   Bulharská republika môže uplatňovať zníženú sadzbu spotrebnej dane najmenej vo výške 50 % štandardnej národnej sadzby spotrebnej dane z etylalkoholu na etylalkohol vyrábaný v páleniciach pestovateľov ovocia, v ktorých sa ročne vyrobí viac ako 10 hektolitrov etylalkoholu z ovocia dodaného domácnosťami pestovateľov ovocia. Uplatňovanie zníženej sadzby spotrebnej dane sa obmedzuje na 30 litrov destilátov vyrobených z ovocia na jednu domácnosť pestovateľov ovocia ročne určených výlučne na ich osobnú spotrebu. Keď Bulharská republika využije túto možnosť, nesmie už viac uplatňovať odsek 8 tohto článku.“;</w:t>
                  </w:r>
                </w:p>
              </w:tc>
            </w:tr>
          </w:tbl>
          <w:p w:rsidR="00CE476E" w:rsidRPr="00441B53" w:rsidRDefault="00CE476E" w:rsidP="00CE476E">
            <w:pPr>
              <w:spacing w:before="0" w:beforeAutospacing="0" w:after="0" w:afterAutospacing="0"/>
              <w:rPr>
                <w:vanish/>
                <w:sz w:val="20"/>
                <w:szCs w:val="20"/>
              </w:rPr>
            </w:pPr>
          </w:p>
          <w:tbl>
            <w:tblPr>
              <w:tblW w:w="5823" w:type="dxa"/>
              <w:tblLayout w:type="fixed"/>
              <w:tblCellMar>
                <w:left w:w="0" w:type="dxa"/>
                <w:right w:w="0" w:type="dxa"/>
              </w:tblCellMar>
              <w:tblLook w:val="04A0" w:firstRow="1" w:lastRow="0" w:firstColumn="1" w:lastColumn="0" w:noHBand="0" w:noVBand="1"/>
            </w:tblPr>
            <w:tblGrid>
              <w:gridCol w:w="241"/>
              <w:gridCol w:w="5582"/>
            </w:tblGrid>
            <w:tr w:rsidR="00AA3436" w:rsidRPr="00441B53" w:rsidTr="00AA3436">
              <w:tc>
                <w:tcPr>
                  <w:tcW w:w="241" w:type="dxa"/>
                  <w:shd w:val="clear" w:color="auto" w:fill="FFFFFF"/>
                  <w:hideMark/>
                </w:tcPr>
                <w:p w:rsidR="00CE476E" w:rsidRPr="00441B53" w:rsidRDefault="00CE476E" w:rsidP="00AA3436">
                  <w:pPr>
                    <w:spacing w:before="0" w:beforeAutospacing="0" w:after="0" w:afterAutospacing="0"/>
                    <w:jc w:val="both"/>
                    <w:rPr>
                      <w:sz w:val="20"/>
                      <w:szCs w:val="20"/>
                    </w:rPr>
                  </w:pPr>
                  <w:r w:rsidRPr="00441B53">
                    <w:rPr>
                      <w:sz w:val="20"/>
                      <w:szCs w:val="20"/>
                    </w:rPr>
                    <w:t>b)</w:t>
                  </w:r>
                </w:p>
              </w:tc>
              <w:tc>
                <w:tcPr>
                  <w:tcW w:w="5582" w:type="dxa"/>
                  <w:shd w:val="clear" w:color="auto" w:fill="FFFFFF"/>
                  <w:hideMark/>
                </w:tcPr>
                <w:p w:rsidR="00CE476E" w:rsidRPr="00441B53" w:rsidRDefault="00AA3436" w:rsidP="00AA3436">
                  <w:pPr>
                    <w:spacing w:before="0" w:beforeAutospacing="0" w:after="0" w:afterAutospacing="0"/>
                    <w:jc w:val="both"/>
                    <w:rPr>
                      <w:sz w:val="20"/>
                      <w:szCs w:val="20"/>
                    </w:rPr>
                  </w:pPr>
                  <w:r w:rsidRPr="00441B53">
                    <w:rPr>
                      <w:sz w:val="20"/>
                      <w:szCs w:val="20"/>
                    </w:rPr>
                    <w:t xml:space="preserve"> </w:t>
                  </w:r>
                  <w:r w:rsidR="00CE476E" w:rsidRPr="00441B53">
                    <w:rPr>
                      <w:sz w:val="20"/>
                      <w:szCs w:val="20"/>
                    </w:rPr>
                    <w:t>vkladá sa tento odsek:</w:t>
                  </w:r>
                </w:p>
                <w:p w:rsidR="00CE476E" w:rsidRPr="00441B53" w:rsidRDefault="00CE476E" w:rsidP="00AA3436">
                  <w:pPr>
                    <w:spacing w:before="0" w:beforeAutospacing="0" w:after="0" w:afterAutospacing="0"/>
                    <w:jc w:val="both"/>
                    <w:rPr>
                      <w:sz w:val="20"/>
                      <w:szCs w:val="20"/>
                    </w:rPr>
                  </w:pPr>
                  <w:r w:rsidRPr="00441B53">
                    <w:rPr>
                      <w:sz w:val="20"/>
                      <w:szCs w:val="20"/>
                    </w:rPr>
                    <w:t>„6a.   Česká republika a Poľská republika môžu uplatňovať zníženú sadzbu spotrebnej dane najmenej vo výške 50 % štandardnej národnej sadzby spotrebnej dane z etylalkoholu na etylalkohol vyrábaný v páleniciach pestovateľov ovocia, v ktorých sa ročne vyrobí viac ako 10 hektolitrov etylalkoholu z ovocia dodaného domácnosťami pestovateľov ovocia. Uplatňovanie zníženej sadzby spotrebnej dane sa obmedzuje na 30 litrov destilátov vyrobených z ovocia na jednu domácnosť pestovateľov ovocia ročne určených výlučne na ich osobnú spotrebu.“;</w:t>
                  </w:r>
                </w:p>
              </w:tc>
            </w:tr>
          </w:tbl>
          <w:p w:rsidR="00CE476E" w:rsidRPr="00441B53" w:rsidRDefault="00CE476E" w:rsidP="00AA3436">
            <w:pPr>
              <w:spacing w:before="0" w:beforeAutospacing="0" w:after="0" w:afterAutospacing="0"/>
              <w:jc w:val="both"/>
              <w:rPr>
                <w:sz w:val="20"/>
                <w:szCs w:val="20"/>
              </w:rPr>
            </w:pPr>
          </w:p>
          <w:p w:rsidR="00EA646D" w:rsidRPr="00441B53" w:rsidRDefault="00EA646D" w:rsidP="00EA646D">
            <w:pPr>
              <w:spacing w:before="0" w:beforeAutospacing="0" w:after="0" w:afterAutospacing="0"/>
              <w:ind w:left="382" w:hanging="382"/>
              <w:jc w:val="both"/>
              <w:rPr>
                <w:sz w:val="20"/>
                <w:szCs w:val="20"/>
              </w:rPr>
            </w:pPr>
            <w:r w:rsidRPr="00441B53">
              <w:rPr>
                <w:sz w:val="20"/>
                <w:szCs w:val="20"/>
              </w:rPr>
              <w:t xml:space="preserve">c)    dopĺňa sa tento odsek: </w:t>
            </w:r>
          </w:p>
          <w:p w:rsidR="00EA646D" w:rsidRPr="00441B53" w:rsidRDefault="00EA646D" w:rsidP="00EA646D">
            <w:pPr>
              <w:spacing w:before="0" w:beforeAutospacing="0" w:after="0" w:afterAutospacing="0"/>
              <w:ind w:left="382"/>
              <w:jc w:val="both"/>
              <w:rPr>
                <w:sz w:val="20"/>
                <w:szCs w:val="20"/>
              </w:rPr>
            </w:pPr>
            <w:r w:rsidRPr="00441B53">
              <w:rPr>
                <w:sz w:val="20"/>
                <w:szCs w:val="20"/>
              </w:rPr>
              <w:t xml:space="preserve">„8.S výhradou podmienok, ktoré stanovia na zabezpečenie jednoznačného uplatňovania tohto odseku, môžu členské štáty oslobodiť od spotrebnej dane etylalkohol alebo uplatňovať znížené sadzby spotrebnej dane z etylalkoholu na etylalkohol, ktorý konzumuje súkromná osoba, jej rodinní príslušníci alebo jej hostia za predpokladu, že nedochádza k jeho predaju: a) ktorý vyrába uvedená súkromná osoba z ovocia, ktoré táto súkromná osoba vlastní, pestuje a dodáva z pozemku, na ktorý má vlastnícky nárok, pričom používa jednoduché malé destilačné zariadenie registrované príslušným orgánom dotknutého členského štátu; a/alebo b) ktorý vyrába uvedená súkromná osoba v páleniciach schválených príslušným orgánom dotknutého členského štátu z ovocia, ktoré táto súkromná osoba vlastní, pestuje a dodáva z pozemku, na ktorý má vlastnícky nárok. Členské štáty obmedzia uplatňovanie oslobodenia od dane alebo uplatňovanie znížených sadzieb spotrebnej dane na najviac 50 litrov destilátov z ovocia na jednu domácnosť pestovateľa ovocia ročne. Členské štáty, ktoré uplatňujú takéto oslobodenie od spotrebnej dane alebo znížené sadzby spotrebnej dane: a) stanovia podmienky na účely predchádzania akýmkoľvek daňovým únikom, vyhýbaniu sa daňovej povinnosti alebo zneužívaniu daňového režimu; b) majú zavedené primerané požiadavky a postupy na zabezpečenie kontroly výroby a spotreby, ako aj predchádzania cezhraničným účinkom a predaju; a c) stanovia pravidlá, pokiaľ ide o sankcie uplatniteľné pri porušení vnútroštátnych ustanovení prijatých podľa tohto článku, a prijmú všetky opatrenia potrebné na zabezpečenie ich uplatňovania. Stanovené sankcie musia byť účinné, primerané a odrádzajúce. </w:t>
            </w:r>
          </w:p>
          <w:p w:rsidR="0000149A" w:rsidRPr="00441B53" w:rsidRDefault="00EA646D" w:rsidP="00EA646D">
            <w:pPr>
              <w:spacing w:before="0" w:beforeAutospacing="0" w:after="0" w:afterAutospacing="0"/>
              <w:ind w:left="382"/>
              <w:jc w:val="both"/>
              <w:rPr>
                <w:vanish/>
                <w:sz w:val="20"/>
                <w:szCs w:val="20"/>
              </w:rPr>
            </w:pPr>
            <w:r w:rsidRPr="00441B53">
              <w:rPr>
                <w:sz w:val="20"/>
                <w:szCs w:val="20"/>
              </w:rPr>
              <w:t>Členské štáty nesmú uplatňovať tieto ustanovenia popri ustanoveniach v odseku 6, 6a alebo 7.“</w:t>
            </w:r>
            <w:r w:rsidR="00C33219" w:rsidRPr="00441B53">
              <w:rPr>
                <w:vanish/>
                <w:sz w:val="20"/>
                <w:szCs w:val="20"/>
              </w:rPr>
              <w:t xml:space="preserve"> </w:t>
            </w:r>
          </w:p>
          <w:p w:rsidR="002E1D16" w:rsidRPr="00441B53" w:rsidRDefault="002E1D16" w:rsidP="00217BF4">
            <w:pPr>
              <w:pStyle w:val="CM4"/>
              <w:spacing w:before="60" w:after="60"/>
              <w:rPr>
                <w:rFonts w:ascii="Times New Roman" w:hAnsi="Times New Roman"/>
                <w:sz w:val="20"/>
                <w:szCs w:val="20"/>
              </w:rPr>
            </w:pPr>
          </w:p>
        </w:tc>
        <w:tc>
          <w:tcPr>
            <w:tcW w:w="1245" w:type="dxa"/>
            <w:tcBorders>
              <w:top w:val="single" w:sz="4" w:space="0" w:color="auto"/>
              <w:left w:val="single" w:sz="4" w:space="0" w:color="auto"/>
              <w:bottom w:val="single" w:sz="4" w:space="0" w:color="auto"/>
              <w:right w:val="single" w:sz="12" w:space="0" w:color="auto"/>
            </w:tcBorders>
          </w:tcPr>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r w:rsidRPr="00441B53">
              <w:rPr>
                <w:sz w:val="20"/>
                <w:szCs w:val="20"/>
              </w:rPr>
              <w:t>n.a.</w:t>
            </w: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EA646D" w:rsidRPr="00441B53" w:rsidRDefault="0027335F">
            <w:pPr>
              <w:autoSpaceDE w:val="0"/>
              <w:autoSpaceDN w:val="0"/>
              <w:spacing w:before="0" w:beforeAutospacing="0" w:after="0" w:afterAutospacing="0"/>
              <w:jc w:val="center"/>
              <w:rPr>
                <w:sz w:val="20"/>
                <w:szCs w:val="20"/>
              </w:rPr>
            </w:pPr>
            <w:r w:rsidRPr="00441B53">
              <w:rPr>
                <w:sz w:val="20"/>
                <w:szCs w:val="20"/>
              </w:rPr>
              <w:t>D</w:t>
            </w: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EA646D" w:rsidRPr="00441B53" w:rsidRDefault="00EA646D">
            <w:pPr>
              <w:autoSpaceDE w:val="0"/>
              <w:autoSpaceDN w:val="0"/>
              <w:spacing w:before="0" w:beforeAutospacing="0" w:after="0" w:afterAutospacing="0"/>
              <w:jc w:val="center"/>
              <w:rPr>
                <w:sz w:val="20"/>
                <w:szCs w:val="20"/>
              </w:rPr>
            </w:pPr>
          </w:p>
          <w:p w:rsidR="0035207F" w:rsidRPr="00441B53" w:rsidRDefault="0035207F" w:rsidP="00EA646D">
            <w:pPr>
              <w:autoSpaceDE w:val="0"/>
              <w:autoSpaceDN w:val="0"/>
              <w:spacing w:before="0" w:beforeAutospacing="0" w:after="0" w:afterAutospacing="0"/>
              <w:jc w:val="center"/>
              <w:rPr>
                <w:sz w:val="20"/>
                <w:szCs w:val="20"/>
              </w:rPr>
            </w:pPr>
          </w:p>
          <w:p w:rsidR="007354DF" w:rsidRPr="00441B53" w:rsidRDefault="007354DF" w:rsidP="00EA646D">
            <w:pPr>
              <w:autoSpaceDE w:val="0"/>
              <w:autoSpaceDN w:val="0"/>
              <w:spacing w:before="0" w:beforeAutospacing="0" w:after="0" w:afterAutospacing="0"/>
              <w:jc w:val="center"/>
              <w:rPr>
                <w:sz w:val="20"/>
                <w:szCs w:val="20"/>
              </w:rPr>
            </w:pPr>
          </w:p>
          <w:p w:rsidR="00E030B3" w:rsidRPr="00441B53" w:rsidRDefault="00E030B3" w:rsidP="00EA646D">
            <w:pPr>
              <w:autoSpaceDE w:val="0"/>
              <w:autoSpaceDN w:val="0"/>
              <w:spacing w:before="0" w:beforeAutospacing="0" w:after="0" w:afterAutospacing="0"/>
              <w:jc w:val="center"/>
              <w:rPr>
                <w:sz w:val="20"/>
                <w:szCs w:val="20"/>
              </w:rPr>
            </w:pPr>
            <w:r w:rsidRPr="00441B53">
              <w:rPr>
                <w:sz w:val="20"/>
                <w:szCs w:val="20"/>
              </w:rPr>
              <w:t>N</w:t>
            </w:r>
          </w:p>
        </w:tc>
        <w:tc>
          <w:tcPr>
            <w:tcW w:w="846" w:type="dxa"/>
            <w:tcBorders>
              <w:top w:val="single" w:sz="4" w:space="0" w:color="auto"/>
              <w:left w:val="nil"/>
              <w:bottom w:val="single" w:sz="4" w:space="0" w:color="auto"/>
              <w:right w:val="single" w:sz="4" w:space="0" w:color="auto"/>
            </w:tcBorders>
          </w:tcPr>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2B4435" w:rsidRPr="00441B53" w:rsidRDefault="002B4435"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AA3436" w:rsidRPr="00441B53" w:rsidRDefault="00AA3436" w:rsidP="001373DA">
            <w:pPr>
              <w:autoSpaceDE w:val="0"/>
              <w:autoSpaceDN w:val="0"/>
              <w:spacing w:before="0" w:beforeAutospacing="0" w:after="0" w:afterAutospacing="0"/>
              <w:jc w:val="center"/>
              <w:rPr>
                <w:sz w:val="20"/>
                <w:szCs w:val="20"/>
              </w:rPr>
            </w:pPr>
          </w:p>
          <w:p w:rsidR="0000149A" w:rsidRPr="00441B53" w:rsidRDefault="00ED4059" w:rsidP="001373DA">
            <w:pPr>
              <w:autoSpaceDE w:val="0"/>
              <w:autoSpaceDN w:val="0"/>
              <w:spacing w:before="0" w:beforeAutospacing="0" w:after="0" w:afterAutospacing="0"/>
              <w:jc w:val="center"/>
              <w:rPr>
                <w:b/>
                <w:sz w:val="20"/>
                <w:szCs w:val="20"/>
              </w:rPr>
            </w:pPr>
            <w:r w:rsidRPr="00441B53">
              <w:rPr>
                <w:sz w:val="20"/>
                <w:szCs w:val="20"/>
              </w:rPr>
              <w:t xml:space="preserve">530/2011a </w:t>
            </w:r>
            <w:r w:rsidR="004808B5" w:rsidRPr="00441B53">
              <w:rPr>
                <w:b/>
                <w:sz w:val="20"/>
                <w:szCs w:val="20"/>
              </w:rPr>
              <w:t>N</w:t>
            </w:r>
            <w:r w:rsidR="0000149A" w:rsidRPr="00441B53">
              <w:rPr>
                <w:b/>
                <w:sz w:val="20"/>
                <w:szCs w:val="20"/>
              </w:rPr>
              <w:t>ávrh zákona</w:t>
            </w:r>
            <w:r w:rsidRPr="00441B53">
              <w:rPr>
                <w:b/>
                <w:sz w:val="20"/>
                <w:szCs w:val="20"/>
              </w:rPr>
              <w:t xml:space="preserve"> čl.</w:t>
            </w:r>
            <w:r w:rsidR="00AE4B8A" w:rsidRPr="00441B53">
              <w:rPr>
                <w:b/>
                <w:sz w:val="20"/>
                <w:szCs w:val="20"/>
              </w:rPr>
              <w:t xml:space="preserve"> </w:t>
            </w:r>
            <w:r w:rsidRPr="00441B53">
              <w:rPr>
                <w:b/>
                <w:sz w:val="20"/>
                <w:szCs w:val="20"/>
              </w:rPr>
              <w:t>I</w:t>
            </w:r>
          </w:p>
          <w:p w:rsidR="0000149A" w:rsidRPr="00441B53" w:rsidRDefault="0000149A">
            <w:pPr>
              <w:autoSpaceDE w:val="0"/>
              <w:autoSpaceDN w:val="0"/>
              <w:spacing w:before="0" w:beforeAutospacing="0" w:after="0" w:afterAutospacing="0"/>
              <w:jc w:val="center"/>
              <w:rPr>
                <w:b/>
                <w:sz w:val="20"/>
                <w:szCs w:val="20"/>
              </w:rPr>
            </w:pPr>
          </w:p>
        </w:tc>
        <w:tc>
          <w:tcPr>
            <w:tcW w:w="886" w:type="dxa"/>
            <w:tcBorders>
              <w:top w:val="single" w:sz="4" w:space="0" w:color="auto"/>
              <w:left w:val="single" w:sz="4" w:space="0" w:color="auto"/>
              <w:bottom w:val="single" w:sz="4" w:space="0" w:color="auto"/>
              <w:right w:val="single" w:sz="4" w:space="0" w:color="auto"/>
            </w:tcBorders>
          </w:tcPr>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EA646D" w:rsidRPr="00441B53" w:rsidRDefault="00EA646D" w:rsidP="00EA646D">
            <w:pPr>
              <w:pStyle w:val="Normlny0"/>
              <w:jc w:val="center"/>
            </w:pPr>
          </w:p>
          <w:p w:rsidR="0035207F" w:rsidRPr="00441B53" w:rsidRDefault="0035207F"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35207F" w:rsidRPr="00441B53" w:rsidRDefault="0035207F" w:rsidP="00EA646D">
            <w:pPr>
              <w:pStyle w:val="Normlny0"/>
              <w:jc w:val="both"/>
            </w:pPr>
          </w:p>
          <w:p w:rsidR="0035207F" w:rsidRPr="00441B53" w:rsidRDefault="0035207F" w:rsidP="00EA646D">
            <w:pPr>
              <w:pStyle w:val="Normlny0"/>
              <w:jc w:val="both"/>
            </w:pPr>
          </w:p>
          <w:p w:rsidR="002B4435" w:rsidRPr="00441B53" w:rsidRDefault="002B4435"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AA3436" w:rsidRPr="00441B53" w:rsidRDefault="00AA3436" w:rsidP="00EA646D">
            <w:pPr>
              <w:pStyle w:val="Normlny0"/>
              <w:jc w:val="both"/>
            </w:pPr>
          </w:p>
          <w:p w:rsidR="00E030B3" w:rsidRPr="00441B53" w:rsidRDefault="0000149A" w:rsidP="00EA646D">
            <w:pPr>
              <w:pStyle w:val="Normlny0"/>
              <w:jc w:val="both"/>
            </w:pPr>
            <w:r w:rsidRPr="00441B53">
              <w:t xml:space="preserve">§ </w:t>
            </w:r>
            <w:r w:rsidR="00EA646D" w:rsidRPr="00441B53">
              <w:t>49a sa vypúšťa</w:t>
            </w:r>
          </w:p>
          <w:p w:rsidR="00EA646D" w:rsidRPr="00441B53" w:rsidRDefault="00EA646D" w:rsidP="00EA646D">
            <w:pPr>
              <w:spacing w:after="0"/>
              <w:jc w:val="both"/>
              <w:rPr>
                <w:sz w:val="20"/>
                <w:szCs w:val="20"/>
              </w:rPr>
            </w:pPr>
            <w:r w:rsidRPr="00441B53">
              <w:rPr>
                <w:sz w:val="20"/>
                <w:szCs w:val="20"/>
                <w:lang w:eastAsia="en-US"/>
              </w:rPr>
              <w:t>Poznámka pod čiarou k odkazu 63a sa vypúšťa.</w:t>
            </w:r>
          </w:p>
        </w:tc>
        <w:tc>
          <w:tcPr>
            <w:tcW w:w="5609" w:type="dxa"/>
            <w:tcBorders>
              <w:top w:val="single" w:sz="4" w:space="0" w:color="auto"/>
              <w:left w:val="single" w:sz="4" w:space="0" w:color="auto"/>
              <w:bottom w:val="single" w:sz="4" w:space="0" w:color="auto"/>
              <w:right w:val="single" w:sz="4" w:space="0" w:color="auto"/>
            </w:tcBorders>
          </w:tcPr>
          <w:p w:rsidR="004808B5" w:rsidRPr="00441B53" w:rsidRDefault="004808B5" w:rsidP="00475447">
            <w:pPr>
              <w:spacing w:before="0" w:beforeAutospacing="0" w:after="0" w:afterAutospacing="0"/>
              <w:ind w:left="137" w:right="180"/>
              <w:jc w:val="both"/>
              <w:rPr>
                <w:b/>
                <w:sz w:val="20"/>
                <w:szCs w:val="20"/>
                <w:vertAlign w:val="superscript"/>
              </w:rPr>
            </w:pPr>
          </w:p>
        </w:tc>
        <w:tc>
          <w:tcPr>
            <w:tcW w:w="423" w:type="dxa"/>
            <w:tcBorders>
              <w:top w:val="single" w:sz="4" w:space="0" w:color="auto"/>
              <w:left w:val="single" w:sz="4" w:space="0" w:color="auto"/>
              <w:bottom w:val="single" w:sz="4" w:space="0" w:color="auto"/>
              <w:right w:val="single" w:sz="4" w:space="0" w:color="auto"/>
            </w:tcBorders>
          </w:tcPr>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r w:rsidRPr="00441B53">
              <w:rPr>
                <w:sz w:val="20"/>
                <w:szCs w:val="20"/>
              </w:rPr>
              <w:t>n.a.</w:t>
            </w: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2B4435" w:rsidRPr="00441B53" w:rsidRDefault="002B4435">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A3436" w:rsidRPr="00441B53" w:rsidRDefault="00AA3436">
            <w:pPr>
              <w:autoSpaceDE w:val="0"/>
              <w:autoSpaceDN w:val="0"/>
              <w:spacing w:before="0" w:beforeAutospacing="0" w:after="0" w:afterAutospacing="0"/>
              <w:jc w:val="center"/>
              <w:rPr>
                <w:sz w:val="20"/>
                <w:szCs w:val="20"/>
              </w:rPr>
            </w:pPr>
          </w:p>
          <w:p w:rsidR="00A9063F" w:rsidRPr="00441B53" w:rsidRDefault="0078287E">
            <w:pPr>
              <w:autoSpaceDE w:val="0"/>
              <w:autoSpaceDN w:val="0"/>
              <w:spacing w:before="0" w:beforeAutospacing="0" w:after="0" w:afterAutospacing="0"/>
              <w:jc w:val="center"/>
              <w:rPr>
                <w:sz w:val="20"/>
                <w:szCs w:val="20"/>
              </w:rPr>
            </w:pPr>
            <w:r w:rsidRPr="00441B53">
              <w:rPr>
                <w:sz w:val="20"/>
                <w:szCs w:val="20"/>
              </w:rPr>
              <w:t>Ú</w:t>
            </w:r>
          </w:p>
        </w:tc>
        <w:tc>
          <w:tcPr>
            <w:tcW w:w="633" w:type="dxa"/>
            <w:tcBorders>
              <w:top w:val="single" w:sz="4" w:space="0" w:color="auto"/>
              <w:left w:val="single" w:sz="4" w:space="0" w:color="auto"/>
              <w:bottom w:val="single" w:sz="4" w:space="0" w:color="auto"/>
              <w:right w:val="single" w:sz="12" w:space="0" w:color="auto"/>
            </w:tcBorders>
          </w:tcPr>
          <w:p w:rsidR="00A9063F" w:rsidRPr="00441B53" w:rsidRDefault="00A9063F" w:rsidP="004808B5">
            <w:pPr>
              <w:pStyle w:val="Nadpis1"/>
              <w:rPr>
                <w:b w:val="0"/>
                <w:bCs w:val="0"/>
                <w:sz w:val="20"/>
                <w:szCs w:val="20"/>
              </w:rPr>
            </w:pPr>
          </w:p>
          <w:p w:rsidR="0000149A" w:rsidRPr="00441B53" w:rsidRDefault="0000149A" w:rsidP="004808B5">
            <w:pPr>
              <w:autoSpaceDE w:val="0"/>
              <w:autoSpaceDN w:val="0"/>
              <w:spacing w:before="0" w:beforeAutospacing="0" w:after="0" w:afterAutospacing="0"/>
              <w:jc w:val="center"/>
              <w:rPr>
                <w:sz w:val="20"/>
                <w:szCs w:val="20"/>
              </w:rPr>
            </w:pPr>
          </w:p>
          <w:p w:rsidR="0000149A" w:rsidRPr="00441B53" w:rsidRDefault="0000149A" w:rsidP="004808B5">
            <w:pPr>
              <w:autoSpaceDE w:val="0"/>
              <w:autoSpaceDN w:val="0"/>
              <w:spacing w:before="0" w:beforeAutospacing="0" w:after="0" w:afterAutospacing="0"/>
              <w:jc w:val="center"/>
              <w:rPr>
                <w:sz w:val="20"/>
                <w:szCs w:val="20"/>
              </w:rPr>
            </w:pPr>
          </w:p>
          <w:p w:rsidR="0000149A" w:rsidRPr="00441B53" w:rsidRDefault="0000149A" w:rsidP="004808B5">
            <w:pPr>
              <w:autoSpaceDE w:val="0"/>
              <w:autoSpaceDN w:val="0"/>
              <w:spacing w:before="0" w:beforeAutospacing="0" w:after="0" w:afterAutospacing="0"/>
              <w:jc w:val="center"/>
              <w:rPr>
                <w:sz w:val="20"/>
                <w:szCs w:val="20"/>
              </w:rPr>
            </w:pPr>
          </w:p>
          <w:p w:rsidR="0000149A" w:rsidRPr="00441B53" w:rsidRDefault="0000149A" w:rsidP="004808B5">
            <w:pPr>
              <w:autoSpaceDE w:val="0"/>
              <w:autoSpaceDN w:val="0"/>
              <w:spacing w:before="0" w:beforeAutospacing="0" w:after="0" w:afterAutospacing="0"/>
              <w:jc w:val="center"/>
              <w:rPr>
                <w:sz w:val="20"/>
                <w:szCs w:val="20"/>
              </w:rPr>
            </w:pPr>
          </w:p>
          <w:p w:rsidR="0000149A" w:rsidRPr="00441B53" w:rsidRDefault="0000149A" w:rsidP="0000149A">
            <w:pPr>
              <w:autoSpaceDE w:val="0"/>
              <w:autoSpaceDN w:val="0"/>
              <w:spacing w:before="0" w:beforeAutospacing="0" w:after="0" w:afterAutospacing="0"/>
              <w:rPr>
                <w:sz w:val="20"/>
                <w:szCs w:val="20"/>
              </w:rPr>
            </w:pPr>
          </w:p>
        </w:tc>
      </w:tr>
      <w:tr w:rsidR="00AA3436" w:rsidRPr="00924B99" w:rsidTr="00475447">
        <w:trPr>
          <w:trHeight w:val="2313"/>
        </w:trPr>
        <w:tc>
          <w:tcPr>
            <w:tcW w:w="682" w:type="dxa"/>
            <w:tcBorders>
              <w:top w:val="single" w:sz="4" w:space="0" w:color="auto"/>
              <w:left w:val="single" w:sz="12" w:space="0" w:color="auto"/>
              <w:bottom w:val="single" w:sz="4" w:space="0" w:color="auto"/>
              <w:right w:val="single" w:sz="4" w:space="0" w:color="auto"/>
            </w:tcBorders>
          </w:tcPr>
          <w:p w:rsidR="00AA3436" w:rsidRPr="00441B53" w:rsidRDefault="00AA3436" w:rsidP="00AA3436">
            <w:pPr>
              <w:autoSpaceDE w:val="0"/>
              <w:autoSpaceDN w:val="0"/>
              <w:spacing w:before="0" w:beforeAutospacing="0" w:after="0" w:afterAutospacing="0"/>
              <w:jc w:val="center"/>
              <w:rPr>
                <w:sz w:val="20"/>
                <w:szCs w:val="20"/>
              </w:rPr>
            </w:pPr>
            <w:r w:rsidRPr="00441B53">
              <w:rPr>
                <w:sz w:val="20"/>
                <w:szCs w:val="20"/>
              </w:rPr>
              <w:t>Čl. 1, bod 12</w:t>
            </w:r>
          </w:p>
          <w:p w:rsidR="00AA3436" w:rsidRPr="00441B53" w:rsidRDefault="00AA3436" w:rsidP="00EA646D">
            <w:pPr>
              <w:autoSpaceDE w:val="0"/>
              <w:autoSpaceDN w:val="0"/>
              <w:spacing w:before="0" w:beforeAutospacing="0" w:after="0" w:afterAutospacing="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tcPr>
          <w:p w:rsidR="00971040" w:rsidRPr="00441B53" w:rsidRDefault="00971040" w:rsidP="00971040">
            <w:pPr>
              <w:shd w:val="clear" w:color="auto" w:fill="FFFFFF"/>
              <w:spacing w:before="0" w:beforeAutospacing="0" w:after="0" w:afterAutospacing="0"/>
              <w:jc w:val="both"/>
              <w:rPr>
                <w:sz w:val="20"/>
                <w:szCs w:val="20"/>
              </w:rPr>
            </w:pPr>
            <w:r w:rsidRPr="00441B53">
              <w:rPr>
                <w:sz w:val="20"/>
                <w:szCs w:val="20"/>
              </w:rPr>
              <w:t>12. Článok 23 sa nahrádza takto:</w:t>
            </w:r>
          </w:p>
          <w:p w:rsidR="00971040" w:rsidRPr="00441B53" w:rsidRDefault="00971040" w:rsidP="00971040">
            <w:pPr>
              <w:shd w:val="clear" w:color="auto" w:fill="FFFFFF"/>
              <w:spacing w:before="0" w:beforeAutospacing="0" w:after="0" w:afterAutospacing="0"/>
              <w:jc w:val="center"/>
              <w:rPr>
                <w:i/>
                <w:iCs/>
                <w:sz w:val="20"/>
                <w:szCs w:val="20"/>
              </w:rPr>
            </w:pPr>
            <w:r w:rsidRPr="00441B53">
              <w:rPr>
                <w:i/>
                <w:iCs/>
                <w:sz w:val="20"/>
                <w:szCs w:val="20"/>
              </w:rPr>
              <w:t>„Článok 23</w:t>
            </w:r>
          </w:p>
          <w:p w:rsidR="00971040" w:rsidRPr="00441B53" w:rsidRDefault="00971040" w:rsidP="00971040">
            <w:pPr>
              <w:shd w:val="clear" w:color="auto" w:fill="FFFFFF"/>
              <w:spacing w:before="0" w:beforeAutospacing="0" w:after="0" w:afterAutospacing="0"/>
              <w:jc w:val="both"/>
              <w:rPr>
                <w:sz w:val="20"/>
                <w:szCs w:val="20"/>
              </w:rPr>
            </w:pPr>
            <w:r w:rsidRPr="00441B53">
              <w:rPr>
                <w:sz w:val="20"/>
                <w:szCs w:val="20"/>
              </w:rPr>
              <w:t>1.   Francúzska republika môže uplatňovať zníženú sadzbu spotrebnej dane, ktorá môže byť nižšia ako minimálna sadzba, ale nesmie byť stanovená na úrovni nižšej ako 50 % štandardnej národnej sadzby dane z etylalkoholu, na rum vymedzený v bode 1 prílohy II k nariadeniu Európskeho parlamentu a Rady (ES) č. 110/2008</w:t>
            </w:r>
            <w:hyperlink r:id="rId9" w:anchor="ntr*-L_2020256SK.01000101-E0007" w:history="1">
              <w:r w:rsidRPr="00441B53">
                <w:rPr>
                  <w:sz w:val="20"/>
                  <w:szCs w:val="20"/>
                </w:rPr>
                <w:t> (</w:t>
              </w:r>
              <w:r w:rsidRPr="00441B53">
                <w:rPr>
                  <w:sz w:val="20"/>
                  <w:szCs w:val="20"/>
                  <w:vertAlign w:val="superscript"/>
                </w:rPr>
                <w:t>*</w:t>
              </w:r>
              <w:r w:rsidRPr="00441B53">
                <w:rPr>
                  <w:sz w:val="20"/>
                  <w:szCs w:val="20"/>
                </w:rPr>
                <w:t>)</w:t>
              </w:r>
            </w:hyperlink>
            <w:r w:rsidRPr="00441B53">
              <w:rPr>
                <w:sz w:val="20"/>
                <w:szCs w:val="20"/>
              </w:rPr>
              <w:t> a vyrobený z cukrovej trstiny zberanej na mieste výroby, ako sa stanovuje v bode 13 prílohy I k uvedenému nariadeniu, s obsahom prchavých zložiek iných ako etylalkohol a metylalkohol najmenej 225 gramov na hektoliter čistého alkoholu a so skutočným obsahom alkoholu v objemových percentách najmenej 40 objemových percent.</w:t>
            </w:r>
          </w:p>
          <w:p w:rsidR="00971040" w:rsidRPr="00441B53" w:rsidRDefault="00971040" w:rsidP="00971040">
            <w:pPr>
              <w:shd w:val="clear" w:color="auto" w:fill="FFFFFF"/>
              <w:spacing w:before="0" w:beforeAutospacing="0" w:after="0" w:afterAutospacing="0"/>
              <w:jc w:val="both"/>
              <w:rPr>
                <w:sz w:val="20"/>
                <w:szCs w:val="20"/>
              </w:rPr>
            </w:pPr>
            <w:r w:rsidRPr="00441B53">
              <w:rPr>
                <w:sz w:val="20"/>
                <w:szCs w:val="20"/>
              </w:rPr>
              <w:t>2.   Helénska republika môže uplatňovať zníženú sadzbu spotrebnej dane, ktorá môže byť nižšia ako minimálna sadzba:</w:t>
            </w:r>
          </w:p>
          <w:tbl>
            <w:tblPr>
              <w:tblW w:w="5888" w:type="dxa"/>
              <w:tblInd w:w="99" w:type="dxa"/>
              <w:tblLayout w:type="fixed"/>
              <w:tblCellMar>
                <w:left w:w="0" w:type="dxa"/>
                <w:right w:w="0" w:type="dxa"/>
              </w:tblCellMar>
              <w:tblLook w:val="04A0" w:firstRow="1" w:lastRow="0" w:firstColumn="1" w:lastColumn="0" w:noHBand="0" w:noVBand="1"/>
            </w:tblPr>
            <w:tblGrid>
              <w:gridCol w:w="283"/>
              <w:gridCol w:w="5605"/>
            </w:tblGrid>
            <w:tr w:rsidR="00971040" w:rsidRPr="00441B53" w:rsidTr="00971040">
              <w:tc>
                <w:tcPr>
                  <w:tcW w:w="283" w:type="dxa"/>
                  <w:hideMark/>
                </w:tcPr>
                <w:p w:rsidR="00971040" w:rsidRPr="00441B53" w:rsidRDefault="00971040" w:rsidP="00971040">
                  <w:pPr>
                    <w:spacing w:before="0" w:beforeAutospacing="0" w:after="0" w:afterAutospacing="0"/>
                    <w:jc w:val="both"/>
                    <w:rPr>
                      <w:sz w:val="20"/>
                      <w:szCs w:val="20"/>
                    </w:rPr>
                  </w:pPr>
                  <w:r w:rsidRPr="00441B53">
                    <w:rPr>
                      <w:sz w:val="20"/>
                      <w:szCs w:val="20"/>
                    </w:rPr>
                    <w:t>a)</w:t>
                  </w:r>
                </w:p>
              </w:tc>
              <w:tc>
                <w:tcPr>
                  <w:tcW w:w="5605" w:type="dxa"/>
                  <w:hideMark/>
                </w:tcPr>
                <w:p w:rsidR="00971040" w:rsidRPr="00441B53" w:rsidRDefault="00971040" w:rsidP="00971040">
                  <w:pPr>
                    <w:spacing w:before="0" w:beforeAutospacing="0" w:after="0" w:afterAutospacing="0"/>
                    <w:jc w:val="both"/>
                    <w:rPr>
                      <w:sz w:val="20"/>
                      <w:szCs w:val="20"/>
                    </w:rPr>
                  </w:pPr>
                  <w:r w:rsidRPr="00441B53">
                    <w:rPr>
                      <w:sz w:val="20"/>
                      <w:szCs w:val="20"/>
                    </w:rPr>
                    <w:t>ale nesmie byť stanovená na úrovni nižšej ako 50 % štandardnej národnej sadzby dane z etylalkoholu, v prípade destilovaných anízových nápojov vymedzených v bode 29 prílohy II k nariadeniu (ES) č. 110/2008, ktoré sú bezfarebné a majú obsah cukru najviac 50 g na liter, a finálny produkt je aspoň v percentuálnej výške stanovenej v uvedenom ustanovení tvorený alkoholom získaným destiláciou v tradičných medených nekontinuálnych destilačných prístrojoch s kapacitou najviac 1 000 litrov, a v prípade tých liehovín z hroznových výliskov vymedzených v bode 6 prílohy II k nariadeniu (ES) č. 110/2008, ktoré sú destilované v tradičných nekontinuálnych destilačných prístrojoch;</w:t>
                  </w:r>
                </w:p>
              </w:tc>
            </w:tr>
          </w:tbl>
          <w:p w:rsidR="00971040" w:rsidRPr="00441B53" w:rsidRDefault="00971040" w:rsidP="00971040">
            <w:pPr>
              <w:shd w:val="clear" w:color="auto" w:fill="FFFFFF"/>
              <w:spacing w:before="0" w:beforeAutospacing="0" w:after="0" w:afterAutospacing="0"/>
              <w:rPr>
                <w:vanish/>
                <w:sz w:val="20"/>
                <w:szCs w:val="20"/>
              </w:rPr>
            </w:pPr>
          </w:p>
          <w:tbl>
            <w:tblPr>
              <w:tblW w:w="6022" w:type="dxa"/>
              <w:tblInd w:w="241" w:type="dxa"/>
              <w:tblLayout w:type="fixed"/>
              <w:tblCellMar>
                <w:left w:w="0" w:type="dxa"/>
                <w:right w:w="0" w:type="dxa"/>
              </w:tblCellMar>
              <w:tblLook w:val="04A0" w:firstRow="1" w:lastRow="0" w:firstColumn="1" w:lastColumn="0" w:noHBand="0" w:noVBand="1"/>
            </w:tblPr>
            <w:tblGrid>
              <w:gridCol w:w="425"/>
              <w:gridCol w:w="5597"/>
            </w:tblGrid>
            <w:tr w:rsidR="00971040" w:rsidRPr="00441B53" w:rsidTr="00971040">
              <w:tc>
                <w:tcPr>
                  <w:tcW w:w="425" w:type="dxa"/>
                  <w:hideMark/>
                </w:tcPr>
                <w:p w:rsidR="00971040" w:rsidRPr="00441B53" w:rsidRDefault="00971040" w:rsidP="00971040">
                  <w:pPr>
                    <w:spacing w:before="0" w:beforeAutospacing="0" w:after="0" w:afterAutospacing="0"/>
                    <w:ind w:left="97" w:hanging="40"/>
                    <w:jc w:val="both"/>
                    <w:rPr>
                      <w:sz w:val="20"/>
                      <w:szCs w:val="20"/>
                    </w:rPr>
                  </w:pPr>
                  <w:r w:rsidRPr="00441B53">
                    <w:rPr>
                      <w:sz w:val="20"/>
                      <w:szCs w:val="20"/>
                    </w:rPr>
                    <w:t>b)</w:t>
                  </w:r>
                </w:p>
              </w:tc>
              <w:tc>
                <w:tcPr>
                  <w:tcW w:w="5597" w:type="dxa"/>
                  <w:hideMark/>
                </w:tcPr>
                <w:p w:rsidR="00971040" w:rsidRPr="00441B53" w:rsidRDefault="00971040" w:rsidP="00971040">
                  <w:pPr>
                    <w:spacing w:before="0" w:beforeAutospacing="0" w:after="0" w:afterAutospacing="0"/>
                    <w:jc w:val="both"/>
                    <w:rPr>
                      <w:sz w:val="20"/>
                      <w:szCs w:val="20"/>
                    </w:rPr>
                  </w:pPr>
                  <w:r w:rsidRPr="00441B53">
                    <w:rPr>
                      <w:sz w:val="20"/>
                      <w:szCs w:val="20"/>
                    </w:rPr>
                    <w:t>ale nesmie byť stanovená na úrovni nižšej ako 85 % štandardnej národnej sadzby spotrebnej dane z etylalkoholu, v prípade etylalkoholu z ovocia dodávaného domácnosťou výrobcu, ktoré je destilované v jednoduchých tradičných medených destilačných zariadeniach s kapacitou najviac 130 litrov alebo v keramických tradičných destilačných zariadeniach s kapacitou najviac 40 litrov, v oboch prípadoch fungujúcich najviac osem dní za rok a produkujúcich najviac päť hektolitrov čistého alkoholu za rok.</w:t>
                  </w:r>
                </w:p>
              </w:tc>
            </w:tr>
          </w:tbl>
          <w:p w:rsidR="00AA3436" w:rsidRPr="00441B53" w:rsidRDefault="00AA3436" w:rsidP="00EA646D">
            <w:pPr>
              <w:spacing w:before="0" w:beforeAutospacing="0" w:after="0" w:afterAutospacing="0"/>
              <w:ind w:left="382" w:hanging="382"/>
              <w:jc w:val="both"/>
              <w:rPr>
                <w:sz w:val="20"/>
                <w:szCs w:val="20"/>
                <w:shd w:val="clear" w:color="auto" w:fill="FFFFFF"/>
              </w:rPr>
            </w:pPr>
          </w:p>
        </w:tc>
        <w:tc>
          <w:tcPr>
            <w:tcW w:w="1245" w:type="dxa"/>
            <w:tcBorders>
              <w:top w:val="single" w:sz="4" w:space="0" w:color="auto"/>
              <w:left w:val="single" w:sz="4" w:space="0" w:color="auto"/>
              <w:bottom w:val="single" w:sz="4" w:space="0" w:color="auto"/>
              <w:right w:val="single" w:sz="12" w:space="0" w:color="auto"/>
            </w:tcBorders>
          </w:tcPr>
          <w:p w:rsidR="00AA3436" w:rsidRPr="00441B53" w:rsidRDefault="00971040">
            <w:pPr>
              <w:autoSpaceDE w:val="0"/>
              <w:autoSpaceDN w:val="0"/>
              <w:spacing w:before="0" w:beforeAutospacing="0" w:after="0" w:afterAutospacing="0"/>
              <w:jc w:val="center"/>
              <w:rPr>
                <w:sz w:val="20"/>
                <w:szCs w:val="20"/>
              </w:rPr>
            </w:pPr>
            <w:r w:rsidRPr="00441B53">
              <w:rPr>
                <w:sz w:val="20"/>
                <w:szCs w:val="20"/>
              </w:rPr>
              <w:t>n.a.</w:t>
            </w:r>
          </w:p>
        </w:tc>
        <w:tc>
          <w:tcPr>
            <w:tcW w:w="846" w:type="dxa"/>
            <w:tcBorders>
              <w:top w:val="single" w:sz="4" w:space="0" w:color="auto"/>
              <w:left w:val="nil"/>
              <w:bottom w:val="single" w:sz="4" w:space="0" w:color="auto"/>
              <w:right w:val="single" w:sz="4" w:space="0" w:color="auto"/>
            </w:tcBorders>
          </w:tcPr>
          <w:p w:rsidR="00AA3436" w:rsidRPr="00441B53" w:rsidRDefault="00AA3436" w:rsidP="001373DA">
            <w:pPr>
              <w:autoSpaceDE w:val="0"/>
              <w:autoSpaceDN w:val="0"/>
              <w:spacing w:before="0" w:beforeAutospacing="0" w:after="0" w:afterAutospacing="0"/>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AA3436" w:rsidRPr="00441B53" w:rsidRDefault="00AA3436" w:rsidP="00EA646D">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AA3436" w:rsidRPr="00441B53" w:rsidRDefault="00AA3436" w:rsidP="00475447">
            <w:pPr>
              <w:spacing w:before="0" w:beforeAutospacing="0" w:after="0" w:afterAutospacing="0"/>
              <w:ind w:left="137" w:right="180"/>
              <w:jc w:val="both"/>
              <w:rPr>
                <w:b/>
                <w:sz w:val="20"/>
                <w:szCs w:val="20"/>
                <w:vertAlign w:val="superscript"/>
              </w:rPr>
            </w:pPr>
          </w:p>
        </w:tc>
        <w:tc>
          <w:tcPr>
            <w:tcW w:w="423" w:type="dxa"/>
            <w:tcBorders>
              <w:top w:val="single" w:sz="4" w:space="0" w:color="auto"/>
              <w:left w:val="single" w:sz="4" w:space="0" w:color="auto"/>
              <w:bottom w:val="single" w:sz="4" w:space="0" w:color="auto"/>
              <w:right w:val="single" w:sz="4" w:space="0" w:color="auto"/>
            </w:tcBorders>
          </w:tcPr>
          <w:p w:rsidR="00AA3436" w:rsidRPr="00441B53" w:rsidRDefault="00971040">
            <w:pPr>
              <w:autoSpaceDE w:val="0"/>
              <w:autoSpaceDN w:val="0"/>
              <w:spacing w:before="0" w:beforeAutospacing="0" w:after="0" w:afterAutospacing="0"/>
              <w:jc w:val="center"/>
              <w:rPr>
                <w:sz w:val="20"/>
                <w:szCs w:val="20"/>
              </w:rPr>
            </w:pPr>
            <w:r w:rsidRPr="00441B53">
              <w:rPr>
                <w:sz w:val="20"/>
                <w:szCs w:val="20"/>
              </w:rPr>
              <w:t>n.a.</w:t>
            </w:r>
          </w:p>
        </w:tc>
        <w:tc>
          <w:tcPr>
            <w:tcW w:w="633" w:type="dxa"/>
            <w:tcBorders>
              <w:top w:val="single" w:sz="4" w:space="0" w:color="auto"/>
              <w:left w:val="single" w:sz="4" w:space="0" w:color="auto"/>
              <w:bottom w:val="single" w:sz="4" w:space="0" w:color="auto"/>
              <w:right w:val="single" w:sz="12" w:space="0" w:color="auto"/>
            </w:tcBorders>
          </w:tcPr>
          <w:p w:rsidR="00AA3436" w:rsidRPr="00441B53" w:rsidRDefault="00AA3436" w:rsidP="004808B5">
            <w:pPr>
              <w:pStyle w:val="Nadpis1"/>
              <w:rPr>
                <w:b w:val="0"/>
                <w:bCs w:val="0"/>
                <w:sz w:val="20"/>
                <w:szCs w:val="20"/>
              </w:rPr>
            </w:pPr>
          </w:p>
        </w:tc>
      </w:tr>
      <w:tr w:rsidR="00AA3436" w:rsidRPr="00441B53" w:rsidTr="00475447">
        <w:trPr>
          <w:trHeight w:val="2313"/>
        </w:trPr>
        <w:tc>
          <w:tcPr>
            <w:tcW w:w="682" w:type="dxa"/>
            <w:tcBorders>
              <w:top w:val="single" w:sz="4" w:space="0" w:color="auto"/>
              <w:left w:val="single" w:sz="12" w:space="0" w:color="auto"/>
              <w:bottom w:val="single" w:sz="4" w:space="0" w:color="auto"/>
              <w:right w:val="single" w:sz="4" w:space="0" w:color="auto"/>
            </w:tcBorders>
          </w:tcPr>
          <w:p w:rsidR="00AA3436" w:rsidRPr="00441B53" w:rsidRDefault="00AA3436" w:rsidP="00AA3436">
            <w:pPr>
              <w:autoSpaceDE w:val="0"/>
              <w:autoSpaceDN w:val="0"/>
              <w:spacing w:before="0" w:beforeAutospacing="0" w:after="0" w:afterAutospacing="0"/>
              <w:jc w:val="center"/>
              <w:rPr>
                <w:sz w:val="20"/>
                <w:szCs w:val="20"/>
              </w:rPr>
            </w:pPr>
            <w:r w:rsidRPr="00441B53">
              <w:rPr>
                <w:sz w:val="20"/>
                <w:szCs w:val="20"/>
              </w:rPr>
              <w:t>Čl. 1, bod 13</w:t>
            </w:r>
          </w:p>
          <w:p w:rsidR="00AA3436" w:rsidRPr="00441B53" w:rsidRDefault="00AA3436" w:rsidP="00EA646D">
            <w:pPr>
              <w:autoSpaceDE w:val="0"/>
              <w:autoSpaceDN w:val="0"/>
              <w:spacing w:before="0" w:beforeAutospacing="0" w:after="0" w:afterAutospacing="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tcPr>
          <w:p w:rsidR="00971040" w:rsidRPr="00441B53" w:rsidRDefault="00971040" w:rsidP="00971040">
            <w:pPr>
              <w:shd w:val="clear" w:color="auto" w:fill="FFFFFF"/>
              <w:spacing w:before="0" w:beforeAutospacing="0" w:after="0" w:afterAutospacing="0"/>
              <w:jc w:val="both"/>
              <w:rPr>
                <w:sz w:val="20"/>
                <w:szCs w:val="20"/>
              </w:rPr>
            </w:pPr>
            <w:r w:rsidRPr="00441B53">
              <w:rPr>
                <w:sz w:val="20"/>
                <w:szCs w:val="20"/>
              </w:rPr>
              <w:t>13.V oddiele VI sa vkladá tento článok:</w:t>
            </w:r>
          </w:p>
          <w:p w:rsidR="00971040" w:rsidRPr="00441B53" w:rsidRDefault="00971040" w:rsidP="00971040">
            <w:pPr>
              <w:shd w:val="clear" w:color="auto" w:fill="FFFFFF"/>
              <w:spacing w:before="0" w:beforeAutospacing="0" w:after="0" w:afterAutospacing="0"/>
              <w:jc w:val="center"/>
              <w:rPr>
                <w:i/>
                <w:iCs/>
                <w:sz w:val="20"/>
                <w:szCs w:val="20"/>
              </w:rPr>
            </w:pPr>
            <w:r w:rsidRPr="00441B53">
              <w:rPr>
                <w:i/>
                <w:iCs/>
                <w:sz w:val="20"/>
                <w:szCs w:val="20"/>
              </w:rPr>
              <w:t>„Článok 23a</w:t>
            </w:r>
          </w:p>
          <w:p w:rsidR="00971040" w:rsidRPr="00441B53" w:rsidRDefault="00971040" w:rsidP="00971040">
            <w:pPr>
              <w:shd w:val="clear" w:color="auto" w:fill="FFFFFF"/>
              <w:spacing w:before="0" w:beforeAutospacing="0" w:after="0" w:afterAutospacing="0"/>
              <w:jc w:val="both"/>
              <w:rPr>
                <w:sz w:val="20"/>
                <w:szCs w:val="20"/>
              </w:rPr>
            </w:pPr>
            <w:r w:rsidRPr="00441B53">
              <w:rPr>
                <w:sz w:val="20"/>
                <w:szCs w:val="20"/>
              </w:rPr>
              <w:t>1.   S výhradou podmienok, ktoré stanovia na zabezpečenie jednoznačného uplatňovania článkov 4, 9a, 13a, 18a a článku 22 ods. 1, 2 a 3 tejto smernice, členské štáty na požiadanie poskytnú nezávislým malým výrobcom usadeným na ich území ročné osvedčenie podľa potreby potvrdzujúce ich celkovú ročnú produkciu podľa týchto článkov a potvrdzujúce súlad s kritériami uvedenými v článku 4 ods. 2, článku 9a ods. 2, článku 13a ods. 4, článku 18a ods. 3 a článku 22 ods. 2 tejto smernice nezávislými malými výrobcami. V administratívnom dokumente týkajúcom sa pohybu tovaru podľa kapitoly IV alebo V smernice 2008/118/ES sa odkazuje na osvedčenie uvedené v tomto odseku.</w:t>
            </w:r>
          </w:p>
          <w:p w:rsidR="00971040" w:rsidRPr="00441B53" w:rsidRDefault="00971040" w:rsidP="00971040">
            <w:pPr>
              <w:shd w:val="clear" w:color="auto" w:fill="FFFFFF"/>
              <w:spacing w:before="0" w:beforeAutospacing="0" w:after="0" w:afterAutospacing="0"/>
              <w:jc w:val="both"/>
              <w:rPr>
                <w:sz w:val="20"/>
                <w:szCs w:val="20"/>
              </w:rPr>
            </w:pPr>
            <w:r w:rsidRPr="00441B53">
              <w:rPr>
                <w:sz w:val="20"/>
                <w:szCs w:val="20"/>
              </w:rPr>
              <w:t>2.   Bez toho, aby bol dotknutý odsek 1 tohto článku, môžu členské štáty za podmienok, ktoré stanovia na účely zabezpečenia správneho a jednoznačného uplatňovania tohto článku a na účely predchádzania akýmkoľvek daňovým únikom, vyhýbaniu sa daňovej povinnosti alebo zneužívaniu daňového režimu umožniť nezávislým malým výrobcom uvedeným v článku 4 ods. 1, článku 9a ods. 1, článku 13a ods. 1, článku 18a ods. 1 a článku 22 ods. 1 usadeným na ich území, aby si podľa potreby sami osvedčovali súlad s kritériami stanovenými v článku 4 ods. 2, článku 9a ods. 2, článku 13a ods. 4, článku 18a ods. 3 a článku 22 ods. 2 a celkovú ročnú produkciu podľa uvedených článkov.</w:t>
            </w:r>
          </w:p>
          <w:p w:rsidR="00971040" w:rsidRPr="00441B53" w:rsidRDefault="00971040" w:rsidP="00971040">
            <w:pPr>
              <w:shd w:val="clear" w:color="auto" w:fill="FFFFFF"/>
              <w:spacing w:before="0" w:beforeAutospacing="0" w:after="0" w:afterAutospacing="0"/>
              <w:jc w:val="both"/>
              <w:rPr>
                <w:sz w:val="20"/>
                <w:szCs w:val="20"/>
              </w:rPr>
            </w:pPr>
            <w:r w:rsidRPr="00441B53">
              <w:rPr>
                <w:sz w:val="20"/>
                <w:szCs w:val="20"/>
              </w:rPr>
              <w:t>3.   Členské štáty za podmienok, ktoré stanovia na účely zabezpečenia správneho a jednoznačného uplatňovania tohto článku a na účely predchádzania akýmkoľvek daňovým únikom, vyhýbaniu sa daňovej povinnosti alebo zneužívaniu daňového režimu, uznajú osvedčenie výrobcov uvedené v článku 4 ods. 1, článku 9a ods. 1, článku 13a ods. 1, článku 18a ods. 1 a článku 22 ods. 1, ktoré vydal iný členský štát, s výnimkou riadne odôvodnených okolností.</w:t>
            </w:r>
          </w:p>
          <w:p w:rsidR="00971040" w:rsidRPr="00441B53" w:rsidRDefault="00971040" w:rsidP="00971040">
            <w:pPr>
              <w:shd w:val="clear" w:color="auto" w:fill="FFFFFF"/>
              <w:spacing w:before="0" w:beforeAutospacing="0" w:after="0" w:afterAutospacing="0"/>
              <w:jc w:val="both"/>
              <w:rPr>
                <w:sz w:val="20"/>
                <w:szCs w:val="20"/>
              </w:rPr>
            </w:pPr>
            <w:r w:rsidRPr="00441B53">
              <w:rPr>
                <w:sz w:val="20"/>
                <w:szCs w:val="20"/>
              </w:rPr>
              <w:t>4.   Komisia prijme vykonávacie akty, ktorými ustanoví:</w:t>
            </w:r>
          </w:p>
          <w:tbl>
            <w:tblPr>
              <w:tblW w:w="5000" w:type="pct"/>
              <w:tblLayout w:type="fixed"/>
              <w:tblCellMar>
                <w:left w:w="0" w:type="dxa"/>
                <w:right w:w="0" w:type="dxa"/>
              </w:tblCellMar>
              <w:tblLook w:val="04A0" w:firstRow="1" w:lastRow="0" w:firstColumn="1" w:lastColumn="0" w:noHBand="0" w:noVBand="1"/>
            </w:tblPr>
            <w:tblGrid>
              <w:gridCol w:w="261"/>
              <w:gridCol w:w="5465"/>
            </w:tblGrid>
            <w:tr w:rsidR="00971040" w:rsidRPr="00441B53" w:rsidTr="00971040">
              <w:tc>
                <w:tcPr>
                  <w:tcW w:w="417" w:type="dxa"/>
                  <w:hideMark/>
                </w:tcPr>
                <w:p w:rsidR="00971040" w:rsidRPr="00441B53" w:rsidRDefault="00971040" w:rsidP="00971040">
                  <w:pPr>
                    <w:spacing w:before="0" w:beforeAutospacing="0" w:after="0" w:afterAutospacing="0"/>
                    <w:jc w:val="both"/>
                    <w:rPr>
                      <w:sz w:val="20"/>
                      <w:szCs w:val="20"/>
                    </w:rPr>
                  </w:pPr>
                  <w:r w:rsidRPr="00441B53">
                    <w:rPr>
                      <w:sz w:val="20"/>
                      <w:szCs w:val="20"/>
                    </w:rPr>
                    <w:t>a)</w:t>
                  </w:r>
                </w:p>
              </w:tc>
              <w:tc>
                <w:tcPr>
                  <w:tcW w:w="8989" w:type="dxa"/>
                  <w:hideMark/>
                </w:tcPr>
                <w:p w:rsidR="00971040" w:rsidRPr="00441B53" w:rsidRDefault="00971040" w:rsidP="00971040">
                  <w:pPr>
                    <w:spacing w:before="0" w:beforeAutospacing="0" w:after="0" w:afterAutospacing="0"/>
                    <w:jc w:val="both"/>
                    <w:rPr>
                      <w:sz w:val="20"/>
                      <w:szCs w:val="20"/>
                    </w:rPr>
                  </w:pPr>
                  <w:r w:rsidRPr="00441B53">
                    <w:rPr>
                      <w:sz w:val="20"/>
                      <w:szCs w:val="20"/>
                    </w:rPr>
                    <w:t>formát osvedčenia uvedeného v odseku 1;</w:t>
                  </w:r>
                </w:p>
              </w:tc>
            </w:tr>
          </w:tbl>
          <w:p w:rsidR="00971040" w:rsidRPr="00441B53" w:rsidRDefault="00971040" w:rsidP="00971040">
            <w:pPr>
              <w:shd w:val="clear" w:color="auto" w:fill="FFFFFF"/>
              <w:spacing w:before="0" w:beforeAutospacing="0" w:after="0" w:afterAutospacing="0"/>
              <w:rPr>
                <w:vanish/>
                <w:sz w:val="20"/>
                <w:szCs w:val="20"/>
              </w:rPr>
            </w:pPr>
          </w:p>
          <w:tbl>
            <w:tblPr>
              <w:tblW w:w="5000" w:type="pct"/>
              <w:tblLayout w:type="fixed"/>
              <w:tblCellMar>
                <w:left w:w="0" w:type="dxa"/>
                <w:right w:w="0" w:type="dxa"/>
              </w:tblCellMar>
              <w:tblLook w:val="04A0" w:firstRow="1" w:lastRow="0" w:firstColumn="1" w:lastColumn="0" w:noHBand="0" w:noVBand="1"/>
            </w:tblPr>
            <w:tblGrid>
              <w:gridCol w:w="241"/>
              <w:gridCol w:w="5485"/>
            </w:tblGrid>
            <w:tr w:rsidR="00971040" w:rsidRPr="00441B53" w:rsidTr="00971040">
              <w:tc>
                <w:tcPr>
                  <w:tcW w:w="241" w:type="dxa"/>
                  <w:hideMark/>
                </w:tcPr>
                <w:p w:rsidR="00971040" w:rsidRPr="00441B53" w:rsidRDefault="00971040" w:rsidP="00971040">
                  <w:pPr>
                    <w:spacing w:before="0" w:beforeAutospacing="0" w:after="0" w:afterAutospacing="0"/>
                    <w:jc w:val="both"/>
                    <w:rPr>
                      <w:sz w:val="20"/>
                      <w:szCs w:val="20"/>
                    </w:rPr>
                  </w:pPr>
                  <w:r w:rsidRPr="00441B53">
                    <w:rPr>
                      <w:sz w:val="20"/>
                      <w:szCs w:val="20"/>
                    </w:rPr>
                    <w:t>b)</w:t>
                  </w:r>
                </w:p>
              </w:tc>
              <w:tc>
                <w:tcPr>
                  <w:tcW w:w="5485" w:type="dxa"/>
                  <w:hideMark/>
                </w:tcPr>
                <w:p w:rsidR="00971040" w:rsidRPr="00441B53" w:rsidRDefault="00971040" w:rsidP="00971040">
                  <w:pPr>
                    <w:spacing w:before="0" w:beforeAutospacing="0" w:after="0" w:afterAutospacing="0"/>
                    <w:jc w:val="both"/>
                    <w:rPr>
                      <w:sz w:val="20"/>
                      <w:szCs w:val="20"/>
                    </w:rPr>
                  </w:pPr>
                  <w:r w:rsidRPr="00441B53">
                    <w:rPr>
                      <w:sz w:val="20"/>
                      <w:szCs w:val="20"/>
                    </w:rPr>
                    <w:t>formát odkazu na osvedčenie v administratívnom dokumente pre pohyb tovaru podľa kapitoly IV alebo V smernice 2008/118/ES; a</w:t>
                  </w:r>
                </w:p>
              </w:tc>
            </w:tr>
          </w:tbl>
          <w:p w:rsidR="00971040" w:rsidRPr="00441B53" w:rsidRDefault="00971040" w:rsidP="00971040">
            <w:pPr>
              <w:shd w:val="clear" w:color="auto" w:fill="FFFFFF"/>
              <w:spacing w:before="0" w:beforeAutospacing="0" w:after="0" w:afterAutospacing="0"/>
              <w:rPr>
                <w:vanish/>
                <w:sz w:val="20"/>
                <w:szCs w:val="20"/>
              </w:rPr>
            </w:pPr>
          </w:p>
          <w:tbl>
            <w:tblPr>
              <w:tblW w:w="5000" w:type="pct"/>
              <w:tblLayout w:type="fixed"/>
              <w:tblCellMar>
                <w:left w:w="0" w:type="dxa"/>
                <w:right w:w="0" w:type="dxa"/>
              </w:tblCellMar>
              <w:tblLook w:val="04A0" w:firstRow="1" w:lastRow="0" w:firstColumn="1" w:lastColumn="0" w:noHBand="0" w:noVBand="1"/>
            </w:tblPr>
            <w:tblGrid>
              <w:gridCol w:w="241"/>
              <w:gridCol w:w="5485"/>
            </w:tblGrid>
            <w:tr w:rsidR="00971040" w:rsidRPr="00441B53" w:rsidTr="00971040">
              <w:tc>
                <w:tcPr>
                  <w:tcW w:w="241" w:type="dxa"/>
                  <w:hideMark/>
                </w:tcPr>
                <w:p w:rsidR="00971040" w:rsidRPr="00441B53" w:rsidRDefault="00971040" w:rsidP="00971040">
                  <w:pPr>
                    <w:spacing w:before="0" w:beforeAutospacing="0" w:after="0" w:afterAutospacing="0"/>
                    <w:jc w:val="both"/>
                    <w:rPr>
                      <w:sz w:val="20"/>
                      <w:szCs w:val="20"/>
                    </w:rPr>
                  </w:pPr>
                  <w:r w:rsidRPr="00441B53">
                    <w:rPr>
                      <w:sz w:val="20"/>
                      <w:szCs w:val="20"/>
                    </w:rPr>
                    <w:t>c)</w:t>
                  </w:r>
                </w:p>
              </w:tc>
              <w:tc>
                <w:tcPr>
                  <w:tcW w:w="5485" w:type="dxa"/>
                  <w:hideMark/>
                </w:tcPr>
                <w:p w:rsidR="00971040" w:rsidRPr="00441B53" w:rsidRDefault="00971040" w:rsidP="00971040">
                  <w:pPr>
                    <w:spacing w:before="0" w:beforeAutospacing="0" w:after="0" w:afterAutospacing="0"/>
                    <w:jc w:val="both"/>
                    <w:rPr>
                      <w:sz w:val="20"/>
                      <w:szCs w:val="20"/>
                    </w:rPr>
                  </w:pPr>
                  <w:r w:rsidRPr="00441B53">
                    <w:rPr>
                      <w:sz w:val="20"/>
                      <w:szCs w:val="20"/>
                    </w:rPr>
                    <w:t>požiadavky na vyplnenie administratívneho dokumentu pre pohyb tovaru podľa kapitoly IV alebo V smernice 2008/118/ES v prípade samoosvedčovania.</w:t>
                  </w:r>
                </w:p>
              </w:tc>
            </w:tr>
          </w:tbl>
          <w:p w:rsidR="00971040" w:rsidRPr="00441B53" w:rsidRDefault="00971040" w:rsidP="00971040">
            <w:pPr>
              <w:shd w:val="clear" w:color="auto" w:fill="FFFFFF"/>
              <w:spacing w:before="0" w:beforeAutospacing="0" w:after="0" w:afterAutospacing="0"/>
              <w:jc w:val="both"/>
              <w:rPr>
                <w:sz w:val="20"/>
                <w:szCs w:val="20"/>
              </w:rPr>
            </w:pPr>
            <w:r w:rsidRPr="00441B53">
              <w:rPr>
                <w:sz w:val="20"/>
                <w:szCs w:val="20"/>
              </w:rPr>
              <w:t>Uvedené vykonávacie akty sa prijmú v súlade s postupom preskúmania uvedeným v článku 28a ods. 2“</w:t>
            </w:r>
          </w:p>
          <w:p w:rsidR="00AA3436" w:rsidRPr="00441B53" w:rsidRDefault="00AA3436" w:rsidP="00EA646D">
            <w:pPr>
              <w:spacing w:before="0" w:beforeAutospacing="0" w:after="0" w:afterAutospacing="0"/>
              <w:ind w:left="382" w:hanging="382"/>
              <w:jc w:val="both"/>
              <w:rPr>
                <w:sz w:val="20"/>
                <w:szCs w:val="20"/>
                <w:shd w:val="clear" w:color="auto" w:fill="FFFFFF"/>
              </w:rPr>
            </w:pPr>
          </w:p>
        </w:tc>
        <w:tc>
          <w:tcPr>
            <w:tcW w:w="1245" w:type="dxa"/>
            <w:tcBorders>
              <w:top w:val="single" w:sz="4" w:space="0" w:color="auto"/>
              <w:left w:val="single" w:sz="4" w:space="0" w:color="auto"/>
              <w:bottom w:val="single" w:sz="4" w:space="0" w:color="auto"/>
              <w:right w:val="single" w:sz="12" w:space="0" w:color="auto"/>
            </w:tcBorders>
          </w:tcPr>
          <w:p w:rsidR="00AA3436" w:rsidRPr="00441B53" w:rsidRDefault="00AA3436">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r w:rsidRPr="00441B53">
              <w:rPr>
                <w:sz w:val="20"/>
                <w:szCs w:val="20"/>
              </w:rPr>
              <w:t>D</w:t>
            </w: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r w:rsidRPr="00441B53">
              <w:rPr>
                <w:sz w:val="20"/>
                <w:szCs w:val="20"/>
              </w:rPr>
              <w:t>n.a.</w:t>
            </w:r>
          </w:p>
          <w:p w:rsidR="00971040" w:rsidRPr="00441B53" w:rsidRDefault="00971040">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p>
        </w:tc>
        <w:tc>
          <w:tcPr>
            <w:tcW w:w="846" w:type="dxa"/>
            <w:tcBorders>
              <w:top w:val="single" w:sz="4" w:space="0" w:color="auto"/>
              <w:left w:val="nil"/>
              <w:bottom w:val="single" w:sz="4" w:space="0" w:color="auto"/>
              <w:right w:val="single" w:sz="4" w:space="0" w:color="auto"/>
            </w:tcBorders>
          </w:tcPr>
          <w:p w:rsidR="00AA3436" w:rsidRPr="00441B53" w:rsidRDefault="00AA3436" w:rsidP="001373DA">
            <w:pPr>
              <w:autoSpaceDE w:val="0"/>
              <w:autoSpaceDN w:val="0"/>
              <w:spacing w:before="0" w:beforeAutospacing="0" w:after="0" w:afterAutospacing="0"/>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AA3436" w:rsidRPr="00441B53" w:rsidRDefault="00AA3436" w:rsidP="00EA646D">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AA3436" w:rsidRPr="00441B53" w:rsidRDefault="00AA3436" w:rsidP="00475447">
            <w:pPr>
              <w:spacing w:before="0" w:beforeAutospacing="0" w:after="0" w:afterAutospacing="0"/>
              <w:ind w:left="137" w:right="180"/>
              <w:jc w:val="both"/>
              <w:rPr>
                <w:b/>
                <w:sz w:val="20"/>
                <w:szCs w:val="20"/>
                <w:vertAlign w:val="superscript"/>
              </w:rPr>
            </w:pPr>
          </w:p>
        </w:tc>
        <w:tc>
          <w:tcPr>
            <w:tcW w:w="423" w:type="dxa"/>
            <w:tcBorders>
              <w:top w:val="single" w:sz="4" w:space="0" w:color="auto"/>
              <w:left w:val="single" w:sz="4" w:space="0" w:color="auto"/>
              <w:bottom w:val="single" w:sz="4" w:space="0" w:color="auto"/>
              <w:right w:val="single" w:sz="4" w:space="0" w:color="auto"/>
            </w:tcBorders>
          </w:tcPr>
          <w:p w:rsidR="00AA3436" w:rsidRPr="00441B53" w:rsidRDefault="00AA3436">
            <w:pPr>
              <w:autoSpaceDE w:val="0"/>
              <w:autoSpaceDN w:val="0"/>
              <w:spacing w:before="0" w:beforeAutospacing="0" w:after="0" w:afterAutospacing="0"/>
              <w:jc w:val="center"/>
              <w:rPr>
                <w:sz w:val="20"/>
                <w:szCs w:val="20"/>
              </w:rPr>
            </w:pPr>
          </w:p>
          <w:p w:rsidR="00971040" w:rsidRPr="00441B53" w:rsidRDefault="00971040">
            <w:pPr>
              <w:autoSpaceDE w:val="0"/>
              <w:autoSpaceDN w:val="0"/>
              <w:spacing w:before="0" w:beforeAutospacing="0" w:after="0" w:afterAutospacing="0"/>
              <w:jc w:val="center"/>
              <w:rPr>
                <w:sz w:val="20"/>
                <w:szCs w:val="20"/>
              </w:rPr>
            </w:pPr>
            <w:r w:rsidRPr="00441B53">
              <w:rPr>
                <w:sz w:val="20"/>
                <w:szCs w:val="20"/>
              </w:rPr>
              <w:t>n.a.</w:t>
            </w:r>
          </w:p>
        </w:tc>
        <w:tc>
          <w:tcPr>
            <w:tcW w:w="633" w:type="dxa"/>
            <w:tcBorders>
              <w:top w:val="single" w:sz="4" w:space="0" w:color="auto"/>
              <w:left w:val="single" w:sz="4" w:space="0" w:color="auto"/>
              <w:bottom w:val="single" w:sz="4" w:space="0" w:color="auto"/>
              <w:right w:val="single" w:sz="12" w:space="0" w:color="auto"/>
            </w:tcBorders>
          </w:tcPr>
          <w:p w:rsidR="00AA3436" w:rsidRPr="00441B53" w:rsidRDefault="00AA3436" w:rsidP="004808B5">
            <w:pPr>
              <w:pStyle w:val="Nadpis1"/>
              <w:rPr>
                <w:b w:val="0"/>
                <w:bCs w:val="0"/>
                <w:sz w:val="20"/>
                <w:szCs w:val="20"/>
              </w:rPr>
            </w:pPr>
          </w:p>
        </w:tc>
      </w:tr>
      <w:tr w:rsidR="00D55AF6" w:rsidRPr="00924B99" w:rsidTr="00D55AF6">
        <w:trPr>
          <w:trHeight w:val="1948"/>
        </w:trPr>
        <w:tc>
          <w:tcPr>
            <w:tcW w:w="682" w:type="dxa"/>
            <w:tcBorders>
              <w:top w:val="single" w:sz="4" w:space="0" w:color="auto"/>
              <w:left w:val="single" w:sz="12" w:space="0" w:color="auto"/>
              <w:bottom w:val="single" w:sz="4" w:space="0" w:color="auto"/>
              <w:right w:val="single" w:sz="4" w:space="0" w:color="auto"/>
            </w:tcBorders>
          </w:tcPr>
          <w:p w:rsidR="00AA3436" w:rsidRPr="00441B53" w:rsidRDefault="00AA3436" w:rsidP="00AA3436">
            <w:pPr>
              <w:autoSpaceDE w:val="0"/>
              <w:autoSpaceDN w:val="0"/>
              <w:spacing w:before="0" w:beforeAutospacing="0" w:after="0" w:afterAutospacing="0"/>
              <w:jc w:val="center"/>
              <w:rPr>
                <w:sz w:val="20"/>
                <w:szCs w:val="20"/>
              </w:rPr>
            </w:pPr>
            <w:r w:rsidRPr="00441B53">
              <w:rPr>
                <w:sz w:val="20"/>
                <w:szCs w:val="20"/>
              </w:rPr>
              <w:t>Čl. 1, bod 14</w:t>
            </w:r>
          </w:p>
          <w:p w:rsidR="0056254E" w:rsidRPr="00441B53" w:rsidRDefault="0056254E" w:rsidP="00EA646D">
            <w:pPr>
              <w:autoSpaceDE w:val="0"/>
              <w:autoSpaceDN w:val="0"/>
              <w:spacing w:before="0" w:beforeAutospacing="0" w:after="0" w:afterAutospacing="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tcPr>
          <w:p w:rsidR="00971040" w:rsidRPr="00441B53" w:rsidRDefault="0056254E" w:rsidP="00D55AF6">
            <w:pPr>
              <w:pStyle w:val="oj-normal"/>
              <w:shd w:val="clear" w:color="auto" w:fill="FFFFFF"/>
              <w:spacing w:before="0" w:beforeAutospacing="0" w:after="0" w:afterAutospacing="0"/>
              <w:jc w:val="both"/>
              <w:rPr>
                <w:sz w:val="20"/>
                <w:szCs w:val="20"/>
              </w:rPr>
            </w:pPr>
            <w:r w:rsidRPr="00441B53">
              <w:rPr>
                <w:sz w:val="20"/>
                <w:szCs w:val="20"/>
                <w:shd w:val="clear" w:color="auto" w:fill="FFFFFF"/>
              </w:rPr>
              <w:t>14.</w:t>
            </w:r>
            <w:r w:rsidR="00971040" w:rsidRPr="00441B53">
              <w:rPr>
                <w:sz w:val="20"/>
                <w:szCs w:val="20"/>
                <w:shd w:val="clear" w:color="auto" w:fill="FFFFFF"/>
              </w:rPr>
              <w:t xml:space="preserve"> </w:t>
            </w:r>
            <w:r w:rsidR="00971040" w:rsidRPr="00441B53">
              <w:rPr>
                <w:sz w:val="20"/>
                <w:szCs w:val="20"/>
              </w:rPr>
              <w:t>Článok 26 sa nahrádza takto:</w:t>
            </w:r>
          </w:p>
          <w:p w:rsidR="00971040" w:rsidRPr="00441B53" w:rsidRDefault="00971040" w:rsidP="00D55AF6">
            <w:pPr>
              <w:pStyle w:val="oj-ti-art"/>
              <w:shd w:val="clear" w:color="auto" w:fill="FFFFFF"/>
              <w:spacing w:before="0" w:beforeAutospacing="0" w:after="0" w:afterAutospacing="0"/>
              <w:jc w:val="center"/>
              <w:rPr>
                <w:i/>
                <w:iCs/>
                <w:sz w:val="20"/>
                <w:szCs w:val="20"/>
              </w:rPr>
            </w:pPr>
            <w:r w:rsidRPr="00441B53">
              <w:rPr>
                <w:i/>
                <w:iCs/>
                <w:sz w:val="20"/>
                <w:szCs w:val="20"/>
              </w:rPr>
              <w:t>„Článok 26</w:t>
            </w:r>
          </w:p>
          <w:p w:rsidR="00971040" w:rsidRPr="00441B53" w:rsidRDefault="00971040" w:rsidP="00D55AF6">
            <w:pPr>
              <w:pStyle w:val="oj-normal"/>
              <w:shd w:val="clear" w:color="auto" w:fill="FFFFFF"/>
              <w:spacing w:before="0" w:beforeAutospacing="0" w:after="0" w:afterAutospacing="0"/>
              <w:jc w:val="both"/>
              <w:rPr>
                <w:sz w:val="20"/>
                <w:szCs w:val="20"/>
              </w:rPr>
            </w:pPr>
            <w:r w:rsidRPr="00441B53">
              <w:rPr>
                <w:sz w:val="20"/>
                <w:szCs w:val="20"/>
              </w:rPr>
              <w:t>Odkazy na kódy KN v tejto smernici sú odkazy na kódy kombinovanej nomenklatúry vykonávacieho nariadenia Komisie (EÚ) 2018/1602</w:t>
            </w:r>
            <w:hyperlink r:id="rId10" w:anchor="ntr*-L_2020256SK.01000101-E0008" w:history="1">
              <w:r w:rsidRPr="00441B53">
                <w:rPr>
                  <w:rStyle w:val="Hypertextovprepojenie"/>
                  <w:color w:val="auto"/>
                  <w:sz w:val="20"/>
                  <w:szCs w:val="20"/>
                </w:rPr>
                <w:t> (</w:t>
              </w:r>
              <w:r w:rsidRPr="00441B53">
                <w:rPr>
                  <w:rStyle w:val="oj-super"/>
                  <w:sz w:val="20"/>
                  <w:szCs w:val="20"/>
                  <w:vertAlign w:val="superscript"/>
                </w:rPr>
                <w:t>*</w:t>
              </w:r>
              <w:r w:rsidRPr="00441B53">
                <w:rPr>
                  <w:rStyle w:val="Hypertextovprepojenie"/>
                  <w:color w:val="auto"/>
                  <w:sz w:val="20"/>
                  <w:szCs w:val="20"/>
                </w:rPr>
                <w:t>)</w:t>
              </w:r>
            </w:hyperlink>
            <w:r w:rsidRPr="00441B53">
              <w:rPr>
                <w:sz w:val="20"/>
                <w:szCs w:val="20"/>
              </w:rPr>
              <w:t>, ktorým sa mení príloha I k nariadeniu Rady (EHS) č. 2658/87</w:t>
            </w:r>
            <w:r w:rsidR="00D55AF6" w:rsidRPr="00441B53">
              <w:rPr>
                <w:sz w:val="20"/>
                <w:szCs w:val="20"/>
              </w:rPr>
              <w:t>.</w:t>
            </w:r>
          </w:p>
          <w:p w:rsidR="0056254E" w:rsidRPr="00441B53" w:rsidRDefault="0056254E" w:rsidP="00D55AF6">
            <w:pPr>
              <w:spacing w:before="0" w:beforeAutospacing="0" w:after="0" w:afterAutospacing="0"/>
              <w:ind w:left="382"/>
              <w:jc w:val="both"/>
              <w:rPr>
                <w:sz w:val="20"/>
                <w:szCs w:val="20"/>
                <w:shd w:val="clear" w:color="auto" w:fill="FFFFFF"/>
              </w:rPr>
            </w:pPr>
          </w:p>
        </w:tc>
        <w:tc>
          <w:tcPr>
            <w:tcW w:w="1245" w:type="dxa"/>
            <w:tcBorders>
              <w:top w:val="single" w:sz="4" w:space="0" w:color="auto"/>
              <w:left w:val="single" w:sz="4" w:space="0" w:color="auto"/>
              <w:bottom w:val="single" w:sz="4" w:space="0" w:color="auto"/>
              <w:right w:val="single" w:sz="12" w:space="0" w:color="auto"/>
            </w:tcBorders>
          </w:tcPr>
          <w:p w:rsidR="00D55AF6" w:rsidRPr="00441B53" w:rsidRDefault="00D55AF6" w:rsidP="00D55AF6">
            <w:pPr>
              <w:autoSpaceDE w:val="0"/>
              <w:autoSpaceDN w:val="0"/>
              <w:spacing w:before="0" w:beforeAutospacing="0" w:after="0" w:afterAutospacing="0"/>
              <w:jc w:val="center"/>
              <w:rPr>
                <w:sz w:val="20"/>
                <w:szCs w:val="20"/>
              </w:rPr>
            </w:pPr>
          </w:p>
          <w:p w:rsidR="0056254E" w:rsidRPr="00441B53" w:rsidRDefault="00D55AF6" w:rsidP="00D55AF6">
            <w:pPr>
              <w:autoSpaceDE w:val="0"/>
              <w:autoSpaceDN w:val="0"/>
              <w:spacing w:before="0" w:beforeAutospacing="0" w:after="0" w:afterAutospacing="0"/>
              <w:jc w:val="center"/>
              <w:rPr>
                <w:sz w:val="20"/>
                <w:szCs w:val="20"/>
              </w:rPr>
            </w:pPr>
            <w:r w:rsidRPr="00441B53">
              <w:rPr>
                <w:sz w:val="20"/>
                <w:szCs w:val="20"/>
              </w:rPr>
              <w:t>N</w:t>
            </w:r>
          </w:p>
        </w:tc>
        <w:tc>
          <w:tcPr>
            <w:tcW w:w="846" w:type="dxa"/>
            <w:tcBorders>
              <w:top w:val="single" w:sz="4" w:space="0" w:color="auto"/>
              <w:left w:val="nil"/>
              <w:bottom w:val="single" w:sz="4" w:space="0" w:color="auto"/>
              <w:right w:val="single" w:sz="4" w:space="0" w:color="auto"/>
            </w:tcBorders>
          </w:tcPr>
          <w:p w:rsidR="00D55AF6" w:rsidRPr="00441B53" w:rsidRDefault="00D55AF6" w:rsidP="001373DA">
            <w:pPr>
              <w:autoSpaceDE w:val="0"/>
              <w:autoSpaceDN w:val="0"/>
              <w:spacing w:before="0" w:beforeAutospacing="0" w:after="0" w:afterAutospacing="0"/>
              <w:jc w:val="center"/>
              <w:rPr>
                <w:sz w:val="20"/>
                <w:szCs w:val="20"/>
              </w:rPr>
            </w:pPr>
          </w:p>
          <w:p w:rsidR="0056254E" w:rsidRPr="00441B53" w:rsidRDefault="00D55AF6" w:rsidP="001373DA">
            <w:pPr>
              <w:autoSpaceDE w:val="0"/>
              <w:autoSpaceDN w:val="0"/>
              <w:spacing w:before="0" w:beforeAutospacing="0" w:after="0" w:afterAutospacing="0"/>
              <w:jc w:val="center"/>
              <w:rPr>
                <w:sz w:val="20"/>
                <w:szCs w:val="20"/>
              </w:rPr>
            </w:pPr>
            <w:r w:rsidRPr="00441B53">
              <w:rPr>
                <w:sz w:val="20"/>
                <w:szCs w:val="20"/>
              </w:rPr>
              <w:t>530/2011</w:t>
            </w:r>
          </w:p>
        </w:tc>
        <w:tc>
          <w:tcPr>
            <w:tcW w:w="886" w:type="dxa"/>
            <w:tcBorders>
              <w:top w:val="single" w:sz="4" w:space="0" w:color="auto"/>
              <w:left w:val="single" w:sz="4" w:space="0" w:color="auto"/>
              <w:bottom w:val="single" w:sz="4" w:space="0" w:color="auto"/>
              <w:right w:val="single" w:sz="4" w:space="0" w:color="auto"/>
            </w:tcBorders>
          </w:tcPr>
          <w:p w:rsidR="00D55AF6" w:rsidRPr="00441B53" w:rsidRDefault="00D55AF6" w:rsidP="00EA646D">
            <w:pPr>
              <w:pStyle w:val="Normlny0"/>
              <w:jc w:val="center"/>
            </w:pPr>
          </w:p>
          <w:p w:rsidR="0056254E" w:rsidRPr="00441B53" w:rsidRDefault="00D55AF6" w:rsidP="00EA646D">
            <w:pPr>
              <w:pStyle w:val="Normlny0"/>
              <w:jc w:val="center"/>
            </w:pPr>
            <w:r w:rsidRPr="00441B53">
              <w:t>§ 4 ods. 8</w:t>
            </w:r>
          </w:p>
        </w:tc>
        <w:tc>
          <w:tcPr>
            <w:tcW w:w="5609" w:type="dxa"/>
            <w:tcBorders>
              <w:top w:val="single" w:sz="4" w:space="0" w:color="auto"/>
              <w:left w:val="single" w:sz="4" w:space="0" w:color="auto"/>
              <w:bottom w:val="single" w:sz="4" w:space="0" w:color="auto"/>
              <w:right w:val="single" w:sz="4" w:space="0" w:color="auto"/>
            </w:tcBorders>
          </w:tcPr>
          <w:p w:rsidR="00D55AF6" w:rsidRPr="00441B53" w:rsidRDefault="00D55AF6" w:rsidP="00D55AF6">
            <w:pPr>
              <w:spacing w:before="0" w:beforeAutospacing="0" w:after="0" w:afterAutospacing="0"/>
              <w:ind w:right="180"/>
              <w:jc w:val="both"/>
              <w:rPr>
                <w:sz w:val="20"/>
                <w:szCs w:val="20"/>
                <w:shd w:val="clear" w:color="auto" w:fill="FFFFFF"/>
              </w:rPr>
            </w:pPr>
          </w:p>
          <w:p w:rsidR="0056254E" w:rsidRPr="00441B53" w:rsidRDefault="00D55AF6" w:rsidP="00D55AF6">
            <w:pPr>
              <w:spacing w:before="0" w:beforeAutospacing="0" w:after="0" w:afterAutospacing="0"/>
              <w:ind w:right="180"/>
              <w:jc w:val="both"/>
              <w:rPr>
                <w:b/>
                <w:sz w:val="20"/>
                <w:szCs w:val="20"/>
                <w:vertAlign w:val="superscript"/>
              </w:rPr>
            </w:pPr>
            <w:r w:rsidRPr="00441B53">
              <w:rPr>
                <w:sz w:val="20"/>
                <w:szCs w:val="20"/>
                <w:shd w:val="clear" w:color="auto" w:fill="FFFFFF"/>
              </w:rPr>
              <w:t>Ak dôjde k zmene kódu kombinovanej nomenklatúry, ktorá nemá vplyv na zmenu predmetu dane ani na sadzbu dane, použije sa platná sadzba dane podľa </w:t>
            </w:r>
            <w:hyperlink r:id="rId11" w:anchor="paragraf-6" w:tooltip="Odkaz na predpis alebo ustanovenie" w:history="1">
              <w:r w:rsidRPr="00441B53">
                <w:rPr>
                  <w:rStyle w:val="Hypertextovprepojenie"/>
                  <w:iCs/>
                  <w:color w:val="auto"/>
                  <w:sz w:val="20"/>
                  <w:szCs w:val="20"/>
                  <w:u w:val="none"/>
                  <w:shd w:val="clear" w:color="auto" w:fill="FFFFFF"/>
                </w:rPr>
                <w:t>§ 6</w:t>
              </w:r>
            </w:hyperlink>
            <w:r w:rsidRPr="00441B53">
              <w:rPr>
                <w:sz w:val="20"/>
                <w:szCs w:val="20"/>
                <w:shd w:val="clear" w:color="auto" w:fill="FFFFFF"/>
              </w:rPr>
              <w:t>, pričom prevodový kľúč medzi pôvodným a novým kódom kombinovanej nomenklatúry ustanoví opatrenie, ktoré vydá Ministerstvo financií Slovenskej republiky (ďalej len „ministerstvo“) a ktoré sa vyhlasuje v Zbierke zákonov Slovenskej republiky uverejnením jeho úplného znenia.</w:t>
            </w:r>
          </w:p>
        </w:tc>
        <w:tc>
          <w:tcPr>
            <w:tcW w:w="423" w:type="dxa"/>
            <w:tcBorders>
              <w:top w:val="single" w:sz="4" w:space="0" w:color="auto"/>
              <w:left w:val="single" w:sz="4" w:space="0" w:color="auto"/>
              <w:bottom w:val="single" w:sz="4" w:space="0" w:color="auto"/>
              <w:right w:val="single" w:sz="4" w:space="0" w:color="auto"/>
            </w:tcBorders>
          </w:tcPr>
          <w:p w:rsidR="0056254E" w:rsidRPr="00441B53" w:rsidRDefault="00D55AF6">
            <w:pPr>
              <w:autoSpaceDE w:val="0"/>
              <w:autoSpaceDN w:val="0"/>
              <w:spacing w:before="0" w:beforeAutospacing="0" w:after="0" w:afterAutospacing="0"/>
              <w:jc w:val="center"/>
              <w:rPr>
                <w:sz w:val="20"/>
                <w:szCs w:val="20"/>
              </w:rPr>
            </w:pPr>
            <w:r w:rsidRPr="00441B53">
              <w:rPr>
                <w:sz w:val="20"/>
                <w:szCs w:val="20"/>
              </w:rPr>
              <w:t>Ú</w:t>
            </w:r>
          </w:p>
        </w:tc>
        <w:tc>
          <w:tcPr>
            <w:tcW w:w="633" w:type="dxa"/>
            <w:tcBorders>
              <w:top w:val="single" w:sz="4" w:space="0" w:color="auto"/>
              <w:left w:val="single" w:sz="4" w:space="0" w:color="auto"/>
              <w:bottom w:val="single" w:sz="4" w:space="0" w:color="auto"/>
              <w:right w:val="single" w:sz="12" w:space="0" w:color="auto"/>
            </w:tcBorders>
          </w:tcPr>
          <w:p w:rsidR="0056254E" w:rsidRPr="00924B99" w:rsidRDefault="0056254E" w:rsidP="004808B5">
            <w:pPr>
              <w:pStyle w:val="Nadpis1"/>
              <w:rPr>
                <w:b w:val="0"/>
                <w:bCs w:val="0"/>
                <w:sz w:val="20"/>
                <w:szCs w:val="20"/>
              </w:rPr>
            </w:pPr>
          </w:p>
        </w:tc>
      </w:tr>
      <w:tr w:rsidR="004A4863" w:rsidRPr="00924B99" w:rsidTr="004A4863">
        <w:trPr>
          <w:trHeight w:val="1835"/>
        </w:trPr>
        <w:tc>
          <w:tcPr>
            <w:tcW w:w="682" w:type="dxa"/>
            <w:tcBorders>
              <w:top w:val="single" w:sz="4" w:space="0" w:color="auto"/>
              <w:left w:val="single" w:sz="12" w:space="0" w:color="auto"/>
              <w:bottom w:val="single" w:sz="4" w:space="0" w:color="auto"/>
              <w:right w:val="single" w:sz="4" w:space="0" w:color="auto"/>
            </w:tcBorders>
          </w:tcPr>
          <w:p w:rsidR="0054175A" w:rsidRPr="00441B53" w:rsidRDefault="00EA646D" w:rsidP="004A4863">
            <w:pPr>
              <w:autoSpaceDE w:val="0"/>
              <w:autoSpaceDN w:val="0"/>
              <w:spacing w:before="0" w:beforeAutospacing="0" w:after="0" w:afterAutospacing="0"/>
              <w:jc w:val="center"/>
              <w:rPr>
                <w:sz w:val="20"/>
                <w:szCs w:val="20"/>
              </w:rPr>
            </w:pPr>
            <w:r w:rsidRPr="00441B53">
              <w:rPr>
                <w:sz w:val="20"/>
                <w:szCs w:val="20"/>
              </w:rPr>
              <w:t xml:space="preserve">Čl. </w:t>
            </w:r>
            <w:r w:rsidR="00AE4B8A" w:rsidRPr="00441B53">
              <w:rPr>
                <w:sz w:val="20"/>
                <w:szCs w:val="20"/>
              </w:rPr>
              <w:t xml:space="preserve">1 bod 15 </w:t>
            </w:r>
          </w:p>
        </w:tc>
        <w:tc>
          <w:tcPr>
            <w:tcW w:w="5812" w:type="dxa"/>
            <w:tcBorders>
              <w:top w:val="single" w:sz="4" w:space="0" w:color="auto"/>
              <w:left w:val="single" w:sz="4" w:space="0" w:color="auto"/>
              <w:bottom w:val="single" w:sz="4" w:space="0" w:color="auto"/>
              <w:right w:val="single" w:sz="4" w:space="0" w:color="auto"/>
            </w:tcBorders>
          </w:tcPr>
          <w:p w:rsidR="0027335F" w:rsidRPr="00441B53" w:rsidRDefault="0027335F" w:rsidP="005B7B7A">
            <w:pPr>
              <w:pStyle w:val="Bezriadkovania"/>
              <w:spacing w:beforeAutospacing="0" w:afterAutospacing="0"/>
              <w:jc w:val="both"/>
              <w:rPr>
                <w:sz w:val="20"/>
                <w:szCs w:val="20"/>
                <w:shd w:val="clear" w:color="auto" w:fill="FFFFFF"/>
              </w:rPr>
            </w:pPr>
            <w:r w:rsidRPr="00441B53">
              <w:rPr>
                <w:sz w:val="20"/>
                <w:szCs w:val="20"/>
                <w:shd w:val="clear" w:color="auto" w:fill="FFFFFF"/>
              </w:rPr>
              <w:t>15. Článok 27 sa mení takto:</w:t>
            </w:r>
          </w:p>
          <w:tbl>
            <w:tblPr>
              <w:tblW w:w="5832" w:type="dxa"/>
              <w:tblLayout w:type="fixed"/>
              <w:tblCellMar>
                <w:left w:w="0" w:type="dxa"/>
                <w:right w:w="0" w:type="dxa"/>
              </w:tblCellMar>
              <w:tblLook w:val="04A0" w:firstRow="1" w:lastRow="0" w:firstColumn="1" w:lastColumn="0" w:noHBand="0" w:noVBand="1"/>
            </w:tblPr>
            <w:tblGrid>
              <w:gridCol w:w="241"/>
              <w:gridCol w:w="5591"/>
            </w:tblGrid>
            <w:tr w:rsidR="00D55AF6" w:rsidRPr="00441B53" w:rsidTr="00D55AF6">
              <w:tc>
                <w:tcPr>
                  <w:tcW w:w="241" w:type="dxa"/>
                  <w:shd w:val="clear" w:color="auto" w:fill="FFFFFF"/>
                  <w:hideMark/>
                </w:tcPr>
                <w:p w:rsidR="00D55AF6" w:rsidRPr="00441B53" w:rsidRDefault="00D55AF6" w:rsidP="00D55AF6">
                  <w:pPr>
                    <w:spacing w:before="0" w:beforeAutospacing="0" w:after="0" w:afterAutospacing="0"/>
                    <w:ind w:left="99" w:hanging="99"/>
                    <w:jc w:val="both"/>
                    <w:rPr>
                      <w:sz w:val="20"/>
                      <w:szCs w:val="20"/>
                    </w:rPr>
                  </w:pPr>
                  <w:r w:rsidRPr="00441B53">
                    <w:rPr>
                      <w:sz w:val="20"/>
                      <w:szCs w:val="20"/>
                    </w:rPr>
                    <w:t>a)</w:t>
                  </w:r>
                </w:p>
              </w:tc>
              <w:tc>
                <w:tcPr>
                  <w:tcW w:w="5591" w:type="dxa"/>
                  <w:shd w:val="clear" w:color="auto" w:fill="FFFFFF"/>
                  <w:hideMark/>
                </w:tcPr>
                <w:p w:rsidR="00D55AF6" w:rsidRPr="00441B53" w:rsidRDefault="00D55AF6" w:rsidP="00D55AF6">
                  <w:pPr>
                    <w:spacing w:before="0" w:beforeAutospacing="0" w:after="0" w:afterAutospacing="0"/>
                    <w:jc w:val="both"/>
                    <w:rPr>
                      <w:sz w:val="20"/>
                      <w:szCs w:val="20"/>
                    </w:rPr>
                  </w:pPr>
                  <w:r w:rsidRPr="00441B53">
                    <w:rPr>
                      <w:sz w:val="20"/>
                      <w:szCs w:val="20"/>
                    </w:rPr>
                    <w:t>odsek 1 sa mení takto:</w:t>
                  </w:r>
                </w:p>
                <w:tbl>
                  <w:tblPr>
                    <w:tblW w:w="5000" w:type="pct"/>
                    <w:tblLayout w:type="fixed"/>
                    <w:tblCellMar>
                      <w:left w:w="0" w:type="dxa"/>
                      <w:right w:w="0" w:type="dxa"/>
                    </w:tblCellMar>
                    <w:tblLook w:val="04A0" w:firstRow="1" w:lastRow="0" w:firstColumn="1" w:lastColumn="0" w:noHBand="0" w:noVBand="1"/>
                  </w:tblPr>
                  <w:tblGrid>
                    <w:gridCol w:w="141"/>
                    <w:gridCol w:w="5450"/>
                  </w:tblGrid>
                  <w:tr w:rsidR="00D55AF6" w:rsidRPr="00441B53" w:rsidTr="00D55AF6">
                    <w:tc>
                      <w:tcPr>
                        <w:tcW w:w="141" w:type="dxa"/>
                        <w:hideMark/>
                      </w:tcPr>
                      <w:p w:rsidR="00D55AF6" w:rsidRPr="00441B53" w:rsidRDefault="00D55AF6" w:rsidP="00D55AF6">
                        <w:pPr>
                          <w:spacing w:before="0" w:beforeAutospacing="0" w:after="0" w:afterAutospacing="0"/>
                          <w:jc w:val="both"/>
                          <w:rPr>
                            <w:sz w:val="20"/>
                            <w:szCs w:val="20"/>
                          </w:rPr>
                        </w:pPr>
                        <w:r w:rsidRPr="00441B53">
                          <w:rPr>
                            <w:sz w:val="20"/>
                            <w:szCs w:val="20"/>
                          </w:rPr>
                          <w:t>i)</w:t>
                        </w:r>
                      </w:p>
                    </w:tc>
                    <w:tc>
                      <w:tcPr>
                        <w:tcW w:w="5450" w:type="dxa"/>
                        <w:hideMark/>
                      </w:tcPr>
                      <w:p w:rsidR="00D55AF6" w:rsidRPr="00441B53" w:rsidRDefault="00D55AF6" w:rsidP="00D55AF6">
                        <w:pPr>
                          <w:spacing w:before="0" w:beforeAutospacing="0" w:after="0" w:afterAutospacing="0"/>
                          <w:jc w:val="both"/>
                          <w:rPr>
                            <w:sz w:val="20"/>
                            <w:szCs w:val="20"/>
                          </w:rPr>
                        </w:pPr>
                        <w:r w:rsidRPr="00441B53">
                          <w:rPr>
                            <w:sz w:val="20"/>
                            <w:szCs w:val="20"/>
                          </w:rPr>
                          <w:t>písmená a) a b) sa nahrádzajú takto:</w:t>
                        </w:r>
                      </w:p>
                      <w:tbl>
                        <w:tblPr>
                          <w:tblW w:w="4812" w:type="pct"/>
                          <w:tblLayout w:type="fixed"/>
                          <w:tblCellMar>
                            <w:left w:w="0" w:type="dxa"/>
                            <w:right w:w="0" w:type="dxa"/>
                          </w:tblCellMar>
                          <w:tblLook w:val="04A0" w:firstRow="1" w:lastRow="0" w:firstColumn="1" w:lastColumn="0" w:noHBand="0" w:noVBand="1"/>
                        </w:tblPr>
                        <w:tblGrid>
                          <w:gridCol w:w="284"/>
                          <w:gridCol w:w="4961"/>
                        </w:tblGrid>
                        <w:tr w:rsidR="00D55AF6" w:rsidRPr="00441B53" w:rsidTr="00D55AF6">
                          <w:tc>
                            <w:tcPr>
                              <w:tcW w:w="284" w:type="dxa"/>
                              <w:hideMark/>
                            </w:tcPr>
                            <w:p w:rsidR="00D55AF6" w:rsidRPr="00441B53" w:rsidRDefault="00D55AF6" w:rsidP="00D55AF6">
                              <w:pPr>
                                <w:spacing w:before="0" w:beforeAutospacing="0" w:after="0" w:afterAutospacing="0"/>
                                <w:jc w:val="both"/>
                                <w:rPr>
                                  <w:sz w:val="20"/>
                                  <w:szCs w:val="20"/>
                                </w:rPr>
                              </w:pPr>
                              <w:r w:rsidRPr="00441B53">
                                <w:rPr>
                                  <w:sz w:val="20"/>
                                  <w:szCs w:val="20"/>
                                </w:rPr>
                                <w:t>„a)</w:t>
                              </w:r>
                            </w:p>
                          </w:tc>
                          <w:tc>
                            <w:tcPr>
                              <w:tcW w:w="4961" w:type="dxa"/>
                              <w:hideMark/>
                            </w:tcPr>
                            <w:p w:rsidR="00D55AF6" w:rsidRPr="00441B53" w:rsidRDefault="00D55AF6" w:rsidP="00D55AF6">
                              <w:pPr>
                                <w:spacing w:before="0" w:beforeAutospacing="0" w:after="0" w:afterAutospacing="0"/>
                                <w:jc w:val="both"/>
                                <w:rPr>
                                  <w:sz w:val="20"/>
                                  <w:szCs w:val="20"/>
                                </w:rPr>
                              </w:pPr>
                              <w:r w:rsidRPr="00441B53">
                                <w:rPr>
                                  <w:sz w:val="20"/>
                                  <w:szCs w:val="20"/>
                                </w:rPr>
                                <w:t>ak je výrobok distribuovaný vo forme alkoholu, ktorý bol úplne denaturovaný v súlade s požiadavkami členského štátu, v ktorom bol uvedený do daňového voľného obehu, pričom tieto požiadavky boli riadne písomne nahlásené a povolené v súlade s odsekmi 3 a 4 tohto článku.</w:t>
                              </w:r>
                            </w:p>
                            <w:p w:rsidR="00D55AF6" w:rsidRPr="00441B53" w:rsidRDefault="00D55AF6" w:rsidP="00D55AF6">
                              <w:pPr>
                                <w:spacing w:before="0" w:beforeAutospacing="0" w:after="0" w:afterAutospacing="0"/>
                                <w:jc w:val="both"/>
                                <w:rPr>
                                  <w:sz w:val="20"/>
                                  <w:szCs w:val="20"/>
                                </w:rPr>
                              </w:pPr>
                              <w:r w:rsidRPr="00441B53">
                                <w:rPr>
                                  <w:sz w:val="20"/>
                                  <w:szCs w:val="20"/>
                                </w:rPr>
                                <w:t>Členské štáty uplatňujú ustanovenia kapitoly V smernice 2008/118/ES;</w:t>
                              </w:r>
                            </w:p>
                          </w:tc>
                        </w:tr>
                      </w:tbl>
                      <w:p w:rsidR="00D55AF6" w:rsidRPr="00441B53" w:rsidRDefault="00D55AF6" w:rsidP="00D55AF6">
                        <w:pPr>
                          <w:spacing w:before="0" w:beforeAutospacing="0" w:after="0" w:afterAutospacing="0"/>
                          <w:rPr>
                            <w:vanish/>
                            <w:sz w:val="20"/>
                            <w:szCs w:val="20"/>
                          </w:rPr>
                        </w:pPr>
                      </w:p>
                      <w:tbl>
                        <w:tblPr>
                          <w:tblW w:w="4812" w:type="pct"/>
                          <w:tblLayout w:type="fixed"/>
                          <w:tblCellMar>
                            <w:left w:w="0" w:type="dxa"/>
                            <w:right w:w="0" w:type="dxa"/>
                          </w:tblCellMar>
                          <w:tblLook w:val="04A0" w:firstRow="1" w:lastRow="0" w:firstColumn="1" w:lastColumn="0" w:noHBand="0" w:noVBand="1"/>
                        </w:tblPr>
                        <w:tblGrid>
                          <w:gridCol w:w="284"/>
                          <w:gridCol w:w="4961"/>
                        </w:tblGrid>
                        <w:tr w:rsidR="00D55AF6" w:rsidRPr="00441B53" w:rsidTr="00D55AF6">
                          <w:tc>
                            <w:tcPr>
                              <w:tcW w:w="284" w:type="dxa"/>
                              <w:hideMark/>
                            </w:tcPr>
                            <w:p w:rsidR="00D55AF6" w:rsidRPr="00441B53" w:rsidRDefault="00D55AF6" w:rsidP="00D55AF6">
                              <w:pPr>
                                <w:spacing w:before="0" w:beforeAutospacing="0" w:after="0" w:afterAutospacing="0"/>
                                <w:jc w:val="both"/>
                                <w:rPr>
                                  <w:sz w:val="20"/>
                                  <w:szCs w:val="20"/>
                                </w:rPr>
                              </w:pPr>
                              <w:r w:rsidRPr="00441B53">
                                <w:rPr>
                                  <w:sz w:val="20"/>
                                  <w:szCs w:val="20"/>
                                </w:rPr>
                                <w:t>b)</w:t>
                              </w:r>
                            </w:p>
                          </w:tc>
                          <w:tc>
                            <w:tcPr>
                              <w:tcW w:w="4961" w:type="dxa"/>
                              <w:hideMark/>
                            </w:tcPr>
                            <w:p w:rsidR="00D55AF6" w:rsidRPr="00441B53" w:rsidRDefault="00D55AF6" w:rsidP="00D55AF6">
                              <w:pPr>
                                <w:spacing w:before="0" w:beforeAutospacing="0" w:after="0" w:afterAutospacing="0"/>
                                <w:jc w:val="both"/>
                                <w:rPr>
                                  <w:sz w:val="20"/>
                                  <w:szCs w:val="20"/>
                                </w:rPr>
                              </w:pPr>
                              <w:r w:rsidRPr="00441B53">
                                <w:rPr>
                                  <w:sz w:val="20"/>
                                  <w:szCs w:val="20"/>
                                </w:rPr>
                                <w:t>ak sa produkt používa v rámci výrobného procesu akéhokoľvek výrobku, ktorý nie je určený na ľudskú spotrebu, za predpokladu, že alkohol bol denaturovaný v súlade s požiadavkami akéhokoľvek členského štátu na dané použitie.</w:t>
                              </w:r>
                            </w:p>
                            <w:p w:rsidR="00D55AF6" w:rsidRPr="00441B53" w:rsidRDefault="00D55AF6" w:rsidP="00D55AF6">
                              <w:pPr>
                                <w:spacing w:before="0" w:beforeAutospacing="0" w:after="0" w:afterAutospacing="0"/>
                                <w:jc w:val="both"/>
                                <w:rPr>
                                  <w:sz w:val="20"/>
                                  <w:szCs w:val="20"/>
                                </w:rPr>
                              </w:pPr>
                              <w:r w:rsidRPr="00441B53">
                                <w:rPr>
                                  <w:sz w:val="20"/>
                                  <w:szCs w:val="20"/>
                                </w:rPr>
                                <w:t>Oslobodenie od dane sa uplatňuje v prípade, keď takýto denaturovaný alkohol:</w:t>
                              </w:r>
                            </w:p>
                            <w:tbl>
                              <w:tblPr>
                                <w:tblW w:w="5000" w:type="pct"/>
                                <w:tblLayout w:type="fixed"/>
                                <w:tblCellMar>
                                  <w:left w:w="0" w:type="dxa"/>
                                  <w:right w:w="0" w:type="dxa"/>
                                </w:tblCellMar>
                                <w:tblLook w:val="04A0" w:firstRow="1" w:lastRow="0" w:firstColumn="1" w:lastColumn="0" w:noHBand="0" w:noVBand="1"/>
                              </w:tblPr>
                              <w:tblGrid>
                                <w:gridCol w:w="197"/>
                                <w:gridCol w:w="4764"/>
                              </w:tblGrid>
                              <w:tr w:rsidR="00D55AF6" w:rsidRPr="00441B53">
                                <w:tc>
                                  <w:tcPr>
                                    <w:tcW w:w="336" w:type="dxa"/>
                                    <w:hideMark/>
                                  </w:tcPr>
                                  <w:p w:rsidR="00D55AF6" w:rsidRPr="00441B53" w:rsidRDefault="00D55AF6" w:rsidP="00D55AF6">
                                    <w:pPr>
                                      <w:spacing w:before="0" w:beforeAutospacing="0" w:after="0" w:afterAutospacing="0"/>
                                      <w:jc w:val="both"/>
                                      <w:rPr>
                                        <w:sz w:val="20"/>
                                        <w:szCs w:val="20"/>
                                      </w:rPr>
                                    </w:pPr>
                                    <w:r w:rsidRPr="00441B53">
                                      <w:rPr>
                                        <w:sz w:val="20"/>
                                        <w:szCs w:val="20"/>
                                      </w:rPr>
                                      <w:t>—</w:t>
                                    </w:r>
                                  </w:p>
                                </w:tc>
                                <w:tc>
                                  <w:tcPr>
                                    <w:tcW w:w="8513" w:type="dxa"/>
                                    <w:hideMark/>
                                  </w:tcPr>
                                  <w:p w:rsidR="00D55AF6" w:rsidRPr="00441B53" w:rsidRDefault="00D55AF6" w:rsidP="00D55AF6">
                                    <w:pPr>
                                      <w:spacing w:before="0" w:beforeAutospacing="0" w:after="0" w:afterAutospacing="0"/>
                                      <w:jc w:val="both"/>
                                      <w:rPr>
                                        <w:sz w:val="20"/>
                                        <w:szCs w:val="20"/>
                                      </w:rPr>
                                    </w:pPr>
                                    <w:r w:rsidRPr="00441B53">
                                      <w:rPr>
                                        <w:sz w:val="20"/>
                                        <w:szCs w:val="20"/>
                                      </w:rPr>
                                      <w:t>bol pridaný do výrobku, ktorý nie je určený na ľudskú spotrebu</w:t>
                                    </w:r>
                                  </w:p>
                                </w:tc>
                              </w:tr>
                            </w:tbl>
                            <w:p w:rsidR="00D55AF6" w:rsidRPr="00441B53" w:rsidRDefault="00D55AF6" w:rsidP="00D55AF6">
                              <w:pPr>
                                <w:spacing w:before="0" w:beforeAutospacing="0" w:after="0" w:afterAutospacing="0"/>
                                <w:jc w:val="both"/>
                                <w:rPr>
                                  <w:sz w:val="20"/>
                                  <w:szCs w:val="20"/>
                                </w:rPr>
                              </w:pPr>
                              <w:r w:rsidRPr="00441B53">
                                <w:rPr>
                                  <w:sz w:val="20"/>
                                  <w:szCs w:val="20"/>
                                </w:rPr>
                                <w:t>alebo</w:t>
                              </w:r>
                            </w:p>
                            <w:tbl>
                              <w:tblPr>
                                <w:tblW w:w="5000" w:type="pct"/>
                                <w:tblLayout w:type="fixed"/>
                                <w:tblCellMar>
                                  <w:left w:w="0" w:type="dxa"/>
                                  <w:right w:w="0" w:type="dxa"/>
                                </w:tblCellMar>
                                <w:tblLook w:val="04A0" w:firstRow="1" w:lastRow="0" w:firstColumn="1" w:lastColumn="0" w:noHBand="0" w:noVBand="1"/>
                              </w:tblPr>
                              <w:tblGrid>
                                <w:gridCol w:w="143"/>
                                <w:gridCol w:w="4818"/>
                              </w:tblGrid>
                              <w:tr w:rsidR="00D55AF6" w:rsidRPr="00441B53">
                                <w:tc>
                                  <w:tcPr>
                                    <w:tcW w:w="240" w:type="dxa"/>
                                    <w:hideMark/>
                                  </w:tcPr>
                                  <w:p w:rsidR="00D55AF6" w:rsidRPr="00441B53" w:rsidRDefault="00D55AF6" w:rsidP="00D55AF6">
                                    <w:pPr>
                                      <w:spacing w:before="0" w:beforeAutospacing="0" w:after="0" w:afterAutospacing="0"/>
                                      <w:jc w:val="both"/>
                                      <w:rPr>
                                        <w:sz w:val="20"/>
                                        <w:szCs w:val="20"/>
                                      </w:rPr>
                                    </w:pPr>
                                    <w:r w:rsidRPr="00441B53">
                                      <w:rPr>
                                        <w:sz w:val="20"/>
                                        <w:szCs w:val="20"/>
                                      </w:rPr>
                                      <w:t>—</w:t>
                                    </w:r>
                                  </w:p>
                                </w:tc>
                                <w:tc>
                                  <w:tcPr>
                                    <w:tcW w:w="8609" w:type="dxa"/>
                                    <w:hideMark/>
                                  </w:tcPr>
                                  <w:p w:rsidR="00D55AF6" w:rsidRPr="00441B53" w:rsidRDefault="00D55AF6" w:rsidP="00D55AF6">
                                    <w:pPr>
                                      <w:spacing w:before="0" w:beforeAutospacing="0" w:after="0" w:afterAutospacing="0"/>
                                      <w:jc w:val="both"/>
                                      <w:rPr>
                                        <w:sz w:val="20"/>
                                        <w:szCs w:val="20"/>
                                      </w:rPr>
                                    </w:pPr>
                                    <w:r w:rsidRPr="00441B53">
                                      <w:rPr>
                                        <w:sz w:val="20"/>
                                        <w:szCs w:val="20"/>
                                      </w:rPr>
                                      <w:t>sa používa na účely údržby a čistenia výrobného zariadenia používaného v tomto konkrétnom výrobnom procese.</w:t>
                                    </w:r>
                                  </w:p>
                                </w:tc>
                              </w:tr>
                            </w:tbl>
                            <w:p w:rsidR="00D55AF6" w:rsidRPr="00441B53" w:rsidRDefault="00D55AF6" w:rsidP="00D55AF6">
                              <w:pPr>
                                <w:spacing w:before="0" w:beforeAutospacing="0" w:after="0" w:afterAutospacing="0"/>
                                <w:jc w:val="both"/>
                                <w:rPr>
                                  <w:sz w:val="20"/>
                                  <w:szCs w:val="20"/>
                                </w:rPr>
                              </w:pPr>
                              <w:r w:rsidRPr="00441B53">
                                <w:rPr>
                                  <w:sz w:val="20"/>
                                  <w:szCs w:val="20"/>
                                </w:rPr>
                                <w:t>Členské štáty uplatňujú ustanovenia kapitoly IV smernice 2008/118/ES na pohyb denaturovaného alkoholu, ktorý sa ešte nepridal do výrobkov, ktoré nie sú určené na ľudskú spotrebu;“;</w:t>
                              </w:r>
                            </w:p>
                            <w:p w:rsidR="00142823" w:rsidRPr="00441B53" w:rsidRDefault="00142823" w:rsidP="00D55AF6">
                              <w:pPr>
                                <w:spacing w:before="0" w:beforeAutospacing="0" w:after="0" w:afterAutospacing="0"/>
                                <w:jc w:val="both"/>
                                <w:rPr>
                                  <w:sz w:val="20"/>
                                  <w:szCs w:val="20"/>
                                </w:rPr>
                              </w:pPr>
                            </w:p>
                            <w:p w:rsidR="00142823" w:rsidRPr="00441B53" w:rsidRDefault="00142823" w:rsidP="00D55AF6">
                              <w:pPr>
                                <w:spacing w:before="0" w:beforeAutospacing="0" w:after="0" w:afterAutospacing="0"/>
                                <w:jc w:val="both"/>
                                <w:rPr>
                                  <w:sz w:val="20"/>
                                  <w:szCs w:val="20"/>
                                </w:rPr>
                              </w:pPr>
                            </w:p>
                            <w:p w:rsidR="00142823" w:rsidRPr="00441B53" w:rsidRDefault="00142823" w:rsidP="00D55AF6">
                              <w:pPr>
                                <w:spacing w:before="0" w:beforeAutospacing="0" w:after="0" w:afterAutospacing="0"/>
                                <w:jc w:val="both"/>
                                <w:rPr>
                                  <w:sz w:val="20"/>
                                  <w:szCs w:val="20"/>
                                </w:rPr>
                              </w:pPr>
                            </w:p>
                            <w:p w:rsidR="00142823" w:rsidRPr="00441B53" w:rsidRDefault="00142823" w:rsidP="00D55AF6">
                              <w:pPr>
                                <w:spacing w:before="0" w:beforeAutospacing="0" w:after="0" w:afterAutospacing="0"/>
                                <w:jc w:val="both"/>
                                <w:rPr>
                                  <w:sz w:val="20"/>
                                  <w:szCs w:val="20"/>
                                </w:rPr>
                              </w:pPr>
                            </w:p>
                            <w:p w:rsidR="00142823" w:rsidRPr="00441B53" w:rsidRDefault="00142823" w:rsidP="00D55AF6">
                              <w:pPr>
                                <w:spacing w:before="0" w:beforeAutospacing="0" w:after="0" w:afterAutospacing="0"/>
                                <w:jc w:val="both"/>
                                <w:rPr>
                                  <w:sz w:val="20"/>
                                  <w:szCs w:val="20"/>
                                </w:rPr>
                              </w:pPr>
                            </w:p>
                            <w:p w:rsidR="00142823" w:rsidRPr="00441B53" w:rsidRDefault="00142823" w:rsidP="00D55AF6">
                              <w:pPr>
                                <w:spacing w:before="0" w:beforeAutospacing="0" w:after="0" w:afterAutospacing="0"/>
                                <w:jc w:val="both"/>
                                <w:rPr>
                                  <w:sz w:val="20"/>
                                  <w:szCs w:val="20"/>
                                </w:rPr>
                              </w:pPr>
                            </w:p>
                          </w:tc>
                        </w:tr>
                      </w:tbl>
                      <w:p w:rsidR="00D55AF6" w:rsidRPr="00441B53" w:rsidRDefault="00D55AF6" w:rsidP="00D55AF6">
                        <w:pPr>
                          <w:spacing w:before="0" w:beforeAutospacing="0" w:after="0" w:afterAutospacing="0"/>
                          <w:rPr>
                            <w:sz w:val="20"/>
                            <w:szCs w:val="20"/>
                          </w:rPr>
                        </w:pPr>
                      </w:p>
                    </w:tc>
                  </w:tr>
                </w:tbl>
                <w:p w:rsidR="00D55AF6" w:rsidRPr="00441B53" w:rsidRDefault="00D55AF6" w:rsidP="00D55AF6">
                  <w:pPr>
                    <w:spacing w:before="0" w:beforeAutospacing="0" w:after="0" w:afterAutospacing="0"/>
                    <w:rPr>
                      <w:vanish/>
                      <w:sz w:val="20"/>
                      <w:szCs w:val="20"/>
                    </w:rPr>
                  </w:pPr>
                </w:p>
                <w:tbl>
                  <w:tblPr>
                    <w:tblW w:w="5000" w:type="pct"/>
                    <w:tblLayout w:type="fixed"/>
                    <w:tblCellMar>
                      <w:left w:w="0" w:type="dxa"/>
                      <w:right w:w="0" w:type="dxa"/>
                    </w:tblCellMar>
                    <w:tblLook w:val="04A0" w:firstRow="1" w:lastRow="0" w:firstColumn="1" w:lastColumn="0" w:noHBand="0" w:noVBand="1"/>
                  </w:tblPr>
                  <w:tblGrid>
                    <w:gridCol w:w="283"/>
                    <w:gridCol w:w="5308"/>
                  </w:tblGrid>
                  <w:tr w:rsidR="00D55AF6" w:rsidRPr="00441B53" w:rsidTr="00D55AF6">
                    <w:tc>
                      <w:tcPr>
                        <w:tcW w:w="283" w:type="dxa"/>
                        <w:hideMark/>
                      </w:tcPr>
                      <w:p w:rsidR="00D55AF6" w:rsidRPr="00441B53" w:rsidRDefault="00D55AF6" w:rsidP="00D55AF6">
                        <w:pPr>
                          <w:spacing w:before="0" w:beforeAutospacing="0" w:after="0" w:afterAutospacing="0"/>
                          <w:jc w:val="both"/>
                          <w:rPr>
                            <w:sz w:val="20"/>
                            <w:szCs w:val="20"/>
                          </w:rPr>
                        </w:pPr>
                        <w:r w:rsidRPr="00441B53">
                          <w:rPr>
                            <w:sz w:val="20"/>
                            <w:szCs w:val="20"/>
                          </w:rPr>
                          <w:t>ii)</w:t>
                        </w:r>
                      </w:p>
                    </w:tc>
                    <w:tc>
                      <w:tcPr>
                        <w:tcW w:w="5308" w:type="dxa"/>
                        <w:hideMark/>
                      </w:tcPr>
                      <w:p w:rsidR="00D55AF6" w:rsidRPr="00441B53" w:rsidRDefault="00D55AF6" w:rsidP="00D55AF6">
                        <w:pPr>
                          <w:spacing w:before="0" w:beforeAutospacing="0" w:after="0" w:afterAutospacing="0"/>
                          <w:jc w:val="both"/>
                          <w:rPr>
                            <w:sz w:val="20"/>
                            <w:szCs w:val="20"/>
                          </w:rPr>
                        </w:pPr>
                        <w:r w:rsidRPr="00441B53">
                          <w:rPr>
                            <w:sz w:val="20"/>
                            <w:szCs w:val="20"/>
                          </w:rPr>
                          <w:t>písmeno d) sa nahrádza takto:</w:t>
                        </w:r>
                      </w:p>
                      <w:tbl>
                        <w:tblPr>
                          <w:tblW w:w="4807" w:type="pct"/>
                          <w:tblLayout w:type="fixed"/>
                          <w:tblCellMar>
                            <w:left w:w="0" w:type="dxa"/>
                            <w:right w:w="0" w:type="dxa"/>
                          </w:tblCellMar>
                          <w:tblLook w:val="04A0" w:firstRow="1" w:lastRow="0" w:firstColumn="1" w:lastColumn="0" w:noHBand="0" w:noVBand="1"/>
                        </w:tblPr>
                        <w:tblGrid>
                          <w:gridCol w:w="284"/>
                          <w:gridCol w:w="4819"/>
                        </w:tblGrid>
                        <w:tr w:rsidR="00D55AF6" w:rsidRPr="00441B53" w:rsidTr="00D55AF6">
                          <w:tc>
                            <w:tcPr>
                              <w:tcW w:w="284" w:type="dxa"/>
                              <w:hideMark/>
                            </w:tcPr>
                            <w:p w:rsidR="00D55AF6" w:rsidRPr="00441B53" w:rsidRDefault="00D55AF6" w:rsidP="00D55AF6">
                              <w:pPr>
                                <w:spacing w:before="0" w:beforeAutospacing="0" w:after="0" w:afterAutospacing="0"/>
                                <w:jc w:val="both"/>
                                <w:rPr>
                                  <w:sz w:val="20"/>
                                  <w:szCs w:val="20"/>
                                </w:rPr>
                              </w:pPr>
                              <w:r w:rsidRPr="00441B53">
                                <w:rPr>
                                  <w:sz w:val="20"/>
                                  <w:szCs w:val="20"/>
                                </w:rPr>
                                <w:t>„d)</w:t>
                              </w:r>
                            </w:p>
                          </w:tc>
                          <w:tc>
                            <w:tcPr>
                              <w:tcW w:w="4819" w:type="dxa"/>
                              <w:hideMark/>
                            </w:tcPr>
                            <w:p w:rsidR="00D55AF6" w:rsidRPr="00441B53" w:rsidRDefault="00D55AF6" w:rsidP="00D55AF6">
                              <w:pPr>
                                <w:spacing w:before="0" w:beforeAutospacing="0" w:after="0" w:afterAutospacing="0"/>
                                <w:jc w:val="both"/>
                                <w:rPr>
                                  <w:sz w:val="20"/>
                                  <w:szCs w:val="20"/>
                                </w:rPr>
                              </w:pPr>
                              <w:r w:rsidRPr="00441B53">
                                <w:rPr>
                                  <w:sz w:val="20"/>
                                  <w:szCs w:val="20"/>
                                </w:rPr>
                                <w:t>ak sa produkt používa na výrobu liekov uvedených v smerniciach Európskeho parlamentu a Rady 2001/82/ES</w:t>
                              </w:r>
                              <w:hyperlink r:id="rId12" w:anchor="ntr*-L_2020256SK.01000101-E0010" w:history="1">
                                <w:r w:rsidRPr="00441B53">
                                  <w:rPr>
                                    <w:sz w:val="20"/>
                                    <w:szCs w:val="20"/>
                                  </w:rPr>
                                  <w:t> (</w:t>
                                </w:r>
                                <w:r w:rsidRPr="00441B53">
                                  <w:rPr>
                                    <w:sz w:val="20"/>
                                    <w:szCs w:val="20"/>
                                    <w:vertAlign w:val="superscript"/>
                                  </w:rPr>
                                  <w:t>*</w:t>
                                </w:r>
                                <w:r w:rsidRPr="00441B53">
                                  <w:rPr>
                                    <w:sz w:val="20"/>
                                    <w:szCs w:val="20"/>
                                  </w:rPr>
                                  <w:t>)</w:t>
                                </w:r>
                              </w:hyperlink>
                              <w:r w:rsidRPr="00441B53">
                                <w:rPr>
                                  <w:sz w:val="20"/>
                                  <w:szCs w:val="20"/>
                                </w:rPr>
                                <w:t> a 2001/83/ES</w:t>
                              </w:r>
                              <w:r w:rsidR="00142823" w:rsidRPr="00441B53">
                                <w:rPr>
                                  <w:sz w:val="20"/>
                                  <w:szCs w:val="20"/>
                                </w:rPr>
                                <w:t>;</w:t>
                              </w:r>
                            </w:p>
                          </w:tc>
                        </w:tr>
                      </w:tbl>
                      <w:p w:rsidR="00D55AF6" w:rsidRPr="00441B53" w:rsidRDefault="00D55AF6" w:rsidP="00D55AF6">
                        <w:pPr>
                          <w:spacing w:before="0" w:beforeAutospacing="0" w:after="0" w:afterAutospacing="0"/>
                          <w:rPr>
                            <w:sz w:val="20"/>
                            <w:szCs w:val="20"/>
                          </w:rPr>
                        </w:pPr>
                      </w:p>
                    </w:tc>
                  </w:tr>
                </w:tbl>
                <w:p w:rsidR="00D55AF6" w:rsidRPr="00441B53" w:rsidRDefault="00D55AF6" w:rsidP="00D55AF6">
                  <w:pPr>
                    <w:spacing w:before="0" w:beforeAutospacing="0" w:after="0" w:afterAutospacing="0"/>
                    <w:rPr>
                      <w:sz w:val="20"/>
                      <w:szCs w:val="20"/>
                    </w:rPr>
                  </w:pPr>
                </w:p>
              </w:tc>
            </w:tr>
          </w:tbl>
          <w:p w:rsidR="0027335F" w:rsidRPr="00441B53" w:rsidRDefault="0027335F" w:rsidP="005B7B7A">
            <w:pPr>
              <w:pStyle w:val="Bezriadkovania"/>
              <w:spacing w:beforeAutospacing="0" w:afterAutospacing="0"/>
              <w:jc w:val="both"/>
              <w:rPr>
                <w:sz w:val="20"/>
                <w:szCs w:val="20"/>
              </w:rPr>
            </w:pPr>
          </w:p>
          <w:p w:rsidR="00142823" w:rsidRPr="00441B53" w:rsidRDefault="00142823" w:rsidP="005B7B7A">
            <w:pPr>
              <w:pStyle w:val="Bezriadkovania"/>
              <w:spacing w:beforeAutospacing="0" w:afterAutospacing="0"/>
              <w:jc w:val="both"/>
              <w:rPr>
                <w:sz w:val="20"/>
                <w:szCs w:val="20"/>
              </w:rPr>
            </w:pPr>
          </w:p>
          <w:p w:rsidR="00142823" w:rsidRPr="00441B53" w:rsidRDefault="00142823" w:rsidP="005B7B7A">
            <w:pPr>
              <w:pStyle w:val="Bezriadkovania"/>
              <w:spacing w:beforeAutospacing="0" w:afterAutospacing="0"/>
              <w:jc w:val="both"/>
              <w:rPr>
                <w:sz w:val="20"/>
                <w:szCs w:val="20"/>
              </w:rPr>
            </w:pPr>
          </w:p>
          <w:p w:rsidR="0027335F" w:rsidRPr="00441B53" w:rsidRDefault="00AE4B8A" w:rsidP="005B7B7A">
            <w:pPr>
              <w:pStyle w:val="Bezriadkovania"/>
              <w:spacing w:beforeAutospacing="0" w:afterAutospacing="0"/>
              <w:jc w:val="both"/>
              <w:rPr>
                <w:sz w:val="20"/>
                <w:szCs w:val="20"/>
              </w:rPr>
            </w:pPr>
            <w:r w:rsidRPr="00441B53">
              <w:rPr>
                <w:sz w:val="20"/>
                <w:szCs w:val="20"/>
              </w:rPr>
              <w:t xml:space="preserve">b) v odseku 2 sa dopĺňa toto písmeno: </w:t>
            </w:r>
          </w:p>
          <w:p w:rsidR="0035207F" w:rsidRPr="00441B53" w:rsidRDefault="00AE4B8A" w:rsidP="005B7B7A">
            <w:pPr>
              <w:pStyle w:val="Bezriadkovania"/>
              <w:spacing w:beforeAutospacing="0" w:afterAutospacing="0"/>
              <w:jc w:val="both"/>
              <w:rPr>
                <w:sz w:val="20"/>
                <w:szCs w:val="20"/>
              </w:rPr>
            </w:pPr>
            <w:r w:rsidRPr="00441B53">
              <w:rPr>
                <w:sz w:val="20"/>
                <w:szCs w:val="20"/>
              </w:rPr>
              <w:t>„f) pri výrobe výživových doplnkov vymedzených v smernici Európskeho parlamentu a Rady 2002/46/ES *, ktoré obsahujú etylalkohol, ak jednotkové balenie výživového doplnku uvedeného do daňového voľného obehu nepresahuje 0,15 litra a výživové doplnky sa uvádzajú na trh v súlade s článkom 10 uvedenej smernice.</w:t>
            </w:r>
          </w:p>
          <w:p w:rsidR="0054175A" w:rsidRPr="00441B53" w:rsidRDefault="0054175A" w:rsidP="005B7B7A">
            <w:pPr>
              <w:pStyle w:val="Bezriadkovania"/>
              <w:spacing w:beforeAutospacing="0" w:afterAutospacing="0"/>
              <w:jc w:val="both"/>
              <w:rPr>
                <w:sz w:val="20"/>
                <w:szCs w:val="20"/>
              </w:rPr>
            </w:pPr>
          </w:p>
          <w:tbl>
            <w:tblPr>
              <w:tblW w:w="5000" w:type="pct"/>
              <w:tblLayout w:type="fixed"/>
              <w:tblCellMar>
                <w:left w:w="0" w:type="dxa"/>
                <w:right w:w="0" w:type="dxa"/>
              </w:tblCellMar>
              <w:tblLook w:val="04A0" w:firstRow="1" w:lastRow="0" w:firstColumn="1" w:lastColumn="0" w:noHBand="0" w:noVBand="1"/>
            </w:tblPr>
            <w:tblGrid>
              <w:gridCol w:w="241"/>
              <w:gridCol w:w="5485"/>
            </w:tblGrid>
            <w:tr w:rsidR="004A4863" w:rsidRPr="00441B53" w:rsidTr="004A4863">
              <w:tc>
                <w:tcPr>
                  <w:tcW w:w="241" w:type="dxa"/>
                  <w:shd w:val="clear" w:color="auto" w:fill="FFFFFF"/>
                  <w:hideMark/>
                </w:tcPr>
                <w:p w:rsidR="004A4863" w:rsidRPr="00441B53" w:rsidRDefault="004A4863" w:rsidP="004A4863">
                  <w:pPr>
                    <w:spacing w:before="0" w:beforeAutospacing="0" w:after="0" w:afterAutospacing="0"/>
                    <w:jc w:val="both"/>
                    <w:rPr>
                      <w:sz w:val="20"/>
                      <w:szCs w:val="20"/>
                    </w:rPr>
                  </w:pPr>
                  <w:r w:rsidRPr="00441B53">
                    <w:rPr>
                      <w:sz w:val="20"/>
                      <w:szCs w:val="20"/>
                    </w:rPr>
                    <w:t>c)</w:t>
                  </w:r>
                </w:p>
              </w:tc>
              <w:tc>
                <w:tcPr>
                  <w:tcW w:w="5485" w:type="dxa"/>
                  <w:shd w:val="clear" w:color="auto" w:fill="FFFFFF"/>
                  <w:hideMark/>
                </w:tcPr>
                <w:p w:rsidR="004A4863" w:rsidRPr="00441B53" w:rsidRDefault="004A4863" w:rsidP="004A4863">
                  <w:pPr>
                    <w:spacing w:before="0" w:beforeAutospacing="0" w:after="0" w:afterAutospacing="0"/>
                    <w:jc w:val="both"/>
                    <w:rPr>
                      <w:sz w:val="20"/>
                      <w:szCs w:val="20"/>
                    </w:rPr>
                  </w:pPr>
                  <w:r w:rsidRPr="00441B53">
                    <w:rPr>
                      <w:sz w:val="20"/>
                      <w:szCs w:val="20"/>
                    </w:rPr>
                    <w:t>odseky 3, 4 a 5 sa nahrádzajú takto:</w:t>
                  </w:r>
                </w:p>
                <w:p w:rsidR="004A4863" w:rsidRPr="00441B53" w:rsidRDefault="004A4863" w:rsidP="004A4863">
                  <w:pPr>
                    <w:spacing w:before="0" w:beforeAutospacing="0" w:after="0" w:afterAutospacing="0"/>
                    <w:jc w:val="both"/>
                    <w:rPr>
                      <w:sz w:val="20"/>
                      <w:szCs w:val="20"/>
                    </w:rPr>
                  </w:pPr>
                  <w:r w:rsidRPr="00441B53">
                    <w:rPr>
                      <w:sz w:val="20"/>
                      <w:szCs w:val="20"/>
                    </w:rPr>
                    <w:t>„3.   Členský štát, ktorý chce zaviesť zmenu požiadaviek na úplnú denaturáciu alkoholu uvedenú v odseku 1 písm. a), písomne oznámi Komisii tieto nové požiadavky spolu so všetkými relevantnými informáciami o denaturačných prostriedkoch, ktoré zamýšľa používať.</w:t>
                  </w:r>
                </w:p>
                <w:p w:rsidR="004A4863" w:rsidRPr="00441B53" w:rsidRDefault="004A4863" w:rsidP="004A4863">
                  <w:pPr>
                    <w:spacing w:before="0" w:beforeAutospacing="0" w:after="0" w:afterAutospacing="0"/>
                    <w:jc w:val="both"/>
                    <w:rPr>
                      <w:sz w:val="20"/>
                      <w:szCs w:val="20"/>
                    </w:rPr>
                  </w:pPr>
                  <w:r w:rsidRPr="00441B53">
                    <w:rPr>
                      <w:sz w:val="20"/>
                      <w:szCs w:val="20"/>
                    </w:rPr>
                    <w:t>Ak Komisia usúdi, že nemá k dispozícii všetky potrebné údaje, do jedného mesiaca od prijatia žiadosti kontaktuje dotknutý členský štát a spresní, ktoré informácie požaduje. Ak už má Komisia k dispozícii všetky informácie, ktoré považuje za potrebné, zašle do jedného mesiaca oznámenie ostatným členským štátom.</w:t>
                  </w:r>
                </w:p>
                <w:p w:rsidR="004A4863" w:rsidRPr="00441B53" w:rsidRDefault="004A4863" w:rsidP="004A4863">
                  <w:pPr>
                    <w:spacing w:before="0" w:beforeAutospacing="0" w:after="0" w:afterAutospacing="0"/>
                    <w:jc w:val="both"/>
                    <w:rPr>
                      <w:sz w:val="20"/>
                      <w:szCs w:val="20"/>
                    </w:rPr>
                  </w:pPr>
                  <w:r w:rsidRPr="00441B53">
                    <w:rPr>
                      <w:sz w:val="20"/>
                      <w:szCs w:val="20"/>
                    </w:rPr>
                    <w:t>4.   Komisia prijme vykonávacie akty, ktorými schvaľuje alebo zamieta požiadavky oznámené v súlade s odsekom 3 tohto článku. Uvedené vykonávacie akty sa prijímajú v súlade s postupom preskúmania uvedeným v článku 28a ods. 2</w:t>
                  </w:r>
                </w:p>
                <w:p w:rsidR="004A4863" w:rsidRPr="00441B53" w:rsidRDefault="004A4863" w:rsidP="004A4863">
                  <w:pPr>
                    <w:spacing w:before="0" w:beforeAutospacing="0" w:after="0" w:afterAutospacing="0"/>
                    <w:jc w:val="both"/>
                    <w:rPr>
                      <w:sz w:val="20"/>
                      <w:szCs w:val="20"/>
                    </w:rPr>
                  </w:pPr>
                  <w:r w:rsidRPr="00441B53">
                    <w:rPr>
                      <w:sz w:val="20"/>
                      <w:szCs w:val="20"/>
                    </w:rPr>
                    <w:t>5.   Ak členský štát zistí, že výrobok, ktorý bol oslobodený od dane na základe predchádzajúceho odseku 1 písm. a) alebo b) tohto článku, spôsobil daňový únik, vyhýbanie sa daňovej povinnosti alebo zneužitie daňového režimu, môže odmietnuť poskytnutie oslobodenia od dane alebo môže už poskytnuté oslobodenie zrušiť. Členský štát takéto zamietnuté alebo zrušené oslobodenia od dane bezodkladne písomne oznámi Komisii spolu so všetkými relevantnými informáciami o daňovom úniku, vyhýbaní sa daňovej povinnosti alebo zneužití daňového režimu. Ak Komisia usúdi, že nemá k dispozícii všetky potrebné údaje, do jedného mesiaca od prijatia týchto informácií kontaktuje dotknutý členský štát a spresní, aké ďalšie informácie požaduje. Ak už Komisia má k dispozícii všetky informácie, ktoré považuje za potrebné, zašle do jedného mesiaca oznámenie ostatným členským štátom. Konečné rozhodnutie sa prijme v súlade s postupom preskúmania uvedeným v článku 28a ods. 2 najneskôr do štyroch mesiacov po zaslaní oznámenia ostatným členským štátom. Členské štáty nie sú povinné zabezpečiť spätnú účinnosť takéhoto rozhodnutia.“</w:t>
                  </w:r>
                </w:p>
              </w:tc>
            </w:tr>
          </w:tbl>
          <w:p w:rsidR="004A4863" w:rsidRPr="00441B53" w:rsidRDefault="004A4863" w:rsidP="005B7B7A">
            <w:pPr>
              <w:pStyle w:val="Bezriadkovania"/>
              <w:spacing w:beforeAutospacing="0" w:afterAutospacing="0"/>
              <w:jc w:val="both"/>
              <w:rPr>
                <w:sz w:val="20"/>
                <w:szCs w:val="20"/>
              </w:rPr>
            </w:pPr>
          </w:p>
        </w:tc>
        <w:tc>
          <w:tcPr>
            <w:tcW w:w="1245" w:type="dxa"/>
            <w:tcBorders>
              <w:top w:val="single" w:sz="4" w:space="0" w:color="auto"/>
              <w:left w:val="single" w:sz="4" w:space="0" w:color="auto"/>
              <w:bottom w:val="single" w:sz="4" w:space="0" w:color="auto"/>
              <w:right w:val="single" w:sz="12" w:space="0" w:color="auto"/>
            </w:tcBorders>
          </w:tcPr>
          <w:p w:rsidR="0027335F" w:rsidRPr="00441B53" w:rsidRDefault="0027335F">
            <w:pPr>
              <w:autoSpaceDE w:val="0"/>
              <w:autoSpaceDN w:val="0"/>
              <w:spacing w:before="0" w:beforeAutospacing="0" w:after="0" w:afterAutospacing="0"/>
              <w:jc w:val="center"/>
              <w:rPr>
                <w:sz w:val="20"/>
                <w:szCs w:val="20"/>
              </w:rPr>
            </w:pPr>
          </w:p>
          <w:p w:rsidR="0027335F" w:rsidRPr="00441B53" w:rsidRDefault="0027335F">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r w:rsidRPr="00441B53">
              <w:rPr>
                <w:sz w:val="20"/>
                <w:szCs w:val="20"/>
              </w:rPr>
              <w:t>N</w:t>
            </w: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D633D4" w:rsidRPr="00441B53" w:rsidRDefault="00D633D4">
            <w:pPr>
              <w:autoSpaceDE w:val="0"/>
              <w:autoSpaceDN w:val="0"/>
              <w:spacing w:before="0" w:beforeAutospacing="0" w:after="0" w:afterAutospacing="0"/>
              <w:jc w:val="center"/>
              <w:rPr>
                <w:sz w:val="20"/>
                <w:szCs w:val="20"/>
              </w:rPr>
            </w:pPr>
          </w:p>
          <w:p w:rsidR="0054175A" w:rsidRPr="00441B53" w:rsidRDefault="0027335F">
            <w:pPr>
              <w:autoSpaceDE w:val="0"/>
              <w:autoSpaceDN w:val="0"/>
              <w:spacing w:before="0" w:beforeAutospacing="0" w:after="0" w:afterAutospacing="0"/>
              <w:jc w:val="center"/>
              <w:rPr>
                <w:sz w:val="20"/>
                <w:szCs w:val="20"/>
              </w:rPr>
            </w:pPr>
            <w:r w:rsidRPr="00441B53">
              <w:rPr>
                <w:sz w:val="20"/>
                <w:szCs w:val="20"/>
              </w:rPr>
              <w:t>D</w:t>
            </w: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r w:rsidRPr="00441B53">
              <w:rPr>
                <w:sz w:val="20"/>
                <w:szCs w:val="20"/>
              </w:rPr>
              <w:t>n.a.</w:t>
            </w:r>
          </w:p>
        </w:tc>
        <w:tc>
          <w:tcPr>
            <w:tcW w:w="846" w:type="dxa"/>
            <w:tcBorders>
              <w:top w:val="single" w:sz="4" w:space="0" w:color="auto"/>
              <w:left w:val="nil"/>
              <w:bottom w:val="single" w:sz="4" w:space="0" w:color="auto"/>
              <w:right w:val="single" w:sz="4" w:space="0" w:color="auto"/>
            </w:tcBorders>
          </w:tcPr>
          <w:p w:rsidR="00881CC7" w:rsidRPr="00441B53" w:rsidRDefault="00881CC7" w:rsidP="00AE4B8A">
            <w:pPr>
              <w:autoSpaceDE w:val="0"/>
              <w:autoSpaceDN w:val="0"/>
              <w:spacing w:before="0" w:beforeAutospacing="0" w:after="0" w:afterAutospacing="0"/>
              <w:jc w:val="center"/>
              <w:rPr>
                <w:sz w:val="20"/>
                <w:szCs w:val="20"/>
              </w:rPr>
            </w:pPr>
          </w:p>
          <w:p w:rsidR="00881CC7" w:rsidRPr="00441B53" w:rsidRDefault="00881CC7" w:rsidP="00AE4B8A">
            <w:pPr>
              <w:autoSpaceDE w:val="0"/>
              <w:autoSpaceDN w:val="0"/>
              <w:spacing w:before="0" w:beforeAutospacing="0" w:after="0" w:afterAutospacing="0"/>
              <w:jc w:val="center"/>
              <w:rPr>
                <w:sz w:val="20"/>
                <w:szCs w:val="20"/>
              </w:rPr>
            </w:pPr>
          </w:p>
          <w:p w:rsidR="00D55AF6" w:rsidRPr="00441B53" w:rsidRDefault="00AE4B8A" w:rsidP="00AE4B8A">
            <w:pPr>
              <w:autoSpaceDE w:val="0"/>
              <w:autoSpaceDN w:val="0"/>
              <w:spacing w:before="0" w:beforeAutospacing="0" w:after="0" w:afterAutospacing="0"/>
              <w:jc w:val="center"/>
              <w:rPr>
                <w:sz w:val="20"/>
                <w:szCs w:val="20"/>
              </w:rPr>
            </w:pPr>
            <w:r w:rsidRPr="00441B53">
              <w:rPr>
                <w:sz w:val="20"/>
                <w:szCs w:val="20"/>
              </w:rPr>
              <w:t>530/2011</w:t>
            </w: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D55AF6" w:rsidP="00AE4B8A">
            <w:pPr>
              <w:autoSpaceDE w:val="0"/>
              <w:autoSpaceDN w:val="0"/>
              <w:spacing w:before="0" w:beforeAutospacing="0" w:after="0" w:afterAutospacing="0"/>
              <w:jc w:val="center"/>
              <w:rPr>
                <w:sz w:val="20"/>
                <w:szCs w:val="20"/>
              </w:rPr>
            </w:pPr>
          </w:p>
          <w:p w:rsidR="00D55AF6" w:rsidRPr="00441B53" w:rsidRDefault="00142823" w:rsidP="00AE4B8A">
            <w:pPr>
              <w:autoSpaceDE w:val="0"/>
              <w:autoSpaceDN w:val="0"/>
              <w:spacing w:before="0" w:beforeAutospacing="0" w:after="0" w:afterAutospacing="0"/>
              <w:jc w:val="center"/>
              <w:rPr>
                <w:sz w:val="20"/>
                <w:szCs w:val="20"/>
              </w:rPr>
            </w:pPr>
            <w:r w:rsidRPr="00441B53">
              <w:rPr>
                <w:b/>
                <w:sz w:val="20"/>
                <w:szCs w:val="20"/>
              </w:rPr>
              <w:t>Návrh zákona čl. I</w:t>
            </w:r>
          </w:p>
          <w:p w:rsidR="004A4863" w:rsidRPr="00441B53" w:rsidRDefault="004A4863" w:rsidP="00AE4B8A">
            <w:pPr>
              <w:autoSpaceDE w:val="0"/>
              <w:autoSpaceDN w:val="0"/>
              <w:spacing w:before="0" w:beforeAutospacing="0" w:after="0" w:afterAutospacing="0"/>
              <w:jc w:val="center"/>
              <w:rPr>
                <w:sz w:val="20"/>
                <w:szCs w:val="20"/>
              </w:rPr>
            </w:pPr>
          </w:p>
          <w:p w:rsidR="004A4863" w:rsidRPr="00441B53" w:rsidRDefault="004A4863" w:rsidP="00AE4B8A">
            <w:pPr>
              <w:autoSpaceDE w:val="0"/>
              <w:autoSpaceDN w:val="0"/>
              <w:spacing w:before="0" w:beforeAutospacing="0" w:after="0" w:afterAutospacing="0"/>
              <w:jc w:val="center"/>
              <w:rPr>
                <w:sz w:val="20"/>
                <w:szCs w:val="20"/>
              </w:rPr>
            </w:pPr>
          </w:p>
          <w:p w:rsidR="004A4863" w:rsidRPr="00441B53" w:rsidRDefault="004A4863" w:rsidP="00AE4B8A">
            <w:pPr>
              <w:autoSpaceDE w:val="0"/>
              <w:autoSpaceDN w:val="0"/>
              <w:spacing w:before="0" w:beforeAutospacing="0" w:after="0" w:afterAutospacing="0"/>
              <w:jc w:val="center"/>
              <w:rPr>
                <w:sz w:val="20"/>
                <w:szCs w:val="20"/>
              </w:rPr>
            </w:pPr>
          </w:p>
          <w:p w:rsidR="004A4863" w:rsidRPr="00441B53" w:rsidRDefault="004A4863" w:rsidP="00AE4B8A">
            <w:pPr>
              <w:autoSpaceDE w:val="0"/>
              <w:autoSpaceDN w:val="0"/>
              <w:spacing w:before="0" w:beforeAutospacing="0" w:after="0" w:afterAutospacing="0"/>
              <w:jc w:val="center"/>
              <w:rPr>
                <w:sz w:val="20"/>
                <w:szCs w:val="20"/>
              </w:rPr>
            </w:pPr>
          </w:p>
          <w:p w:rsidR="004A4863" w:rsidRPr="00441B53" w:rsidRDefault="004A4863" w:rsidP="00AE4B8A">
            <w:pPr>
              <w:autoSpaceDE w:val="0"/>
              <w:autoSpaceDN w:val="0"/>
              <w:spacing w:before="0" w:beforeAutospacing="0" w:after="0" w:afterAutospacing="0"/>
              <w:jc w:val="center"/>
              <w:rPr>
                <w:sz w:val="20"/>
                <w:szCs w:val="20"/>
              </w:rPr>
            </w:pPr>
          </w:p>
          <w:p w:rsidR="00142823" w:rsidRPr="00441B53" w:rsidRDefault="00142823" w:rsidP="00AE4B8A">
            <w:pPr>
              <w:autoSpaceDE w:val="0"/>
              <w:autoSpaceDN w:val="0"/>
              <w:spacing w:before="0" w:beforeAutospacing="0" w:after="0" w:afterAutospacing="0"/>
              <w:jc w:val="center"/>
              <w:rPr>
                <w:sz w:val="20"/>
                <w:szCs w:val="20"/>
              </w:rPr>
            </w:pPr>
          </w:p>
          <w:p w:rsidR="00142823" w:rsidRPr="00441B53" w:rsidRDefault="00142823" w:rsidP="00AE4B8A">
            <w:pPr>
              <w:autoSpaceDE w:val="0"/>
              <w:autoSpaceDN w:val="0"/>
              <w:spacing w:before="0" w:beforeAutospacing="0" w:after="0" w:afterAutospacing="0"/>
              <w:jc w:val="center"/>
              <w:rPr>
                <w:sz w:val="20"/>
                <w:szCs w:val="20"/>
              </w:rPr>
            </w:pPr>
          </w:p>
          <w:p w:rsidR="004A4863" w:rsidRPr="00441B53" w:rsidRDefault="004A4863" w:rsidP="00AE4B8A">
            <w:pPr>
              <w:autoSpaceDE w:val="0"/>
              <w:autoSpaceDN w:val="0"/>
              <w:spacing w:before="0" w:beforeAutospacing="0" w:after="0" w:afterAutospacing="0"/>
              <w:jc w:val="center"/>
              <w:rPr>
                <w:sz w:val="20"/>
                <w:szCs w:val="20"/>
              </w:rPr>
            </w:pPr>
          </w:p>
          <w:p w:rsidR="00142823" w:rsidRPr="00441B53" w:rsidRDefault="00142823" w:rsidP="00142823">
            <w:pPr>
              <w:autoSpaceDE w:val="0"/>
              <w:autoSpaceDN w:val="0"/>
              <w:spacing w:before="0" w:beforeAutospacing="0" w:after="0" w:afterAutospacing="0"/>
              <w:jc w:val="center"/>
              <w:rPr>
                <w:sz w:val="20"/>
                <w:szCs w:val="20"/>
              </w:rPr>
            </w:pPr>
            <w:r w:rsidRPr="00441B53">
              <w:rPr>
                <w:sz w:val="20"/>
                <w:szCs w:val="20"/>
              </w:rPr>
              <w:t>530/2011</w:t>
            </w:r>
          </w:p>
          <w:p w:rsidR="004A4863" w:rsidRPr="00441B53" w:rsidRDefault="004A4863" w:rsidP="00AE4B8A">
            <w:pPr>
              <w:autoSpaceDE w:val="0"/>
              <w:autoSpaceDN w:val="0"/>
              <w:spacing w:before="0" w:beforeAutospacing="0" w:after="0" w:afterAutospacing="0"/>
              <w:jc w:val="center"/>
              <w:rPr>
                <w:sz w:val="20"/>
                <w:szCs w:val="20"/>
              </w:rPr>
            </w:pPr>
          </w:p>
          <w:p w:rsidR="004A4863" w:rsidRPr="00441B53" w:rsidRDefault="004A4863" w:rsidP="00AE4B8A">
            <w:pPr>
              <w:autoSpaceDE w:val="0"/>
              <w:autoSpaceDN w:val="0"/>
              <w:spacing w:before="0" w:beforeAutospacing="0" w:after="0" w:afterAutospacing="0"/>
              <w:jc w:val="center"/>
              <w:rPr>
                <w:sz w:val="20"/>
                <w:szCs w:val="20"/>
              </w:rPr>
            </w:pPr>
          </w:p>
          <w:p w:rsidR="00142823" w:rsidRPr="00441B53" w:rsidRDefault="00142823" w:rsidP="00AE4B8A">
            <w:pPr>
              <w:autoSpaceDE w:val="0"/>
              <w:autoSpaceDN w:val="0"/>
              <w:spacing w:before="0" w:beforeAutospacing="0" w:after="0" w:afterAutospacing="0"/>
              <w:jc w:val="center"/>
              <w:rPr>
                <w:sz w:val="20"/>
                <w:szCs w:val="20"/>
              </w:rPr>
            </w:pPr>
          </w:p>
          <w:p w:rsidR="00142823" w:rsidRPr="00441B53" w:rsidRDefault="00142823" w:rsidP="00AE4B8A">
            <w:pPr>
              <w:autoSpaceDE w:val="0"/>
              <w:autoSpaceDN w:val="0"/>
              <w:spacing w:before="0" w:beforeAutospacing="0" w:after="0" w:afterAutospacing="0"/>
              <w:jc w:val="center"/>
              <w:rPr>
                <w:sz w:val="20"/>
                <w:szCs w:val="20"/>
              </w:rPr>
            </w:pPr>
          </w:p>
          <w:p w:rsidR="00142823" w:rsidRPr="00441B53" w:rsidRDefault="00142823" w:rsidP="00AE4B8A">
            <w:pPr>
              <w:autoSpaceDE w:val="0"/>
              <w:autoSpaceDN w:val="0"/>
              <w:spacing w:before="0" w:beforeAutospacing="0" w:after="0" w:afterAutospacing="0"/>
              <w:jc w:val="center"/>
              <w:rPr>
                <w:sz w:val="20"/>
                <w:szCs w:val="20"/>
              </w:rPr>
            </w:pPr>
          </w:p>
          <w:p w:rsidR="00142823" w:rsidRPr="00441B53" w:rsidRDefault="00142823" w:rsidP="00AE4B8A">
            <w:pPr>
              <w:autoSpaceDE w:val="0"/>
              <w:autoSpaceDN w:val="0"/>
              <w:spacing w:before="0" w:beforeAutospacing="0" w:after="0" w:afterAutospacing="0"/>
              <w:jc w:val="center"/>
              <w:rPr>
                <w:sz w:val="20"/>
                <w:szCs w:val="20"/>
              </w:rPr>
            </w:pPr>
          </w:p>
          <w:p w:rsidR="00AE4B8A" w:rsidRPr="00441B53" w:rsidRDefault="00AE4B8A" w:rsidP="00AE4B8A">
            <w:pPr>
              <w:autoSpaceDE w:val="0"/>
              <w:autoSpaceDN w:val="0"/>
              <w:spacing w:before="0" w:beforeAutospacing="0" w:after="0" w:afterAutospacing="0"/>
              <w:jc w:val="center"/>
              <w:rPr>
                <w:b/>
                <w:sz w:val="20"/>
                <w:szCs w:val="20"/>
              </w:rPr>
            </w:pPr>
            <w:r w:rsidRPr="00441B53">
              <w:rPr>
                <w:b/>
                <w:sz w:val="20"/>
                <w:szCs w:val="20"/>
              </w:rPr>
              <w:t>Návrh zákona čl. I</w:t>
            </w:r>
          </w:p>
          <w:p w:rsidR="00AE4B8A" w:rsidRPr="00441B53" w:rsidRDefault="00AE4B8A" w:rsidP="004808B5">
            <w:pPr>
              <w:autoSpaceDE w:val="0"/>
              <w:autoSpaceDN w:val="0"/>
              <w:spacing w:before="0" w:beforeAutospacing="0" w:after="0" w:afterAutospacing="0"/>
              <w:jc w:val="center"/>
              <w:rPr>
                <w:sz w:val="20"/>
                <w:szCs w:val="20"/>
              </w:rPr>
            </w:pPr>
          </w:p>
          <w:p w:rsidR="00ED4059" w:rsidRPr="00441B53" w:rsidRDefault="00ED4059" w:rsidP="004808B5">
            <w:pPr>
              <w:autoSpaceDE w:val="0"/>
              <w:autoSpaceDN w:val="0"/>
              <w:spacing w:before="0" w:beforeAutospacing="0" w:after="0" w:afterAutospacing="0"/>
              <w:jc w:val="center"/>
              <w:rPr>
                <w:sz w:val="20"/>
                <w:szCs w:val="20"/>
              </w:rPr>
            </w:pPr>
          </w:p>
          <w:p w:rsidR="00ED4059" w:rsidRPr="00441B53" w:rsidRDefault="00ED4059" w:rsidP="001373DA">
            <w:pPr>
              <w:autoSpaceDE w:val="0"/>
              <w:autoSpaceDN w:val="0"/>
              <w:spacing w:before="0" w:beforeAutospacing="0" w:after="0" w:afterAutospacing="0"/>
              <w:jc w:val="center"/>
              <w:rPr>
                <w:sz w:val="20"/>
                <w:szCs w:val="20"/>
              </w:rPr>
            </w:pPr>
          </w:p>
          <w:p w:rsidR="001F59BB" w:rsidRPr="00441B53" w:rsidRDefault="001F59BB" w:rsidP="001373DA">
            <w:pPr>
              <w:autoSpaceDE w:val="0"/>
              <w:autoSpaceDN w:val="0"/>
              <w:spacing w:before="0" w:beforeAutospacing="0" w:after="0" w:afterAutospacing="0"/>
              <w:jc w:val="center"/>
              <w:rPr>
                <w:sz w:val="20"/>
                <w:szCs w:val="20"/>
              </w:rPr>
            </w:pPr>
          </w:p>
          <w:p w:rsidR="00ED4059" w:rsidRPr="00441B53" w:rsidRDefault="00ED4059" w:rsidP="001373DA">
            <w:pPr>
              <w:autoSpaceDE w:val="0"/>
              <w:autoSpaceDN w:val="0"/>
              <w:spacing w:before="0" w:beforeAutospacing="0" w:after="0" w:afterAutospacing="0"/>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881CC7" w:rsidRPr="00441B53" w:rsidRDefault="00881CC7" w:rsidP="00C33219">
            <w:pPr>
              <w:pStyle w:val="Normlny0"/>
              <w:jc w:val="center"/>
            </w:pPr>
          </w:p>
          <w:p w:rsidR="00881CC7" w:rsidRPr="00441B53" w:rsidRDefault="00881CC7" w:rsidP="00C33219">
            <w:pPr>
              <w:pStyle w:val="Normlny0"/>
              <w:jc w:val="center"/>
            </w:pPr>
          </w:p>
          <w:p w:rsidR="0027335F" w:rsidRPr="00441B53" w:rsidRDefault="00AE4B8A" w:rsidP="00C33219">
            <w:pPr>
              <w:pStyle w:val="Normlny0"/>
              <w:jc w:val="center"/>
            </w:pPr>
            <w:r w:rsidRPr="00441B53">
              <w:t xml:space="preserve">§ 40 </w:t>
            </w:r>
          </w:p>
          <w:p w:rsidR="00881CC7" w:rsidRPr="00441B53" w:rsidRDefault="00AE4B8A" w:rsidP="00C33219">
            <w:pPr>
              <w:pStyle w:val="Normlny0"/>
              <w:jc w:val="center"/>
            </w:pPr>
            <w:r w:rsidRPr="00441B53">
              <w:t xml:space="preserve">ods. </w:t>
            </w:r>
            <w:r w:rsidR="00D55AF6" w:rsidRPr="00441B53">
              <w:t xml:space="preserve">2 </w:t>
            </w:r>
          </w:p>
          <w:p w:rsidR="00881CC7" w:rsidRPr="00441B53" w:rsidRDefault="00D55AF6" w:rsidP="00C33219">
            <w:pPr>
              <w:pStyle w:val="Normlny0"/>
              <w:jc w:val="center"/>
            </w:pPr>
            <w:r w:rsidRPr="00441B53">
              <w:t>písm</w:t>
            </w:r>
            <w:r w:rsidR="00881CC7" w:rsidRPr="00441B53">
              <w:t>.</w:t>
            </w:r>
            <w:r w:rsidRPr="00441B53">
              <w:t xml:space="preserve">a) </w:t>
            </w:r>
          </w:p>
          <w:p w:rsidR="00881CC7" w:rsidRPr="00441B53" w:rsidRDefault="00881CC7" w:rsidP="00C33219">
            <w:pPr>
              <w:pStyle w:val="Normlny0"/>
              <w:jc w:val="center"/>
            </w:pPr>
          </w:p>
          <w:p w:rsidR="00881CC7" w:rsidRPr="00441B53" w:rsidRDefault="00881CC7" w:rsidP="00C33219">
            <w:pPr>
              <w:pStyle w:val="Normlny0"/>
              <w:jc w:val="center"/>
            </w:pPr>
          </w:p>
          <w:p w:rsidR="00881CC7" w:rsidRPr="00441B53" w:rsidRDefault="00881CC7" w:rsidP="00C33219">
            <w:pPr>
              <w:pStyle w:val="Normlny0"/>
              <w:jc w:val="center"/>
            </w:pPr>
          </w:p>
          <w:p w:rsidR="00881CC7" w:rsidRPr="00441B53" w:rsidRDefault="00881CC7" w:rsidP="00C33219">
            <w:pPr>
              <w:pStyle w:val="Normlny0"/>
              <w:jc w:val="center"/>
            </w:pPr>
          </w:p>
          <w:p w:rsidR="00881CC7" w:rsidRPr="00441B53" w:rsidRDefault="00881CC7" w:rsidP="00C33219">
            <w:pPr>
              <w:pStyle w:val="Normlny0"/>
              <w:jc w:val="center"/>
            </w:pPr>
          </w:p>
          <w:p w:rsidR="00D55AF6" w:rsidRPr="00441B53" w:rsidRDefault="00D55AF6" w:rsidP="00C33219">
            <w:pPr>
              <w:pStyle w:val="Normlny0"/>
              <w:jc w:val="center"/>
            </w:pPr>
            <w:r w:rsidRPr="00441B53">
              <w:t>písm.b)</w:t>
            </w:r>
          </w:p>
          <w:p w:rsidR="00D55AF6" w:rsidRPr="00441B53" w:rsidRDefault="00D55AF6" w:rsidP="00C33219">
            <w:pPr>
              <w:pStyle w:val="Normlny0"/>
              <w:jc w:val="center"/>
            </w:pPr>
          </w:p>
          <w:p w:rsidR="00D55AF6" w:rsidRPr="00441B53" w:rsidRDefault="00D55AF6" w:rsidP="00C33219">
            <w:pPr>
              <w:pStyle w:val="Normlny0"/>
              <w:jc w:val="center"/>
            </w:pPr>
          </w:p>
          <w:p w:rsidR="00D55AF6" w:rsidRPr="00441B53" w:rsidRDefault="00D55AF6" w:rsidP="00C33219">
            <w:pPr>
              <w:pStyle w:val="Normlny0"/>
              <w:jc w:val="center"/>
            </w:pPr>
          </w:p>
          <w:p w:rsidR="00D55AF6" w:rsidRPr="00441B53" w:rsidRDefault="00D55AF6" w:rsidP="00C33219">
            <w:pPr>
              <w:pStyle w:val="Normlny0"/>
              <w:jc w:val="center"/>
            </w:pPr>
          </w:p>
          <w:p w:rsidR="00D55AF6" w:rsidRPr="00441B53" w:rsidRDefault="00D55AF6" w:rsidP="00C33219">
            <w:pPr>
              <w:pStyle w:val="Normlny0"/>
              <w:jc w:val="center"/>
            </w:pPr>
          </w:p>
          <w:p w:rsidR="00D55AF6" w:rsidRPr="00441B53" w:rsidRDefault="00D55AF6" w:rsidP="00C33219">
            <w:pPr>
              <w:pStyle w:val="Normlny0"/>
              <w:jc w:val="center"/>
            </w:pPr>
          </w:p>
          <w:p w:rsidR="00D55AF6" w:rsidRPr="00441B53" w:rsidRDefault="00D55AF6" w:rsidP="00C33219">
            <w:pPr>
              <w:pStyle w:val="Normlny0"/>
              <w:jc w:val="center"/>
            </w:pPr>
          </w:p>
          <w:p w:rsidR="00D55AF6" w:rsidRPr="00441B53" w:rsidRDefault="00D55AF6" w:rsidP="00C33219">
            <w:pPr>
              <w:pStyle w:val="Normlny0"/>
              <w:jc w:val="center"/>
            </w:pPr>
          </w:p>
          <w:p w:rsidR="00881CC7" w:rsidRPr="00441B53" w:rsidRDefault="00881CC7" w:rsidP="00C33219">
            <w:pPr>
              <w:pStyle w:val="Normlny0"/>
              <w:jc w:val="center"/>
            </w:pPr>
          </w:p>
          <w:p w:rsidR="00D55AF6" w:rsidRPr="00441B53" w:rsidRDefault="00D55AF6" w:rsidP="00C33219">
            <w:pPr>
              <w:pStyle w:val="Normlny0"/>
              <w:jc w:val="center"/>
            </w:pPr>
          </w:p>
          <w:p w:rsidR="00881CC7" w:rsidRPr="00441B53" w:rsidRDefault="00881CC7" w:rsidP="00C33219">
            <w:pPr>
              <w:pStyle w:val="Normlny0"/>
              <w:jc w:val="center"/>
            </w:pPr>
          </w:p>
          <w:p w:rsidR="00881CC7" w:rsidRPr="00441B53" w:rsidRDefault="00881CC7" w:rsidP="00C33219">
            <w:pPr>
              <w:pStyle w:val="Normlny0"/>
              <w:jc w:val="center"/>
            </w:pPr>
            <w:r w:rsidRPr="00441B53">
              <w:t>§ 2</w:t>
            </w:r>
            <w:r w:rsidR="00142823" w:rsidRPr="00441B53">
              <w:t>7</w:t>
            </w:r>
            <w:r w:rsidRPr="00441B53">
              <w:t xml:space="preserve"> ods.1</w:t>
            </w:r>
            <w:r w:rsidR="00142823" w:rsidRPr="00441B53">
              <w:t>3</w:t>
            </w:r>
            <w:r w:rsidRPr="00441B53">
              <w:t xml:space="preserve"> </w:t>
            </w:r>
          </w:p>
          <w:p w:rsidR="00881CC7" w:rsidRPr="00441B53" w:rsidRDefault="00881CC7" w:rsidP="00C33219">
            <w:pPr>
              <w:pStyle w:val="Normlny0"/>
              <w:jc w:val="center"/>
            </w:pPr>
          </w:p>
          <w:p w:rsidR="004A4863" w:rsidRPr="00441B53" w:rsidRDefault="004A4863" w:rsidP="00C33219">
            <w:pPr>
              <w:pStyle w:val="Normlny0"/>
              <w:jc w:val="center"/>
            </w:pPr>
          </w:p>
          <w:p w:rsidR="004A4863" w:rsidRPr="00441B53" w:rsidRDefault="004A4863" w:rsidP="00C33219">
            <w:pPr>
              <w:pStyle w:val="Normlny0"/>
              <w:jc w:val="center"/>
            </w:pPr>
          </w:p>
          <w:p w:rsidR="00142823" w:rsidRPr="00441B53" w:rsidRDefault="00142823" w:rsidP="00C33219">
            <w:pPr>
              <w:pStyle w:val="Normlny0"/>
              <w:jc w:val="center"/>
            </w:pPr>
          </w:p>
          <w:p w:rsidR="00142823" w:rsidRPr="00441B53" w:rsidRDefault="00142823" w:rsidP="00C33219">
            <w:pPr>
              <w:pStyle w:val="Normlny0"/>
              <w:jc w:val="center"/>
            </w:pPr>
          </w:p>
          <w:p w:rsidR="004A4863" w:rsidRPr="00441B53" w:rsidRDefault="004A4863" w:rsidP="00C33219">
            <w:pPr>
              <w:pStyle w:val="Normlny0"/>
              <w:jc w:val="center"/>
            </w:pPr>
          </w:p>
          <w:p w:rsidR="004A4863" w:rsidRPr="00441B53" w:rsidRDefault="004A4863" w:rsidP="00C33219">
            <w:pPr>
              <w:pStyle w:val="Normlny0"/>
              <w:jc w:val="center"/>
            </w:pPr>
          </w:p>
          <w:p w:rsidR="00142823" w:rsidRPr="00441B53" w:rsidRDefault="00142823" w:rsidP="00C33219">
            <w:pPr>
              <w:pStyle w:val="Normlny0"/>
              <w:jc w:val="center"/>
            </w:pPr>
          </w:p>
          <w:p w:rsidR="00142823" w:rsidRPr="00441B53" w:rsidRDefault="00142823" w:rsidP="00C33219">
            <w:pPr>
              <w:pStyle w:val="Normlny0"/>
              <w:jc w:val="center"/>
            </w:pPr>
          </w:p>
          <w:p w:rsidR="00881CC7" w:rsidRPr="00441B53" w:rsidRDefault="00881CC7" w:rsidP="00C33219">
            <w:pPr>
              <w:pStyle w:val="Normlny0"/>
              <w:jc w:val="center"/>
            </w:pPr>
            <w:r w:rsidRPr="00441B53">
              <w:t>§ 40</w:t>
            </w:r>
          </w:p>
          <w:p w:rsidR="00D55AF6" w:rsidRPr="00441B53" w:rsidRDefault="00881CC7" w:rsidP="00C33219">
            <w:pPr>
              <w:pStyle w:val="Normlny0"/>
              <w:jc w:val="center"/>
            </w:pPr>
            <w:r w:rsidRPr="00441B53">
              <w:t>o</w:t>
            </w:r>
            <w:r w:rsidR="00D55AF6" w:rsidRPr="00441B53">
              <w:t>ds.</w:t>
            </w:r>
            <w:r w:rsidR="00AE4B8A" w:rsidRPr="00441B53">
              <w:t xml:space="preserve">1 </w:t>
            </w:r>
          </w:p>
          <w:p w:rsidR="00142823" w:rsidRPr="00441B53" w:rsidRDefault="00142823" w:rsidP="00C33219">
            <w:pPr>
              <w:pStyle w:val="Normlny0"/>
              <w:jc w:val="center"/>
            </w:pPr>
            <w:r w:rsidRPr="00441B53">
              <w:t>písm. b)</w:t>
            </w:r>
          </w:p>
          <w:p w:rsidR="00142823" w:rsidRPr="00441B53" w:rsidRDefault="00142823" w:rsidP="00C33219">
            <w:pPr>
              <w:pStyle w:val="Normlny0"/>
              <w:jc w:val="center"/>
            </w:pPr>
          </w:p>
          <w:p w:rsidR="00142823" w:rsidRPr="00441B53" w:rsidRDefault="00142823" w:rsidP="00C33219">
            <w:pPr>
              <w:pStyle w:val="Normlny0"/>
              <w:jc w:val="center"/>
            </w:pPr>
          </w:p>
          <w:p w:rsidR="00142823" w:rsidRPr="00441B53" w:rsidRDefault="00142823" w:rsidP="00C33219">
            <w:pPr>
              <w:pStyle w:val="Normlny0"/>
              <w:jc w:val="center"/>
            </w:pPr>
          </w:p>
          <w:p w:rsidR="00142823" w:rsidRPr="00441B53" w:rsidRDefault="00142823" w:rsidP="00C33219">
            <w:pPr>
              <w:pStyle w:val="Normlny0"/>
              <w:jc w:val="center"/>
            </w:pPr>
          </w:p>
          <w:p w:rsidR="00ED4059" w:rsidRPr="00441B53" w:rsidRDefault="00AE4B8A" w:rsidP="00C33219">
            <w:pPr>
              <w:pStyle w:val="Normlny0"/>
              <w:jc w:val="center"/>
            </w:pPr>
            <w:r w:rsidRPr="00441B53">
              <w:t>písm. h)</w:t>
            </w:r>
          </w:p>
          <w:p w:rsidR="00ED4059" w:rsidRPr="00441B53" w:rsidRDefault="00ED4059" w:rsidP="00C33219">
            <w:pPr>
              <w:pStyle w:val="Normlny0"/>
              <w:jc w:val="center"/>
            </w:pPr>
          </w:p>
          <w:p w:rsidR="00ED4059" w:rsidRPr="00441B53" w:rsidRDefault="00ED4059" w:rsidP="00C33219">
            <w:pPr>
              <w:pStyle w:val="Normlny0"/>
              <w:jc w:val="center"/>
            </w:pPr>
          </w:p>
          <w:p w:rsidR="00ED4059" w:rsidRPr="00441B53" w:rsidRDefault="00ED4059" w:rsidP="00C33219">
            <w:pPr>
              <w:pStyle w:val="Normlny0"/>
              <w:jc w:val="center"/>
            </w:pPr>
          </w:p>
          <w:p w:rsidR="00316EFA" w:rsidRPr="00441B53" w:rsidRDefault="00316EFA" w:rsidP="00C33219">
            <w:pPr>
              <w:pStyle w:val="Normlny0"/>
              <w:jc w:val="center"/>
            </w:pPr>
          </w:p>
          <w:p w:rsidR="00ED4059" w:rsidRPr="00441B53" w:rsidRDefault="00ED4059" w:rsidP="00C33219">
            <w:pPr>
              <w:pStyle w:val="Normlny0"/>
              <w:jc w:val="center"/>
            </w:pPr>
          </w:p>
          <w:p w:rsidR="00ED4059" w:rsidRPr="00441B53" w:rsidRDefault="00ED4059" w:rsidP="00C33219">
            <w:pPr>
              <w:pStyle w:val="Normlny0"/>
              <w:jc w:val="center"/>
            </w:pPr>
          </w:p>
          <w:p w:rsidR="00ED4059" w:rsidRPr="00441B53" w:rsidRDefault="00ED4059" w:rsidP="00C33219">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881CC7" w:rsidRPr="00441B53" w:rsidRDefault="00881CC7" w:rsidP="00D55AF6">
            <w:pPr>
              <w:shd w:val="clear" w:color="auto" w:fill="FFFFFF"/>
              <w:spacing w:before="0" w:beforeAutospacing="0" w:after="0" w:afterAutospacing="0"/>
              <w:jc w:val="both"/>
              <w:rPr>
                <w:sz w:val="20"/>
                <w:szCs w:val="20"/>
              </w:rPr>
            </w:pPr>
          </w:p>
          <w:p w:rsidR="00881CC7" w:rsidRPr="00441B53" w:rsidRDefault="00881CC7" w:rsidP="00D55AF6">
            <w:pPr>
              <w:shd w:val="clear" w:color="auto" w:fill="FFFFFF"/>
              <w:spacing w:before="0" w:beforeAutospacing="0" w:after="0" w:afterAutospacing="0"/>
              <w:jc w:val="both"/>
              <w:rPr>
                <w:sz w:val="20"/>
                <w:szCs w:val="20"/>
              </w:rPr>
            </w:pPr>
          </w:p>
          <w:p w:rsidR="00D55AF6" w:rsidRPr="00441B53" w:rsidRDefault="00D55AF6" w:rsidP="00D55AF6">
            <w:pPr>
              <w:shd w:val="clear" w:color="auto" w:fill="FFFFFF"/>
              <w:spacing w:before="0" w:beforeAutospacing="0" w:after="0" w:afterAutospacing="0"/>
              <w:jc w:val="both"/>
              <w:rPr>
                <w:sz w:val="20"/>
                <w:szCs w:val="20"/>
              </w:rPr>
            </w:pPr>
            <w:r w:rsidRPr="00441B53">
              <w:rPr>
                <w:sz w:val="20"/>
                <w:szCs w:val="20"/>
              </w:rPr>
              <w:t>Od dane je oslobodený aj lieh</w:t>
            </w:r>
          </w:p>
          <w:p w:rsidR="00D55AF6" w:rsidRPr="00441B53" w:rsidRDefault="00D55AF6" w:rsidP="00881CC7">
            <w:pPr>
              <w:numPr>
                <w:ilvl w:val="0"/>
                <w:numId w:val="27"/>
              </w:numPr>
              <w:shd w:val="clear" w:color="auto" w:fill="FFFFFF"/>
              <w:tabs>
                <w:tab w:val="left" w:pos="240"/>
              </w:tabs>
              <w:spacing w:before="0" w:beforeAutospacing="0" w:after="0" w:afterAutospacing="0"/>
              <w:ind w:left="98" w:hanging="22"/>
              <w:jc w:val="both"/>
              <w:rPr>
                <w:sz w:val="20"/>
                <w:szCs w:val="20"/>
              </w:rPr>
            </w:pPr>
            <w:r w:rsidRPr="00441B53">
              <w:rPr>
                <w:sz w:val="20"/>
                <w:szCs w:val="20"/>
              </w:rPr>
              <w:t>všeobecne denaturovaný v súlade s týmto zákonom a osobitným predpisom,</w:t>
            </w:r>
            <w:hyperlink r:id="rId13" w:anchor="poznamky.poznamka-52" w:tooltip="Odkaz na predpis alebo ustanovenie" w:history="1">
              <w:r w:rsidRPr="00441B53">
                <w:rPr>
                  <w:iCs/>
                  <w:sz w:val="20"/>
                  <w:szCs w:val="20"/>
                  <w:vertAlign w:val="superscript"/>
                </w:rPr>
                <w:t>52</w:t>
              </w:r>
              <w:r w:rsidRPr="00441B53">
                <w:rPr>
                  <w:iCs/>
                  <w:sz w:val="20"/>
                  <w:szCs w:val="20"/>
                </w:rPr>
                <w:t>)</w:t>
              </w:r>
            </w:hyperlink>
            <w:r w:rsidRPr="00441B53">
              <w:rPr>
                <w:sz w:val="20"/>
                <w:szCs w:val="20"/>
              </w:rPr>
              <w:t> ak je prepravovaný so zjednodušeným sprievodným dokumentom,</w:t>
            </w:r>
          </w:p>
          <w:p w:rsidR="00881CC7" w:rsidRPr="00441B53" w:rsidRDefault="00881CC7" w:rsidP="00881CC7">
            <w:pPr>
              <w:shd w:val="clear" w:color="auto" w:fill="FFFFFF"/>
              <w:tabs>
                <w:tab w:val="left" w:pos="240"/>
              </w:tabs>
              <w:spacing w:before="0" w:beforeAutospacing="0" w:after="0" w:afterAutospacing="0"/>
              <w:ind w:left="98"/>
              <w:jc w:val="both"/>
              <w:rPr>
                <w:sz w:val="20"/>
                <w:szCs w:val="20"/>
              </w:rPr>
            </w:pPr>
          </w:p>
          <w:p w:rsidR="00881CC7" w:rsidRPr="00441B53" w:rsidRDefault="00881CC7" w:rsidP="00881CC7">
            <w:pPr>
              <w:shd w:val="clear" w:color="auto" w:fill="FFFFFF"/>
              <w:tabs>
                <w:tab w:val="left" w:pos="240"/>
              </w:tabs>
              <w:spacing w:before="0" w:beforeAutospacing="0" w:after="0" w:afterAutospacing="0"/>
              <w:ind w:left="98"/>
              <w:jc w:val="both"/>
              <w:rPr>
                <w:sz w:val="20"/>
                <w:szCs w:val="20"/>
              </w:rPr>
            </w:pPr>
          </w:p>
          <w:p w:rsidR="00881CC7" w:rsidRPr="00441B53" w:rsidRDefault="00881CC7" w:rsidP="00881CC7">
            <w:pPr>
              <w:shd w:val="clear" w:color="auto" w:fill="FFFFFF"/>
              <w:tabs>
                <w:tab w:val="left" w:pos="240"/>
              </w:tabs>
              <w:spacing w:before="0" w:beforeAutospacing="0" w:after="0" w:afterAutospacing="0"/>
              <w:ind w:left="98"/>
              <w:jc w:val="both"/>
              <w:rPr>
                <w:sz w:val="20"/>
                <w:szCs w:val="20"/>
              </w:rPr>
            </w:pPr>
          </w:p>
          <w:p w:rsidR="00881CC7" w:rsidRPr="00441B53" w:rsidRDefault="00881CC7" w:rsidP="00881CC7">
            <w:pPr>
              <w:shd w:val="clear" w:color="auto" w:fill="FFFFFF"/>
              <w:tabs>
                <w:tab w:val="left" w:pos="240"/>
              </w:tabs>
              <w:spacing w:before="0" w:beforeAutospacing="0" w:after="0" w:afterAutospacing="0"/>
              <w:ind w:left="98"/>
              <w:jc w:val="both"/>
              <w:rPr>
                <w:sz w:val="20"/>
                <w:szCs w:val="20"/>
              </w:rPr>
            </w:pPr>
          </w:p>
          <w:p w:rsidR="00D55AF6" w:rsidRPr="00441B53" w:rsidRDefault="00D55AF6" w:rsidP="00881CC7">
            <w:pPr>
              <w:numPr>
                <w:ilvl w:val="0"/>
                <w:numId w:val="27"/>
              </w:numPr>
              <w:shd w:val="clear" w:color="auto" w:fill="FFFFFF"/>
              <w:spacing w:before="0" w:beforeAutospacing="0" w:after="0" w:afterAutospacing="0"/>
              <w:ind w:left="382"/>
              <w:jc w:val="both"/>
              <w:rPr>
                <w:sz w:val="20"/>
                <w:szCs w:val="20"/>
              </w:rPr>
            </w:pPr>
            <w:r w:rsidRPr="00441B53">
              <w:rPr>
                <w:sz w:val="20"/>
                <w:szCs w:val="20"/>
              </w:rPr>
              <w:t>obsiahnutý vo výrobku,</w:t>
            </w:r>
          </w:p>
          <w:p w:rsidR="00D55AF6" w:rsidRPr="00441B53" w:rsidRDefault="00D55AF6" w:rsidP="00C417E3">
            <w:pPr>
              <w:shd w:val="clear" w:color="auto" w:fill="FFFFFF"/>
              <w:spacing w:before="75" w:beforeAutospacing="0" w:after="0" w:afterAutospacing="0"/>
              <w:jc w:val="both"/>
              <w:rPr>
                <w:sz w:val="20"/>
                <w:szCs w:val="20"/>
              </w:rPr>
            </w:pPr>
            <w:r w:rsidRPr="00441B53">
              <w:rPr>
                <w:sz w:val="20"/>
                <w:szCs w:val="20"/>
              </w:rPr>
              <w:t>1.</w:t>
            </w:r>
            <w:r w:rsidR="00C417E3" w:rsidRPr="00441B53">
              <w:rPr>
                <w:sz w:val="20"/>
                <w:szCs w:val="20"/>
              </w:rPr>
              <w:t xml:space="preserve"> </w:t>
            </w:r>
            <w:r w:rsidRPr="00441B53">
              <w:rPr>
                <w:sz w:val="20"/>
                <w:szCs w:val="20"/>
              </w:rPr>
              <w:t>na ktorého výrobu bol alebo mohol byť použitý lieh oslobodený od dane podľa odseku 1 alebo lieh všeobecne denaturovaný, a to aj ak takýto výrobok bol dodaný z iného členského štátu alebo dovezený z tretieho štátu,</w:t>
            </w:r>
          </w:p>
          <w:p w:rsidR="00D55AF6" w:rsidRPr="00441B53" w:rsidRDefault="00D55AF6" w:rsidP="00C417E3">
            <w:pPr>
              <w:shd w:val="clear" w:color="auto" w:fill="FFFFFF"/>
              <w:spacing w:before="75" w:beforeAutospacing="0" w:after="0" w:afterAutospacing="0"/>
              <w:jc w:val="both"/>
              <w:rPr>
                <w:sz w:val="20"/>
                <w:szCs w:val="20"/>
              </w:rPr>
            </w:pPr>
            <w:r w:rsidRPr="00441B53">
              <w:rPr>
                <w:sz w:val="20"/>
                <w:szCs w:val="20"/>
              </w:rPr>
              <w:t>2.</w:t>
            </w:r>
            <w:r w:rsidR="00C417E3" w:rsidRPr="00441B53">
              <w:rPr>
                <w:sz w:val="20"/>
                <w:szCs w:val="20"/>
              </w:rPr>
              <w:t xml:space="preserve"> </w:t>
            </w:r>
            <w:r w:rsidRPr="00441B53">
              <w:rPr>
                <w:sz w:val="20"/>
                <w:szCs w:val="20"/>
              </w:rPr>
              <w:t>ktorý vznikol ako vedľajší produkt alebo odpad pri výrobe a ktorý nie je vhodný na priamu ľudskú spotrebu a na výrobu potravín a lieh z neho nie je možné oddeliť všeobecne dostupnými metódami; prijímať, dovážať, dodávať alebo skladovať takýto výrobok možno na základe písomného súhlasu finančného riaditeľstva.</w:t>
            </w:r>
          </w:p>
          <w:p w:rsidR="00142823" w:rsidRPr="00441B53" w:rsidRDefault="00142823" w:rsidP="00142823">
            <w:pPr>
              <w:autoSpaceDE w:val="0"/>
              <w:autoSpaceDN w:val="0"/>
              <w:adjustRightInd w:val="0"/>
              <w:spacing w:before="0" w:beforeAutospacing="0" w:after="0" w:afterAutospacing="0"/>
              <w:jc w:val="both"/>
              <w:rPr>
                <w:sz w:val="20"/>
                <w:szCs w:val="20"/>
              </w:rPr>
            </w:pPr>
          </w:p>
          <w:p w:rsidR="000334B9" w:rsidRPr="000334B9" w:rsidRDefault="000334B9" w:rsidP="000334B9">
            <w:pPr>
              <w:autoSpaceDE w:val="0"/>
              <w:autoSpaceDN w:val="0"/>
              <w:adjustRightInd w:val="0"/>
              <w:spacing w:after="0" w:line="240" w:lineRule="atLeast"/>
              <w:jc w:val="both"/>
              <w:rPr>
                <w:b/>
                <w:sz w:val="20"/>
                <w:szCs w:val="20"/>
              </w:rPr>
            </w:pPr>
            <w:r w:rsidRPr="000334B9">
              <w:rPr>
                <w:b/>
                <w:sz w:val="20"/>
                <w:szCs w:val="20"/>
              </w:rPr>
              <w:t>Za alkoholický nápoj, ktorým je lieh, uvedený do daňového voľného obehu sa považuje aj všeobecne denaturovaný lieh vyrobený na daňovom území alebo dopravený na daňové územie z územia iného členského štátu. Osoba, ktorá chce prepravovať všeobecne denaturovaný lieh na územie iného členského štátu na podnikateľské účely, je povinná požiadať colný úrad o registráciu schváleného odosielateľa, vydanie povolenia odosielať alkoholický nápoj na podnikateľské účely a postupovať podľa odseku 3. Na prepravu všeobecne denaturovaného liehu sa zábezpeka na daň nevyžaduje.</w:t>
            </w:r>
          </w:p>
          <w:p w:rsidR="00142823" w:rsidRPr="00441B53" w:rsidRDefault="00142823" w:rsidP="00142823">
            <w:pPr>
              <w:autoSpaceDE w:val="0"/>
              <w:autoSpaceDN w:val="0"/>
              <w:adjustRightInd w:val="0"/>
              <w:spacing w:before="0" w:beforeAutospacing="0" w:after="0" w:afterAutospacing="0"/>
              <w:jc w:val="both"/>
              <w:rPr>
                <w:sz w:val="20"/>
                <w:szCs w:val="20"/>
                <w:shd w:val="clear" w:color="auto" w:fill="FFFFFF"/>
              </w:rPr>
            </w:pPr>
          </w:p>
          <w:p w:rsidR="0027335F" w:rsidRPr="00441B53" w:rsidRDefault="0027335F" w:rsidP="00142823">
            <w:pPr>
              <w:autoSpaceDE w:val="0"/>
              <w:autoSpaceDN w:val="0"/>
              <w:adjustRightInd w:val="0"/>
              <w:spacing w:before="0" w:beforeAutospacing="0" w:after="0" w:afterAutospacing="0"/>
              <w:jc w:val="both"/>
              <w:rPr>
                <w:sz w:val="20"/>
                <w:szCs w:val="20"/>
                <w:shd w:val="clear" w:color="auto" w:fill="FFFFFF"/>
              </w:rPr>
            </w:pPr>
            <w:r w:rsidRPr="00441B53">
              <w:rPr>
                <w:sz w:val="20"/>
                <w:szCs w:val="20"/>
                <w:shd w:val="clear" w:color="auto" w:fill="FFFFFF"/>
              </w:rPr>
              <w:t>Lieh je oslobodený od dane, ak je určený na použitie</w:t>
            </w:r>
          </w:p>
          <w:p w:rsidR="00142823" w:rsidRPr="00441B53" w:rsidRDefault="00142823" w:rsidP="00142823">
            <w:pPr>
              <w:autoSpaceDE w:val="0"/>
              <w:autoSpaceDN w:val="0"/>
              <w:adjustRightInd w:val="0"/>
              <w:spacing w:before="0" w:beforeAutospacing="0" w:after="0" w:afterAutospacing="0"/>
              <w:jc w:val="both"/>
              <w:rPr>
                <w:sz w:val="20"/>
                <w:szCs w:val="20"/>
                <w:shd w:val="clear" w:color="auto" w:fill="FFFFFF"/>
              </w:rPr>
            </w:pPr>
            <w:r w:rsidRPr="00441B53">
              <w:rPr>
                <w:sz w:val="20"/>
                <w:szCs w:val="20"/>
                <w:shd w:val="clear" w:color="auto" w:fill="FFFFFF"/>
              </w:rPr>
              <w:t>b)na výrobu a prípravu liekov, liečiv a pomocných látok</w:t>
            </w:r>
            <w:hyperlink r:id="rId14" w:anchor="poznamky.poznamka-47" w:tooltip="Odkaz na predpis alebo ustanovenie" w:history="1">
              <w:r w:rsidRPr="00441B53">
                <w:rPr>
                  <w:rStyle w:val="Hypertextovprepojenie"/>
                  <w:iCs/>
                  <w:color w:val="auto"/>
                  <w:sz w:val="20"/>
                  <w:szCs w:val="20"/>
                  <w:u w:val="none"/>
                  <w:shd w:val="clear" w:color="auto" w:fill="FFFFFF"/>
                  <w:vertAlign w:val="superscript"/>
                </w:rPr>
                <w:t>47</w:t>
              </w:r>
              <w:r w:rsidRPr="00441B53">
                <w:rPr>
                  <w:rStyle w:val="Hypertextovprepojenie"/>
                  <w:iCs/>
                  <w:color w:val="auto"/>
                  <w:sz w:val="20"/>
                  <w:szCs w:val="20"/>
                  <w:u w:val="none"/>
                  <w:shd w:val="clear" w:color="auto" w:fill="FFFFFF"/>
                </w:rPr>
                <w:t>)</w:t>
              </w:r>
            </w:hyperlink>
            <w:r w:rsidRPr="00441B53">
              <w:rPr>
                <w:sz w:val="20"/>
                <w:szCs w:val="20"/>
                <w:shd w:val="clear" w:color="auto" w:fill="FFFFFF"/>
              </w:rPr>
              <w:t> osobami oprávnenými na ich výrobu a prípravu podľa osobitného predpisu</w:t>
            </w:r>
            <w:hyperlink r:id="rId15" w:anchor="poznamky.poznamka-47" w:tooltip="Odkaz na predpis alebo ustanovenie" w:history="1">
              <w:r w:rsidRPr="00441B53">
                <w:rPr>
                  <w:rStyle w:val="Hypertextovprepojenie"/>
                  <w:iCs/>
                  <w:color w:val="auto"/>
                  <w:sz w:val="20"/>
                  <w:szCs w:val="20"/>
                  <w:u w:val="none"/>
                  <w:shd w:val="clear" w:color="auto" w:fill="FFFFFF"/>
                  <w:vertAlign w:val="superscript"/>
                </w:rPr>
                <w:t>47</w:t>
              </w:r>
              <w:r w:rsidRPr="00441B53">
                <w:rPr>
                  <w:rStyle w:val="Hypertextovprepojenie"/>
                  <w:iCs/>
                  <w:color w:val="auto"/>
                  <w:sz w:val="20"/>
                  <w:szCs w:val="20"/>
                  <w:u w:val="none"/>
                  <w:shd w:val="clear" w:color="auto" w:fill="FFFFFF"/>
                </w:rPr>
                <w:t>)</w:t>
              </w:r>
            </w:hyperlink>
            <w:r w:rsidRPr="00441B53">
              <w:rPr>
                <w:sz w:val="20"/>
                <w:szCs w:val="20"/>
                <w:shd w:val="clear" w:color="auto" w:fill="FFFFFF"/>
              </w:rPr>
              <w:t> a na výrobu liečivých prípravkov osobami oprávnenými na ich výrobu a prípravu podľa osobitných predpisov</w:t>
            </w:r>
            <w:hyperlink r:id="rId16" w:anchor="poznamky.poznamka-49" w:tooltip="Odkaz na predpis alebo ustanovenie" w:history="1">
              <w:r w:rsidRPr="00441B53">
                <w:rPr>
                  <w:rStyle w:val="Hypertextovprepojenie"/>
                  <w:iCs/>
                  <w:color w:val="auto"/>
                  <w:sz w:val="20"/>
                  <w:szCs w:val="20"/>
                  <w:u w:val="none"/>
                  <w:shd w:val="clear" w:color="auto" w:fill="FFFFFF"/>
                  <w:vertAlign w:val="superscript"/>
                </w:rPr>
                <w:t>49</w:t>
              </w:r>
              <w:r w:rsidRPr="00441B53">
                <w:rPr>
                  <w:rStyle w:val="Hypertextovprepojenie"/>
                  <w:iCs/>
                  <w:color w:val="auto"/>
                  <w:sz w:val="20"/>
                  <w:szCs w:val="20"/>
                  <w:u w:val="none"/>
                  <w:shd w:val="clear" w:color="auto" w:fill="FFFFFF"/>
                </w:rPr>
                <w:t>)</w:t>
              </w:r>
            </w:hyperlink>
            <w:r w:rsidRPr="00441B53">
              <w:rPr>
                <w:sz w:val="20"/>
                <w:szCs w:val="20"/>
                <w:shd w:val="clear" w:color="auto" w:fill="FFFFFF"/>
              </w:rPr>
              <w:t> vyrobených z macerátov a extraktov,</w:t>
            </w:r>
          </w:p>
          <w:p w:rsidR="00AE4B8A" w:rsidRPr="00441B53" w:rsidRDefault="00AE4B8A" w:rsidP="00AE4B8A">
            <w:pPr>
              <w:autoSpaceDE w:val="0"/>
              <w:autoSpaceDN w:val="0"/>
              <w:adjustRightInd w:val="0"/>
              <w:spacing w:after="0" w:line="240" w:lineRule="atLeast"/>
              <w:jc w:val="both"/>
              <w:rPr>
                <w:b/>
                <w:sz w:val="20"/>
                <w:szCs w:val="20"/>
              </w:rPr>
            </w:pPr>
            <w:r w:rsidRPr="00441B53">
              <w:rPr>
                <w:b/>
                <w:sz w:val="20"/>
                <w:szCs w:val="20"/>
              </w:rPr>
              <w:t>h) na výrobu a prípravu výživových doplnkov,</w:t>
            </w:r>
            <w:r w:rsidRPr="00441B53">
              <w:rPr>
                <w:b/>
                <w:sz w:val="20"/>
                <w:szCs w:val="20"/>
                <w:vertAlign w:val="superscript"/>
              </w:rPr>
              <w:t>48</w:t>
            </w:r>
            <w:r w:rsidRPr="00441B53">
              <w:rPr>
                <w:b/>
                <w:sz w:val="20"/>
                <w:szCs w:val="20"/>
              </w:rPr>
              <w:t>) ktoré sú uvádzané do daňového voľného obehu v spotrebiteľskom balení s objemom 0,15 litra a nižším.</w:t>
            </w:r>
          </w:p>
          <w:p w:rsidR="00316EFA" w:rsidRPr="00441B53" w:rsidRDefault="00316EFA" w:rsidP="00ED4059">
            <w:pPr>
              <w:spacing w:before="0" w:beforeAutospacing="0" w:after="0" w:afterAutospacing="0"/>
              <w:ind w:right="180"/>
              <w:jc w:val="both"/>
              <w:rPr>
                <w:b/>
                <w:iCs/>
                <w:sz w:val="20"/>
                <w:szCs w:val="20"/>
              </w:rPr>
            </w:pPr>
          </w:p>
        </w:tc>
        <w:tc>
          <w:tcPr>
            <w:tcW w:w="423" w:type="dxa"/>
            <w:tcBorders>
              <w:top w:val="single" w:sz="4" w:space="0" w:color="auto"/>
              <w:left w:val="single" w:sz="4" w:space="0" w:color="auto"/>
              <w:bottom w:val="single" w:sz="4" w:space="0" w:color="auto"/>
              <w:right w:val="single" w:sz="4" w:space="0" w:color="auto"/>
            </w:tcBorders>
          </w:tcPr>
          <w:p w:rsidR="00881CC7" w:rsidRPr="00441B53" w:rsidRDefault="00881CC7">
            <w:pPr>
              <w:autoSpaceDE w:val="0"/>
              <w:autoSpaceDN w:val="0"/>
              <w:spacing w:before="0" w:beforeAutospacing="0" w:after="0" w:afterAutospacing="0"/>
              <w:jc w:val="center"/>
              <w:rPr>
                <w:sz w:val="20"/>
                <w:szCs w:val="20"/>
              </w:rPr>
            </w:pPr>
          </w:p>
          <w:p w:rsidR="00881CC7" w:rsidRPr="00441B53" w:rsidRDefault="00881CC7">
            <w:pPr>
              <w:autoSpaceDE w:val="0"/>
              <w:autoSpaceDN w:val="0"/>
              <w:spacing w:before="0" w:beforeAutospacing="0" w:after="0" w:afterAutospacing="0"/>
              <w:jc w:val="center"/>
              <w:rPr>
                <w:sz w:val="20"/>
                <w:szCs w:val="20"/>
              </w:rPr>
            </w:pPr>
          </w:p>
          <w:p w:rsidR="0054175A" w:rsidRPr="00441B53" w:rsidRDefault="005936B4">
            <w:pPr>
              <w:autoSpaceDE w:val="0"/>
              <w:autoSpaceDN w:val="0"/>
              <w:spacing w:before="0" w:beforeAutospacing="0" w:after="0" w:afterAutospacing="0"/>
              <w:jc w:val="center"/>
              <w:rPr>
                <w:sz w:val="20"/>
                <w:szCs w:val="20"/>
              </w:rPr>
            </w:pPr>
            <w:r w:rsidRPr="00441B53">
              <w:rPr>
                <w:sz w:val="20"/>
                <w:szCs w:val="20"/>
              </w:rPr>
              <w:t>Ú</w:t>
            </w: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142823" w:rsidRPr="00441B53" w:rsidRDefault="00142823">
            <w:pPr>
              <w:autoSpaceDE w:val="0"/>
              <w:autoSpaceDN w:val="0"/>
              <w:spacing w:before="0" w:beforeAutospacing="0" w:after="0" w:afterAutospacing="0"/>
              <w:jc w:val="center"/>
              <w:rPr>
                <w:sz w:val="20"/>
                <w:szCs w:val="20"/>
              </w:rPr>
            </w:pPr>
          </w:p>
          <w:p w:rsidR="00142823" w:rsidRPr="00441B53" w:rsidRDefault="00142823">
            <w:pPr>
              <w:autoSpaceDE w:val="0"/>
              <w:autoSpaceDN w:val="0"/>
              <w:spacing w:before="0" w:beforeAutospacing="0" w:after="0" w:afterAutospacing="0"/>
              <w:jc w:val="center"/>
              <w:rPr>
                <w:sz w:val="20"/>
                <w:szCs w:val="20"/>
              </w:rPr>
            </w:pPr>
          </w:p>
          <w:p w:rsidR="00142823" w:rsidRPr="00441B53" w:rsidRDefault="00142823">
            <w:pPr>
              <w:autoSpaceDE w:val="0"/>
              <w:autoSpaceDN w:val="0"/>
              <w:spacing w:before="0" w:beforeAutospacing="0" w:after="0" w:afterAutospacing="0"/>
              <w:jc w:val="center"/>
              <w:rPr>
                <w:sz w:val="20"/>
                <w:szCs w:val="20"/>
              </w:rPr>
            </w:pPr>
          </w:p>
          <w:p w:rsidR="00142823" w:rsidRPr="00441B53" w:rsidRDefault="00142823">
            <w:pPr>
              <w:autoSpaceDE w:val="0"/>
              <w:autoSpaceDN w:val="0"/>
              <w:spacing w:before="0" w:beforeAutospacing="0" w:after="0" w:afterAutospacing="0"/>
              <w:jc w:val="center"/>
              <w:rPr>
                <w:sz w:val="20"/>
                <w:szCs w:val="20"/>
              </w:rPr>
            </w:pPr>
          </w:p>
          <w:p w:rsidR="00142823" w:rsidRPr="00441B53" w:rsidRDefault="00142823">
            <w:pPr>
              <w:autoSpaceDE w:val="0"/>
              <w:autoSpaceDN w:val="0"/>
              <w:spacing w:before="0" w:beforeAutospacing="0" w:after="0" w:afterAutospacing="0"/>
              <w:jc w:val="center"/>
              <w:rPr>
                <w:sz w:val="20"/>
                <w:szCs w:val="20"/>
              </w:rPr>
            </w:pPr>
          </w:p>
          <w:p w:rsidR="00142823" w:rsidRPr="00441B53" w:rsidRDefault="00142823">
            <w:pPr>
              <w:autoSpaceDE w:val="0"/>
              <w:autoSpaceDN w:val="0"/>
              <w:spacing w:before="0" w:beforeAutospacing="0" w:after="0" w:afterAutospacing="0"/>
              <w:jc w:val="center"/>
              <w:rPr>
                <w:sz w:val="20"/>
                <w:szCs w:val="20"/>
              </w:rPr>
            </w:pPr>
          </w:p>
          <w:p w:rsidR="00142823" w:rsidRPr="00441B53" w:rsidRDefault="00142823">
            <w:pPr>
              <w:autoSpaceDE w:val="0"/>
              <w:autoSpaceDN w:val="0"/>
              <w:spacing w:before="0" w:beforeAutospacing="0" w:after="0" w:afterAutospacing="0"/>
              <w:jc w:val="center"/>
              <w:rPr>
                <w:sz w:val="20"/>
                <w:szCs w:val="20"/>
              </w:rPr>
            </w:pPr>
          </w:p>
          <w:p w:rsidR="00142823" w:rsidRPr="00441B53" w:rsidRDefault="0014282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p>
          <w:p w:rsidR="004A4863" w:rsidRPr="00441B53" w:rsidRDefault="004A4863">
            <w:pPr>
              <w:autoSpaceDE w:val="0"/>
              <w:autoSpaceDN w:val="0"/>
              <w:spacing w:before="0" w:beforeAutospacing="0" w:after="0" w:afterAutospacing="0"/>
              <w:jc w:val="center"/>
              <w:rPr>
                <w:sz w:val="20"/>
                <w:szCs w:val="20"/>
              </w:rPr>
            </w:pPr>
            <w:r w:rsidRPr="00441B53">
              <w:rPr>
                <w:sz w:val="20"/>
                <w:szCs w:val="20"/>
              </w:rPr>
              <w:t>n.a.</w:t>
            </w:r>
          </w:p>
        </w:tc>
        <w:tc>
          <w:tcPr>
            <w:tcW w:w="633" w:type="dxa"/>
            <w:tcBorders>
              <w:top w:val="single" w:sz="4" w:space="0" w:color="auto"/>
              <w:left w:val="single" w:sz="4" w:space="0" w:color="auto"/>
              <w:bottom w:val="single" w:sz="4" w:space="0" w:color="auto"/>
              <w:right w:val="single" w:sz="12" w:space="0" w:color="auto"/>
            </w:tcBorders>
          </w:tcPr>
          <w:p w:rsidR="0054175A" w:rsidRPr="00441B53" w:rsidRDefault="0054175A">
            <w:pPr>
              <w:pStyle w:val="Nadpis1"/>
              <w:rPr>
                <w:b w:val="0"/>
                <w:bCs w:val="0"/>
                <w:sz w:val="20"/>
                <w:szCs w:val="20"/>
              </w:rPr>
            </w:pPr>
          </w:p>
        </w:tc>
      </w:tr>
      <w:tr w:rsidR="004A4863" w:rsidRPr="00924B99" w:rsidTr="004A4863">
        <w:trPr>
          <w:trHeight w:val="732"/>
        </w:trPr>
        <w:tc>
          <w:tcPr>
            <w:tcW w:w="682" w:type="dxa"/>
            <w:tcBorders>
              <w:top w:val="single" w:sz="4" w:space="0" w:color="auto"/>
              <w:left w:val="single" w:sz="12" w:space="0" w:color="auto"/>
              <w:bottom w:val="single" w:sz="4" w:space="0" w:color="auto"/>
              <w:right w:val="single" w:sz="4" w:space="0" w:color="auto"/>
            </w:tcBorders>
          </w:tcPr>
          <w:p w:rsidR="004A4863" w:rsidRPr="00441B53" w:rsidRDefault="004A4863" w:rsidP="004A4863">
            <w:pPr>
              <w:autoSpaceDE w:val="0"/>
              <w:autoSpaceDN w:val="0"/>
              <w:spacing w:before="0" w:beforeAutospacing="0" w:after="0" w:afterAutospacing="0"/>
              <w:jc w:val="center"/>
              <w:rPr>
                <w:sz w:val="20"/>
                <w:szCs w:val="20"/>
              </w:rPr>
            </w:pPr>
            <w:r w:rsidRPr="00441B53">
              <w:rPr>
                <w:sz w:val="20"/>
                <w:szCs w:val="20"/>
              </w:rPr>
              <w:t>Čl. 1 bod 16</w:t>
            </w:r>
          </w:p>
        </w:tc>
        <w:tc>
          <w:tcPr>
            <w:tcW w:w="5812" w:type="dxa"/>
            <w:tcBorders>
              <w:top w:val="single" w:sz="4" w:space="0" w:color="auto"/>
              <w:left w:val="single" w:sz="4" w:space="0" w:color="auto"/>
              <w:bottom w:val="single" w:sz="4" w:space="0" w:color="auto"/>
              <w:right w:val="single" w:sz="4" w:space="0" w:color="auto"/>
            </w:tcBorders>
          </w:tcPr>
          <w:p w:rsidR="004A4863" w:rsidRPr="00441B53" w:rsidRDefault="004A4863" w:rsidP="004A4863">
            <w:pPr>
              <w:pStyle w:val="Bezriadkovania"/>
              <w:spacing w:beforeAutospacing="0" w:afterAutospacing="0"/>
              <w:jc w:val="both"/>
              <w:rPr>
                <w:sz w:val="20"/>
                <w:szCs w:val="20"/>
                <w:shd w:val="clear" w:color="auto" w:fill="FFFFFF"/>
              </w:rPr>
            </w:pPr>
            <w:r w:rsidRPr="00441B53">
              <w:rPr>
                <w:sz w:val="20"/>
                <w:szCs w:val="20"/>
                <w:shd w:val="clear" w:color="auto" w:fill="FFFFFF"/>
              </w:rPr>
              <w:t>16.Článok 28 sa vypúšťa.</w:t>
            </w:r>
          </w:p>
        </w:tc>
        <w:tc>
          <w:tcPr>
            <w:tcW w:w="1245" w:type="dxa"/>
            <w:tcBorders>
              <w:top w:val="single" w:sz="4" w:space="0" w:color="auto"/>
              <w:left w:val="single" w:sz="4" w:space="0" w:color="auto"/>
              <w:bottom w:val="single" w:sz="4" w:space="0" w:color="auto"/>
              <w:right w:val="single" w:sz="12" w:space="0" w:color="auto"/>
            </w:tcBorders>
          </w:tcPr>
          <w:p w:rsidR="004A4863" w:rsidRPr="00441B53" w:rsidRDefault="004A4863">
            <w:pPr>
              <w:autoSpaceDE w:val="0"/>
              <w:autoSpaceDN w:val="0"/>
              <w:spacing w:before="0" w:beforeAutospacing="0" w:after="0" w:afterAutospacing="0"/>
              <w:jc w:val="center"/>
              <w:rPr>
                <w:sz w:val="20"/>
                <w:szCs w:val="20"/>
              </w:rPr>
            </w:pPr>
            <w:r w:rsidRPr="00441B53">
              <w:rPr>
                <w:sz w:val="20"/>
                <w:szCs w:val="20"/>
              </w:rPr>
              <w:t>n.a.</w:t>
            </w:r>
          </w:p>
        </w:tc>
        <w:tc>
          <w:tcPr>
            <w:tcW w:w="846" w:type="dxa"/>
            <w:tcBorders>
              <w:top w:val="single" w:sz="4" w:space="0" w:color="auto"/>
              <w:left w:val="nil"/>
              <w:bottom w:val="single" w:sz="4" w:space="0" w:color="auto"/>
              <w:right w:val="single" w:sz="4" w:space="0" w:color="auto"/>
            </w:tcBorders>
          </w:tcPr>
          <w:p w:rsidR="004A4863" w:rsidRPr="00441B53" w:rsidRDefault="004A4863" w:rsidP="00AE4B8A">
            <w:pPr>
              <w:autoSpaceDE w:val="0"/>
              <w:autoSpaceDN w:val="0"/>
              <w:spacing w:before="0" w:beforeAutospacing="0" w:after="0" w:afterAutospacing="0"/>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4A4863" w:rsidRPr="00441B53" w:rsidRDefault="004A4863" w:rsidP="00C33219">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4A4863" w:rsidRPr="00441B53" w:rsidRDefault="004A4863" w:rsidP="00D55AF6">
            <w:pPr>
              <w:shd w:val="clear" w:color="auto" w:fill="FFFFFF"/>
              <w:spacing w:before="0" w:beforeAutospacing="0" w:after="0" w:afterAutospacing="0"/>
              <w:jc w:val="both"/>
              <w:rPr>
                <w:sz w:val="20"/>
                <w:szCs w:val="20"/>
              </w:rPr>
            </w:pPr>
          </w:p>
        </w:tc>
        <w:tc>
          <w:tcPr>
            <w:tcW w:w="423" w:type="dxa"/>
            <w:tcBorders>
              <w:top w:val="single" w:sz="4" w:space="0" w:color="auto"/>
              <w:left w:val="single" w:sz="4" w:space="0" w:color="auto"/>
              <w:bottom w:val="single" w:sz="4" w:space="0" w:color="auto"/>
              <w:right w:val="single" w:sz="4" w:space="0" w:color="auto"/>
            </w:tcBorders>
          </w:tcPr>
          <w:p w:rsidR="004A4863" w:rsidRPr="00441B53" w:rsidRDefault="004A4863">
            <w:pPr>
              <w:autoSpaceDE w:val="0"/>
              <w:autoSpaceDN w:val="0"/>
              <w:spacing w:before="0" w:beforeAutospacing="0" w:after="0" w:afterAutospacing="0"/>
              <w:jc w:val="center"/>
              <w:rPr>
                <w:sz w:val="20"/>
                <w:szCs w:val="20"/>
              </w:rPr>
            </w:pPr>
            <w:r w:rsidRPr="00441B53">
              <w:rPr>
                <w:sz w:val="20"/>
                <w:szCs w:val="20"/>
              </w:rPr>
              <w:t>n.a.</w:t>
            </w:r>
          </w:p>
        </w:tc>
        <w:tc>
          <w:tcPr>
            <w:tcW w:w="633" w:type="dxa"/>
            <w:tcBorders>
              <w:top w:val="single" w:sz="4" w:space="0" w:color="auto"/>
              <w:left w:val="single" w:sz="4" w:space="0" w:color="auto"/>
              <w:bottom w:val="single" w:sz="4" w:space="0" w:color="auto"/>
              <w:right w:val="single" w:sz="12" w:space="0" w:color="auto"/>
            </w:tcBorders>
          </w:tcPr>
          <w:p w:rsidR="004A4863" w:rsidRPr="00441B53" w:rsidRDefault="004A4863">
            <w:pPr>
              <w:pStyle w:val="Nadpis1"/>
              <w:rPr>
                <w:b w:val="0"/>
                <w:bCs w:val="0"/>
                <w:sz w:val="20"/>
                <w:szCs w:val="20"/>
              </w:rPr>
            </w:pPr>
          </w:p>
        </w:tc>
      </w:tr>
      <w:tr w:rsidR="004A4863" w:rsidRPr="00924B99" w:rsidTr="004A4863">
        <w:trPr>
          <w:trHeight w:val="985"/>
        </w:trPr>
        <w:tc>
          <w:tcPr>
            <w:tcW w:w="682" w:type="dxa"/>
            <w:tcBorders>
              <w:top w:val="single" w:sz="4" w:space="0" w:color="auto"/>
              <w:left w:val="single" w:sz="12" w:space="0" w:color="auto"/>
              <w:bottom w:val="single" w:sz="4" w:space="0" w:color="auto"/>
              <w:right w:val="single" w:sz="4" w:space="0" w:color="auto"/>
            </w:tcBorders>
          </w:tcPr>
          <w:p w:rsidR="004A4863" w:rsidRPr="00441B53" w:rsidRDefault="004A4863" w:rsidP="004A4863">
            <w:pPr>
              <w:autoSpaceDE w:val="0"/>
              <w:autoSpaceDN w:val="0"/>
              <w:spacing w:before="0" w:beforeAutospacing="0" w:after="0" w:afterAutospacing="0"/>
              <w:jc w:val="center"/>
              <w:rPr>
                <w:sz w:val="20"/>
                <w:szCs w:val="20"/>
              </w:rPr>
            </w:pPr>
            <w:r w:rsidRPr="00441B53">
              <w:rPr>
                <w:sz w:val="20"/>
                <w:szCs w:val="20"/>
              </w:rPr>
              <w:t>Čl. 1 bod 17</w:t>
            </w:r>
          </w:p>
        </w:tc>
        <w:tc>
          <w:tcPr>
            <w:tcW w:w="5812" w:type="dxa"/>
            <w:tcBorders>
              <w:top w:val="single" w:sz="4" w:space="0" w:color="auto"/>
              <w:left w:val="single" w:sz="4" w:space="0" w:color="auto"/>
              <w:bottom w:val="single" w:sz="4" w:space="0" w:color="auto"/>
              <w:right w:val="single" w:sz="4" w:space="0" w:color="auto"/>
            </w:tcBorders>
          </w:tcPr>
          <w:p w:rsidR="004A4863" w:rsidRPr="00441B53" w:rsidRDefault="004A4863" w:rsidP="004A4863">
            <w:pPr>
              <w:pStyle w:val="oj-normal"/>
              <w:shd w:val="clear" w:color="auto" w:fill="FFFFFF"/>
              <w:spacing w:before="0" w:beforeAutospacing="0" w:after="0" w:afterAutospacing="0"/>
              <w:jc w:val="both"/>
              <w:rPr>
                <w:sz w:val="20"/>
                <w:szCs w:val="20"/>
              </w:rPr>
            </w:pPr>
            <w:r w:rsidRPr="00441B53">
              <w:rPr>
                <w:sz w:val="20"/>
                <w:szCs w:val="20"/>
              </w:rPr>
              <w:t>17.V oddiele VIII sa vkladajú tieto články:</w:t>
            </w:r>
          </w:p>
          <w:p w:rsidR="004A4863" w:rsidRPr="00441B53" w:rsidRDefault="004A4863" w:rsidP="004A4863">
            <w:pPr>
              <w:pStyle w:val="oj-ti-art"/>
              <w:shd w:val="clear" w:color="auto" w:fill="FFFFFF"/>
              <w:spacing w:before="0" w:beforeAutospacing="0" w:after="0" w:afterAutospacing="0"/>
              <w:jc w:val="center"/>
              <w:rPr>
                <w:i/>
                <w:iCs/>
                <w:sz w:val="20"/>
                <w:szCs w:val="20"/>
              </w:rPr>
            </w:pPr>
            <w:r w:rsidRPr="00441B53">
              <w:rPr>
                <w:i/>
                <w:iCs/>
                <w:sz w:val="20"/>
                <w:szCs w:val="20"/>
              </w:rPr>
              <w:t>„Článok 28a</w:t>
            </w:r>
          </w:p>
          <w:p w:rsidR="004A4863" w:rsidRPr="00441B53" w:rsidRDefault="004A4863" w:rsidP="004A4863">
            <w:pPr>
              <w:pStyle w:val="oj-normal"/>
              <w:shd w:val="clear" w:color="auto" w:fill="FFFFFF"/>
              <w:spacing w:before="0" w:beforeAutospacing="0" w:after="0" w:afterAutospacing="0"/>
              <w:jc w:val="both"/>
              <w:rPr>
                <w:sz w:val="20"/>
                <w:szCs w:val="20"/>
              </w:rPr>
            </w:pPr>
            <w:r w:rsidRPr="00441B53">
              <w:rPr>
                <w:sz w:val="20"/>
                <w:szCs w:val="20"/>
              </w:rPr>
              <w:t>1.   Komisii pomáha Výbor pre spotrebné dane. Uvedený výbor je výborom v zmysle nariadenia (EÚ) č. 182/2011.</w:t>
            </w:r>
          </w:p>
          <w:p w:rsidR="004A4863" w:rsidRPr="00441B53" w:rsidRDefault="004A4863" w:rsidP="004A4863">
            <w:pPr>
              <w:pStyle w:val="oj-normal"/>
              <w:shd w:val="clear" w:color="auto" w:fill="FFFFFF"/>
              <w:spacing w:before="0" w:beforeAutospacing="0" w:after="0" w:afterAutospacing="0"/>
              <w:jc w:val="both"/>
              <w:rPr>
                <w:sz w:val="20"/>
                <w:szCs w:val="20"/>
              </w:rPr>
            </w:pPr>
            <w:r w:rsidRPr="00441B53">
              <w:rPr>
                <w:sz w:val="20"/>
                <w:szCs w:val="20"/>
              </w:rPr>
              <w:t>2.   Ak sa odkazuje na tento odsek, uplatňuje sa článok 5 nariadenia (EÚ) č. 182/2011.</w:t>
            </w:r>
          </w:p>
          <w:p w:rsidR="004A4863" w:rsidRPr="00441B53" w:rsidRDefault="004A4863" w:rsidP="004A4863">
            <w:pPr>
              <w:pStyle w:val="oj-normal"/>
              <w:shd w:val="clear" w:color="auto" w:fill="FFFFFF"/>
              <w:spacing w:before="0" w:beforeAutospacing="0" w:after="0" w:afterAutospacing="0"/>
              <w:jc w:val="both"/>
              <w:rPr>
                <w:sz w:val="20"/>
                <w:szCs w:val="20"/>
              </w:rPr>
            </w:pPr>
          </w:p>
          <w:p w:rsidR="004A4863" w:rsidRPr="00441B53" w:rsidRDefault="004A4863" w:rsidP="004A4863">
            <w:pPr>
              <w:shd w:val="clear" w:color="auto" w:fill="FFFFFF"/>
              <w:spacing w:before="0" w:beforeAutospacing="0" w:after="0" w:afterAutospacing="0"/>
              <w:jc w:val="center"/>
              <w:rPr>
                <w:i/>
                <w:iCs/>
                <w:sz w:val="20"/>
                <w:szCs w:val="20"/>
              </w:rPr>
            </w:pPr>
            <w:r w:rsidRPr="00441B53">
              <w:rPr>
                <w:i/>
                <w:iCs/>
                <w:sz w:val="20"/>
                <w:szCs w:val="20"/>
              </w:rPr>
              <w:t>Článok 28b</w:t>
            </w:r>
          </w:p>
          <w:p w:rsidR="004A4863" w:rsidRPr="00441B53" w:rsidRDefault="004A4863" w:rsidP="004A4863">
            <w:pPr>
              <w:shd w:val="clear" w:color="auto" w:fill="FFFFFF"/>
              <w:spacing w:before="0" w:beforeAutospacing="0" w:after="0" w:afterAutospacing="0"/>
              <w:jc w:val="both"/>
              <w:rPr>
                <w:sz w:val="20"/>
                <w:szCs w:val="20"/>
              </w:rPr>
            </w:pPr>
            <w:r w:rsidRPr="00441B53">
              <w:rPr>
                <w:sz w:val="20"/>
                <w:szCs w:val="20"/>
              </w:rPr>
              <w:t>Komisia predloží každých päť rokov Európskemu parlamentu a Rade správu o vykonávaní tejto smernice. Prvú správu predloží do 31. decembra 2024.</w:t>
            </w:r>
          </w:p>
          <w:p w:rsidR="004A4863" w:rsidRPr="00441B53" w:rsidRDefault="004A4863" w:rsidP="004A4863">
            <w:pPr>
              <w:shd w:val="clear" w:color="auto" w:fill="FFFFFF"/>
              <w:spacing w:before="0" w:beforeAutospacing="0" w:after="0" w:afterAutospacing="0"/>
              <w:jc w:val="both"/>
              <w:rPr>
                <w:sz w:val="20"/>
                <w:szCs w:val="20"/>
              </w:rPr>
            </w:pPr>
            <w:r w:rsidRPr="00441B53">
              <w:rPr>
                <w:sz w:val="20"/>
                <w:szCs w:val="20"/>
              </w:rPr>
              <w:t>V správe sa najmä:</w:t>
            </w:r>
          </w:p>
          <w:tbl>
            <w:tblPr>
              <w:tblW w:w="5000" w:type="pct"/>
              <w:tblLayout w:type="fixed"/>
              <w:tblCellMar>
                <w:left w:w="0" w:type="dxa"/>
                <w:right w:w="0" w:type="dxa"/>
              </w:tblCellMar>
              <w:tblLook w:val="04A0" w:firstRow="1" w:lastRow="0" w:firstColumn="1" w:lastColumn="0" w:noHBand="0" w:noVBand="1"/>
            </w:tblPr>
            <w:tblGrid>
              <w:gridCol w:w="241"/>
              <w:gridCol w:w="5485"/>
            </w:tblGrid>
            <w:tr w:rsidR="004A4863" w:rsidRPr="00441B53" w:rsidTr="004A4863">
              <w:tc>
                <w:tcPr>
                  <w:tcW w:w="241" w:type="dxa"/>
                  <w:shd w:val="clear" w:color="auto" w:fill="FFFFFF"/>
                  <w:hideMark/>
                </w:tcPr>
                <w:p w:rsidR="004A4863" w:rsidRPr="00441B53" w:rsidRDefault="004A4863" w:rsidP="004A4863">
                  <w:pPr>
                    <w:spacing w:before="0" w:beforeAutospacing="0" w:after="0" w:afterAutospacing="0"/>
                    <w:jc w:val="both"/>
                    <w:rPr>
                      <w:sz w:val="20"/>
                      <w:szCs w:val="20"/>
                    </w:rPr>
                  </w:pPr>
                  <w:r w:rsidRPr="00441B53">
                    <w:rPr>
                      <w:sz w:val="20"/>
                      <w:szCs w:val="20"/>
                    </w:rPr>
                    <w:t>a)</w:t>
                  </w:r>
                </w:p>
              </w:tc>
              <w:tc>
                <w:tcPr>
                  <w:tcW w:w="5485" w:type="dxa"/>
                  <w:shd w:val="clear" w:color="auto" w:fill="FFFFFF"/>
                  <w:hideMark/>
                </w:tcPr>
                <w:p w:rsidR="004A4863" w:rsidRPr="00441B53" w:rsidRDefault="004A4863" w:rsidP="004A4863">
                  <w:pPr>
                    <w:spacing w:before="0" w:beforeAutospacing="0" w:after="0" w:afterAutospacing="0"/>
                    <w:jc w:val="both"/>
                    <w:rPr>
                      <w:sz w:val="20"/>
                      <w:szCs w:val="20"/>
                    </w:rPr>
                  </w:pPr>
                  <w:r w:rsidRPr="00441B53">
                    <w:rPr>
                      <w:sz w:val="20"/>
                      <w:szCs w:val="20"/>
                    </w:rPr>
                    <w:t>posúdi uplatňovanie a vplyv vnútroštátnych ustanovení prijatých a uplatňovaných podľa článkov 5 a 9a, článku 22 ods. 8, článku 23a a článku 27 ods. 2 písm. f);</w:t>
                  </w:r>
                </w:p>
              </w:tc>
            </w:tr>
          </w:tbl>
          <w:p w:rsidR="004A4863" w:rsidRPr="00441B53" w:rsidRDefault="004A4863" w:rsidP="004A4863">
            <w:pPr>
              <w:spacing w:before="0" w:beforeAutospacing="0" w:after="0" w:afterAutospacing="0"/>
              <w:rPr>
                <w:vanish/>
                <w:sz w:val="20"/>
                <w:szCs w:val="20"/>
              </w:rPr>
            </w:pPr>
          </w:p>
          <w:tbl>
            <w:tblPr>
              <w:tblW w:w="5000" w:type="pct"/>
              <w:tblLayout w:type="fixed"/>
              <w:tblCellMar>
                <w:left w:w="0" w:type="dxa"/>
                <w:right w:w="0" w:type="dxa"/>
              </w:tblCellMar>
              <w:tblLook w:val="04A0" w:firstRow="1" w:lastRow="0" w:firstColumn="1" w:lastColumn="0" w:noHBand="0" w:noVBand="1"/>
            </w:tblPr>
            <w:tblGrid>
              <w:gridCol w:w="241"/>
              <w:gridCol w:w="5485"/>
            </w:tblGrid>
            <w:tr w:rsidR="004A4863" w:rsidRPr="00441B53" w:rsidTr="004A4863">
              <w:tc>
                <w:tcPr>
                  <w:tcW w:w="241" w:type="dxa"/>
                  <w:shd w:val="clear" w:color="auto" w:fill="FFFFFF"/>
                  <w:hideMark/>
                </w:tcPr>
                <w:p w:rsidR="004A4863" w:rsidRPr="00441B53" w:rsidRDefault="004A4863" w:rsidP="004A4863">
                  <w:pPr>
                    <w:spacing w:before="0" w:beforeAutospacing="0" w:after="0" w:afterAutospacing="0"/>
                    <w:jc w:val="both"/>
                    <w:rPr>
                      <w:sz w:val="20"/>
                      <w:szCs w:val="20"/>
                    </w:rPr>
                  </w:pPr>
                  <w:r w:rsidRPr="00441B53">
                    <w:rPr>
                      <w:sz w:val="20"/>
                      <w:szCs w:val="20"/>
                    </w:rPr>
                    <w:t>b)</w:t>
                  </w:r>
                </w:p>
              </w:tc>
              <w:tc>
                <w:tcPr>
                  <w:tcW w:w="5485" w:type="dxa"/>
                  <w:shd w:val="clear" w:color="auto" w:fill="FFFFFF"/>
                  <w:hideMark/>
                </w:tcPr>
                <w:p w:rsidR="004A4863" w:rsidRPr="00441B53" w:rsidRDefault="004A4863" w:rsidP="004A4863">
                  <w:pPr>
                    <w:spacing w:before="0" w:beforeAutospacing="0" w:after="0" w:afterAutospacing="0"/>
                    <w:jc w:val="both"/>
                    <w:rPr>
                      <w:sz w:val="20"/>
                      <w:szCs w:val="20"/>
                    </w:rPr>
                  </w:pPr>
                  <w:r w:rsidRPr="00441B53">
                    <w:rPr>
                      <w:sz w:val="20"/>
                      <w:szCs w:val="20"/>
                    </w:rPr>
                    <w:t>zohľadnia relevantné dôkazy o reálnom vplyve ustanovení prijatých a uplatňovaných podľa uvedených článkov, ako sú napríklad negatívne cezhraničné účinky, nárast počtu podvodov, vplyv na hladké fungovanie vnútorného trhu a verejné zdravie; a</w:t>
                  </w:r>
                </w:p>
              </w:tc>
            </w:tr>
          </w:tbl>
          <w:p w:rsidR="004A4863" w:rsidRPr="00441B53" w:rsidRDefault="004A4863" w:rsidP="004A4863">
            <w:pPr>
              <w:spacing w:before="0" w:beforeAutospacing="0" w:after="0" w:afterAutospacing="0"/>
              <w:rPr>
                <w:vanish/>
                <w:sz w:val="20"/>
                <w:szCs w:val="20"/>
              </w:rPr>
            </w:pPr>
          </w:p>
          <w:tbl>
            <w:tblPr>
              <w:tblW w:w="5000" w:type="pct"/>
              <w:tblLayout w:type="fixed"/>
              <w:tblCellMar>
                <w:left w:w="0" w:type="dxa"/>
                <w:right w:w="0" w:type="dxa"/>
              </w:tblCellMar>
              <w:tblLook w:val="04A0" w:firstRow="1" w:lastRow="0" w:firstColumn="1" w:lastColumn="0" w:noHBand="0" w:noVBand="1"/>
            </w:tblPr>
            <w:tblGrid>
              <w:gridCol w:w="241"/>
              <w:gridCol w:w="5485"/>
            </w:tblGrid>
            <w:tr w:rsidR="004A4863" w:rsidRPr="00441B53" w:rsidTr="004A4863">
              <w:tc>
                <w:tcPr>
                  <w:tcW w:w="241" w:type="dxa"/>
                  <w:shd w:val="clear" w:color="auto" w:fill="FFFFFF"/>
                  <w:hideMark/>
                </w:tcPr>
                <w:p w:rsidR="004A4863" w:rsidRPr="00441B53" w:rsidRDefault="004A4863" w:rsidP="004A4863">
                  <w:pPr>
                    <w:spacing w:before="0" w:beforeAutospacing="0" w:after="0" w:afterAutospacing="0"/>
                    <w:jc w:val="both"/>
                    <w:rPr>
                      <w:sz w:val="20"/>
                      <w:szCs w:val="20"/>
                    </w:rPr>
                  </w:pPr>
                  <w:r w:rsidRPr="00441B53">
                    <w:rPr>
                      <w:sz w:val="20"/>
                      <w:szCs w:val="20"/>
                    </w:rPr>
                    <w:t>c)</w:t>
                  </w:r>
                </w:p>
              </w:tc>
              <w:tc>
                <w:tcPr>
                  <w:tcW w:w="5485" w:type="dxa"/>
                  <w:shd w:val="clear" w:color="auto" w:fill="FFFFFF"/>
                  <w:hideMark/>
                </w:tcPr>
                <w:p w:rsidR="004A4863" w:rsidRPr="00441B53" w:rsidRDefault="004A4863" w:rsidP="004A4863">
                  <w:pPr>
                    <w:spacing w:before="0" w:beforeAutospacing="0" w:after="0" w:afterAutospacing="0"/>
                    <w:jc w:val="both"/>
                    <w:rPr>
                      <w:sz w:val="20"/>
                      <w:szCs w:val="20"/>
                    </w:rPr>
                  </w:pPr>
                  <w:r w:rsidRPr="00441B53">
                    <w:rPr>
                      <w:sz w:val="20"/>
                      <w:szCs w:val="20"/>
                    </w:rPr>
                    <w:t>ak členské štáty uplatňujú vnútroštátne ustanovenia prijaté podľa článku 22 ods. 8, posúdi sa primeranosť:</w:t>
                  </w:r>
                </w:p>
                <w:tbl>
                  <w:tblPr>
                    <w:tblW w:w="5000" w:type="pct"/>
                    <w:tblLayout w:type="fixed"/>
                    <w:tblCellMar>
                      <w:left w:w="0" w:type="dxa"/>
                      <w:right w:w="0" w:type="dxa"/>
                    </w:tblCellMar>
                    <w:tblLook w:val="04A0" w:firstRow="1" w:lastRow="0" w:firstColumn="1" w:lastColumn="0" w:noHBand="0" w:noVBand="1"/>
                  </w:tblPr>
                  <w:tblGrid>
                    <w:gridCol w:w="151"/>
                    <w:gridCol w:w="5334"/>
                  </w:tblGrid>
                  <w:tr w:rsidR="004A4863" w:rsidRPr="00441B53">
                    <w:tc>
                      <w:tcPr>
                        <w:tcW w:w="240" w:type="dxa"/>
                        <w:hideMark/>
                      </w:tcPr>
                      <w:p w:rsidR="004A4863" w:rsidRPr="00441B53" w:rsidRDefault="004A4863" w:rsidP="004A4863">
                        <w:pPr>
                          <w:spacing w:before="0" w:beforeAutospacing="0" w:after="0" w:afterAutospacing="0"/>
                          <w:jc w:val="both"/>
                          <w:rPr>
                            <w:sz w:val="20"/>
                            <w:szCs w:val="20"/>
                          </w:rPr>
                        </w:pPr>
                        <w:r w:rsidRPr="00441B53">
                          <w:rPr>
                            <w:sz w:val="20"/>
                            <w:szCs w:val="20"/>
                          </w:rPr>
                          <w:t>—</w:t>
                        </w:r>
                      </w:p>
                    </w:tc>
                    <w:tc>
                      <w:tcPr>
                        <w:tcW w:w="8956" w:type="dxa"/>
                        <w:hideMark/>
                      </w:tcPr>
                      <w:p w:rsidR="004A4863" w:rsidRPr="00441B53" w:rsidRDefault="004A4863" w:rsidP="004A4863">
                        <w:pPr>
                          <w:spacing w:before="0" w:beforeAutospacing="0" w:after="0" w:afterAutospacing="0"/>
                          <w:jc w:val="both"/>
                          <w:rPr>
                            <w:sz w:val="20"/>
                            <w:szCs w:val="20"/>
                          </w:rPr>
                        </w:pPr>
                        <w:r w:rsidRPr="00441B53">
                          <w:rPr>
                            <w:sz w:val="20"/>
                            <w:szCs w:val="20"/>
                          </w:rPr>
                          <w:t>podmienok stanovených týmito členskými štátmi na účely predchádzania akýmkoľvek daňovým únikom, vyhýbaniu sa daňovým povinnostiam alebo zneužívaniu daňového režimu a</w:t>
                        </w:r>
                      </w:p>
                    </w:tc>
                  </w:tr>
                </w:tbl>
                <w:p w:rsidR="004A4863" w:rsidRPr="00441B53" w:rsidRDefault="004A4863" w:rsidP="004A4863">
                  <w:pPr>
                    <w:spacing w:before="0" w:beforeAutospacing="0" w:after="0" w:afterAutospacing="0"/>
                    <w:rPr>
                      <w:vanish/>
                      <w:sz w:val="20"/>
                      <w:szCs w:val="20"/>
                    </w:rPr>
                  </w:pPr>
                </w:p>
                <w:tbl>
                  <w:tblPr>
                    <w:tblW w:w="5000" w:type="pct"/>
                    <w:tblLayout w:type="fixed"/>
                    <w:tblCellMar>
                      <w:left w:w="0" w:type="dxa"/>
                      <w:right w:w="0" w:type="dxa"/>
                    </w:tblCellMar>
                    <w:tblLook w:val="04A0" w:firstRow="1" w:lastRow="0" w:firstColumn="1" w:lastColumn="0" w:noHBand="0" w:noVBand="1"/>
                  </w:tblPr>
                  <w:tblGrid>
                    <w:gridCol w:w="151"/>
                    <w:gridCol w:w="5334"/>
                  </w:tblGrid>
                  <w:tr w:rsidR="004A4863" w:rsidRPr="00441B53">
                    <w:tc>
                      <w:tcPr>
                        <w:tcW w:w="240" w:type="dxa"/>
                        <w:hideMark/>
                      </w:tcPr>
                      <w:p w:rsidR="004A4863" w:rsidRPr="00441B53" w:rsidRDefault="004A4863" w:rsidP="004A4863">
                        <w:pPr>
                          <w:spacing w:before="0" w:beforeAutospacing="0" w:after="0" w:afterAutospacing="0"/>
                          <w:jc w:val="both"/>
                          <w:rPr>
                            <w:sz w:val="20"/>
                            <w:szCs w:val="20"/>
                          </w:rPr>
                        </w:pPr>
                        <w:r w:rsidRPr="00441B53">
                          <w:rPr>
                            <w:sz w:val="20"/>
                            <w:szCs w:val="20"/>
                          </w:rPr>
                          <w:t>—</w:t>
                        </w:r>
                      </w:p>
                    </w:tc>
                    <w:tc>
                      <w:tcPr>
                        <w:tcW w:w="8956" w:type="dxa"/>
                        <w:hideMark/>
                      </w:tcPr>
                      <w:p w:rsidR="004A4863" w:rsidRPr="00441B53" w:rsidRDefault="004A4863" w:rsidP="004A4863">
                        <w:pPr>
                          <w:spacing w:before="0" w:beforeAutospacing="0" w:after="0" w:afterAutospacing="0"/>
                          <w:jc w:val="both"/>
                          <w:rPr>
                            <w:sz w:val="20"/>
                            <w:szCs w:val="20"/>
                          </w:rPr>
                        </w:pPr>
                        <w:r w:rsidRPr="00441B53">
                          <w:rPr>
                            <w:sz w:val="20"/>
                            <w:szCs w:val="20"/>
                          </w:rPr>
                          <w:t>požiadaviek a postupov zavedených týmito členskými štátmi na zabezpečenie kontroly výroby a spotreby a predchádzania cezhraničným účinkom.</w:t>
                        </w:r>
                      </w:p>
                    </w:tc>
                  </w:tr>
                </w:tbl>
                <w:p w:rsidR="004A4863" w:rsidRPr="00441B53" w:rsidRDefault="004A4863" w:rsidP="004A4863">
                  <w:pPr>
                    <w:spacing w:before="0" w:beforeAutospacing="0" w:after="0" w:afterAutospacing="0"/>
                    <w:rPr>
                      <w:sz w:val="20"/>
                      <w:szCs w:val="20"/>
                    </w:rPr>
                  </w:pPr>
                </w:p>
              </w:tc>
            </w:tr>
          </w:tbl>
          <w:p w:rsidR="004A4863" w:rsidRPr="00441B53" w:rsidRDefault="004A4863" w:rsidP="004A4863">
            <w:pPr>
              <w:shd w:val="clear" w:color="auto" w:fill="FFFFFF"/>
              <w:spacing w:before="0" w:beforeAutospacing="0" w:after="0" w:afterAutospacing="0"/>
              <w:jc w:val="both"/>
              <w:rPr>
                <w:sz w:val="20"/>
                <w:szCs w:val="20"/>
              </w:rPr>
            </w:pPr>
            <w:r w:rsidRPr="00441B53">
              <w:rPr>
                <w:sz w:val="20"/>
                <w:szCs w:val="20"/>
              </w:rPr>
              <w:t>Členské štáty na požiadanie predložia Komisii informácie potrebné na vypracovanie tejto správy.</w:t>
            </w:r>
          </w:p>
          <w:p w:rsidR="004A4863" w:rsidRPr="00441B53" w:rsidRDefault="004A4863" w:rsidP="004A4863">
            <w:pPr>
              <w:shd w:val="clear" w:color="auto" w:fill="FFFFFF"/>
              <w:spacing w:before="0" w:beforeAutospacing="0" w:after="0" w:afterAutospacing="0"/>
              <w:jc w:val="both"/>
              <w:rPr>
                <w:sz w:val="20"/>
                <w:szCs w:val="20"/>
              </w:rPr>
            </w:pPr>
            <w:r w:rsidRPr="00441B53">
              <w:rPr>
                <w:sz w:val="20"/>
                <w:szCs w:val="20"/>
              </w:rPr>
              <w:t>Členské štáty, ktoré uplatňujú vnútroštátne ustanovenia prijaté podľa článku 22 ods. 8, predložia Komisii najneskôr do troch mesiacov po prvom roku uplatňovania takýchto ustanovení všetky informácie potrebné na vykonanie posúdenia uvedeného v druhom odseku písmene c) tohto článku.</w:t>
            </w:r>
          </w:p>
          <w:p w:rsidR="004A4863" w:rsidRPr="00441B53" w:rsidRDefault="004A4863" w:rsidP="004A4863">
            <w:pPr>
              <w:shd w:val="clear" w:color="auto" w:fill="FFFFFF"/>
              <w:spacing w:before="0" w:beforeAutospacing="0" w:after="0" w:afterAutospacing="0"/>
              <w:jc w:val="both"/>
              <w:rPr>
                <w:sz w:val="20"/>
                <w:szCs w:val="20"/>
              </w:rPr>
            </w:pPr>
            <w:r w:rsidRPr="00441B53">
              <w:rPr>
                <w:sz w:val="20"/>
                <w:szCs w:val="20"/>
              </w:rPr>
              <w:t>K správe sa v prípade potreby pripojí legislatívny návrh.“</w:t>
            </w:r>
          </w:p>
          <w:p w:rsidR="004A4863" w:rsidRPr="00441B53" w:rsidRDefault="004A4863" w:rsidP="004A4863">
            <w:pPr>
              <w:pStyle w:val="oj-normal"/>
              <w:shd w:val="clear" w:color="auto" w:fill="FFFFFF"/>
              <w:spacing w:before="0" w:beforeAutospacing="0" w:after="0" w:afterAutospacing="0"/>
              <w:jc w:val="both"/>
              <w:rPr>
                <w:sz w:val="20"/>
                <w:szCs w:val="20"/>
              </w:rPr>
            </w:pPr>
          </w:p>
        </w:tc>
        <w:tc>
          <w:tcPr>
            <w:tcW w:w="1245" w:type="dxa"/>
            <w:tcBorders>
              <w:top w:val="single" w:sz="4" w:space="0" w:color="auto"/>
              <w:left w:val="single" w:sz="4" w:space="0" w:color="auto"/>
              <w:bottom w:val="single" w:sz="4" w:space="0" w:color="auto"/>
              <w:right w:val="single" w:sz="12" w:space="0" w:color="auto"/>
            </w:tcBorders>
          </w:tcPr>
          <w:p w:rsidR="004A4863" w:rsidRPr="00441B53" w:rsidRDefault="004A4863">
            <w:pPr>
              <w:autoSpaceDE w:val="0"/>
              <w:autoSpaceDN w:val="0"/>
              <w:spacing w:before="0" w:beforeAutospacing="0" w:after="0" w:afterAutospacing="0"/>
              <w:jc w:val="center"/>
              <w:rPr>
                <w:sz w:val="20"/>
                <w:szCs w:val="20"/>
              </w:rPr>
            </w:pPr>
            <w:r w:rsidRPr="00441B53">
              <w:rPr>
                <w:sz w:val="20"/>
                <w:szCs w:val="20"/>
              </w:rPr>
              <w:t>n.a.</w:t>
            </w:r>
          </w:p>
        </w:tc>
        <w:tc>
          <w:tcPr>
            <w:tcW w:w="846" w:type="dxa"/>
            <w:tcBorders>
              <w:top w:val="single" w:sz="4" w:space="0" w:color="auto"/>
              <w:left w:val="nil"/>
              <w:bottom w:val="single" w:sz="4" w:space="0" w:color="auto"/>
              <w:right w:val="single" w:sz="4" w:space="0" w:color="auto"/>
            </w:tcBorders>
          </w:tcPr>
          <w:p w:rsidR="004A4863" w:rsidRPr="00441B53" w:rsidRDefault="004A4863" w:rsidP="00AE4B8A">
            <w:pPr>
              <w:autoSpaceDE w:val="0"/>
              <w:autoSpaceDN w:val="0"/>
              <w:spacing w:before="0" w:beforeAutospacing="0" w:after="0" w:afterAutospacing="0"/>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4A4863" w:rsidRPr="00441B53" w:rsidRDefault="004A4863" w:rsidP="00C33219">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4A4863" w:rsidRPr="00441B53" w:rsidRDefault="004A4863" w:rsidP="00D55AF6">
            <w:pPr>
              <w:shd w:val="clear" w:color="auto" w:fill="FFFFFF"/>
              <w:spacing w:before="0" w:beforeAutospacing="0" w:after="0" w:afterAutospacing="0"/>
              <w:jc w:val="both"/>
              <w:rPr>
                <w:sz w:val="20"/>
                <w:szCs w:val="20"/>
              </w:rPr>
            </w:pPr>
          </w:p>
        </w:tc>
        <w:tc>
          <w:tcPr>
            <w:tcW w:w="423" w:type="dxa"/>
            <w:tcBorders>
              <w:top w:val="single" w:sz="4" w:space="0" w:color="auto"/>
              <w:left w:val="single" w:sz="4" w:space="0" w:color="auto"/>
              <w:bottom w:val="single" w:sz="4" w:space="0" w:color="auto"/>
              <w:right w:val="single" w:sz="4" w:space="0" w:color="auto"/>
            </w:tcBorders>
          </w:tcPr>
          <w:p w:rsidR="004A4863" w:rsidRPr="00441B53" w:rsidRDefault="004A4863">
            <w:pPr>
              <w:autoSpaceDE w:val="0"/>
              <w:autoSpaceDN w:val="0"/>
              <w:spacing w:before="0" w:beforeAutospacing="0" w:after="0" w:afterAutospacing="0"/>
              <w:jc w:val="center"/>
              <w:rPr>
                <w:sz w:val="20"/>
                <w:szCs w:val="20"/>
              </w:rPr>
            </w:pPr>
            <w:r w:rsidRPr="00441B53">
              <w:rPr>
                <w:sz w:val="20"/>
                <w:szCs w:val="20"/>
              </w:rPr>
              <w:t>n.a.</w:t>
            </w:r>
          </w:p>
        </w:tc>
        <w:tc>
          <w:tcPr>
            <w:tcW w:w="633" w:type="dxa"/>
            <w:tcBorders>
              <w:top w:val="single" w:sz="4" w:space="0" w:color="auto"/>
              <w:left w:val="single" w:sz="4" w:space="0" w:color="auto"/>
              <w:bottom w:val="single" w:sz="4" w:space="0" w:color="auto"/>
              <w:right w:val="single" w:sz="12" w:space="0" w:color="auto"/>
            </w:tcBorders>
          </w:tcPr>
          <w:p w:rsidR="004A4863" w:rsidRPr="00441B53" w:rsidRDefault="004A4863">
            <w:pPr>
              <w:pStyle w:val="Nadpis1"/>
              <w:rPr>
                <w:b w:val="0"/>
                <w:bCs w:val="0"/>
                <w:sz w:val="20"/>
                <w:szCs w:val="20"/>
              </w:rPr>
            </w:pPr>
          </w:p>
        </w:tc>
      </w:tr>
      <w:tr w:rsidR="00EA646D" w:rsidRPr="00924B99" w:rsidTr="00CA7537">
        <w:trPr>
          <w:trHeight w:val="2402"/>
        </w:trPr>
        <w:tc>
          <w:tcPr>
            <w:tcW w:w="682" w:type="dxa"/>
            <w:tcBorders>
              <w:top w:val="single" w:sz="4" w:space="0" w:color="auto"/>
              <w:left w:val="single" w:sz="12" w:space="0" w:color="auto"/>
              <w:bottom w:val="single" w:sz="4" w:space="0" w:color="auto"/>
              <w:right w:val="single" w:sz="4" w:space="0" w:color="auto"/>
            </w:tcBorders>
          </w:tcPr>
          <w:p w:rsidR="00EA646D" w:rsidRPr="00924B99" w:rsidRDefault="00AE4B8A" w:rsidP="00AE4B8A">
            <w:pPr>
              <w:autoSpaceDE w:val="0"/>
              <w:autoSpaceDN w:val="0"/>
              <w:spacing w:before="0" w:beforeAutospacing="0" w:after="0" w:afterAutospacing="0"/>
              <w:jc w:val="center"/>
              <w:rPr>
                <w:sz w:val="20"/>
                <w:szCs w:val="20"/>
              </w:rPr>
            </w:pPr>
            <w:r w:rsidRPr="00924B99">
              <w:rPr>
                <w:sz w:val="20"/>
                <w:szCs w:val="20"/>
              </w:rPr>
              <w:t>Čl. 2</w:t>
            </w:r>
          </w:p>
        </w:tc>
        <w:tc>
          <w:tcPr>
            <w:tcW w:w="5812" w:type="dxa"/>
            <w:tcBorders>
              <w:top w:val="single" w:sz="4" w:space="0" w:color="auto"/>
              <w:left w:val="single" w:sz="4" w:space="0" w:color="auto"/>
              <w:bottom w:val="single" w:sz="4" w:space="0" w:color="auto"/>
              <w:right w:val="single" w:sz="4" w:space="0" w:color="auto"/>
            </w:tcBorders>
          </w:tcPr>
          <w:p w:rsidR="00AE4B8A" w:rsidRPr="00441B53" w:rsidRDefault="00AE4B8A" w:rsidP="00AE4B8A">
            <w:pPr>
              <w:pStyle w:val="Bezriadkovania"/>
              <w:numPr>
                <w:ilvl w:val="0"/>
                <w:numId w:val="24"/>
              </w:numPr>
              <w:spacing w:beforeAutospacing="0" w:afterAutospacing="0"/>
              <w:ind w:left="241" w:hanging="241"/>
              <w:jc w:val="both"/>
              <w:rPr>
                <w:sz w:val="20"/>
                <w:szCs w:val="20"/>
              </w:rPr>
            </w:pPr>
            <w:r w:rsidRPr="00441B53">
              <w:rPr>
                <w:sz w:val="20"/>
                <w:szCs w:val="20"/>
              </w:rPr>
              <w:t xml:space="preserve">Členské štáty prijmú a uverejnia do 31. decembra 2021 zákony, iné právne predpisy a správne opatrenia potrebné na dosiahnutie súladu s touto smernicou. Komisii bezodkladne oznámia znenie týchto ustanovení. </w:t>
            </w:r>
          </w:p>
          <w:p w:rsidR="00AE4B8A" w:rsidRPr="00441B53" w:rsidRDefault="00AE4B8A" w:rsidP="00AE4B8A">
            <w:pPr>
              <w:pStyle w:val="Bezriadkovania"/>
              <w:spacing w:beforeAutospacing="0" w:afterAutospacing="0"/>
              <w:jc w:val="both"/>
              <w:rPr>
                <w:sz w:val="20"/>
                <w:szCs w:val="20"/>
              </w:rPr>
            </w:pPr>
          </w:p>
          <w:p w:rsidR="00AE4B8A" w:rsidRPr="00441B53" w:rsidRDefault="00AE4B8A" w:rsidP="00AE4B8A">
            <w:pPr>
              <w:pStyle w:val="Bezriadkovania"/>
              <w:spacing w:beforeAutospacing="0" w:afterAutospacing="0"/>
              <w:ind w:left="241"/>
              <w:jc w:val="both"/>
              <w:rPr>
                <w:sz w:val="20"/>
                <w:szCs w:val="20"/>
              </w:rPr>
            </w:pPr>
            <w:r w:rsidRPr="00441B53">
              <w:rPr>
                <w:sz w:val="20"/>
                <w:szCs w:val="20"/>
              </w:rPr>
              <w:t>Tieto opatrenia uplatňujú od 1. januára 2022.</w:t>
            </w:r>
          </w:p>
          <w:p w:rsidR="00AE4B8A" w:rsidRPr="00441B53" w:rsidRDefault="00AE4B8A" w:rsidP="00AE4B8A">
            <w:pPr>
              <w:pStyle w:val="Bezriadkovania"/>
              <w:spacing w:beforeAutospacing="0" w:afterAutospacing="0"/>
              <w:ind w:left="241"/>
              <w:jc w:val="both"/>
              <w:rPr>
                <w:sz w:val="20"/>
                <w:szCs w:val="20"/>
              </w:rPr>
            </w:pPr>
          </w:p>
          <w:p w:rsidR="00AE4B8A" w:rsidRPr="00441B53" w:rsidRDefault="00AE4B8A" w:rsidP="00AE4B8A">
            <w:pPr>
              <w:pStyle w:val="Bezriadkovania"/>
              <w:spacing w:beforeAutospacing="0" w:afterAutospacing="0"/>
              <w:ind w:left="241"/>
              <w:jc w:val="both"/>
              <w:rPr>
                <w:sz w:val="20"/>
                <w:szCs w:val="20"/>
              </w:rPr>
            </w:pPr>
            <w:r w:rsidRPr="00441B53">
              <w:rPr>
                <w:sz w:val="20"/>
                <w:szCs w:val="20"/>
              </w:rPr>
              <w:t xml:space="preserve">Členské štáty uvedú priamo v prijatých ustanoveniach alebo pri ich úradnom uverejnení odkaz na túto smernicu. Podrobnosti o odkaze upravia členské štáty. </w:t>
            </w:r>
          </w:p>
          <w:p w:rsidR="00AE4B8A" w:rsidRPr="00441B53" w:rsidRDefault="00AE4B8A" w:rsidP="00AE4B8A">
            <w:pPr>
              <w:pStyle w:val="Bezriadkovania"/>
              <w:spacing w:beforeAutospacing="0" w:afterAutospacing="0"/>
              <w:jc w:val="both"/>
              <w:rPr>
                <w:sz w:val="20"/>
                <w:szCs w:val="20"/>
              </w:rPr>
            </w:pPr>
          </w:p>
          <w:p w:rsidR="00AE4B8A" w:rsidRPr="00441B53" w:rsidRDefault="00AE4B8A" w:rsidP="00AE4B8A">
            <w:pPr>
              <w:pStyle w:val="Bezriadkovania"/>
              <w:spacing w:beforeAutospacing="0" w:afterAutospacing="0"/>
              <w:jc w:val="both"/>
              <w:rPr>
                <w:sz w:val="20"/>
                <w:szCs w:val="20"/>
              </w:rPr>
            </w:pPr>
          </w:p>
          <w:p w:rsidR="00AE4B8A" w:rsidRPr="00441B53" w:rsidRDefault="00AE4B8A" w:rsidP="00AE4B8A">
            <w:pPr>
              <w:pStyle w:val="Bezriadkovania"/>
              <w:spacing w:beforeAutospacing="0" w:afterAutospacing="0"/>
              <w:jc w:val="both"/>
              <w:rPr>
                <w:sz w:val="20"/>
                <w:szCs w:val="20"/>
              </w:rPr>
            </w:pPr>
          </w:p>
          <w:p w:rsidR="00AE4B8A" w:rsidRPr="00441B53" w:rsidRDefault="00AE4B8A" w:rsidP="00AE4B8A">
            <w:pPr>
              <w:pStyle w:val="Bezriadkovania"/>
              <w:spacing w:beforeAutospacing="0" w:afterAutospacing="0"/>
              <w:jc w:val="both"/>
              <w:rPr>
                <w:sz w:val="20"/>
                <w:szCs w:val="20"/>
              </w:rPr>
            </w:pPr>
          </w:p>
          <w:p w:rsidR="00AE4B8A" w:rsidRPr="00441B53" w:rsidRDefault="00AE4B8A" w:rsidP="00AE4B8A">
            <w:pPr>
              <w:pStyle w:val="Bezriadkovania"/>
              <w:spacing w:beforeAutospacing="0" w:afterAutospacing="0"/>
              <w:jc w:val="both"/>
              <w:rPr>
                <w:sz w:val="20"/>
                <w:szCs w:val="20"/>
              </w:rPr>
            </w:pPr>
          </w:p>
          <w:p w:rsidR="00D633D4" w:rsidRPr="00441B53" w:rsidRDefault="00D633D4" w:rsidP="00AE4B8A">
            <w:pPr>
              <w:pStyle w:val="Bezriadkovania"/>
              <w:spacing w:beforeAutospacing="0" w:afterAutospacing="0"/>
              <w:jc w:val="both"/>
              <w:rPr>
                <w:sz w:val="20"/>
                <w:szCs w:val="20"/>
              </w:rPr>
            </w:pPr>
          </w:p>
          <w:p w:rsidR="00AE4B8A" w:rsidRPr="00441B53" w:rsidRDefault="00AE4B8A" w:rsidP="00AE4B8A">
            <w:pPr>
              <w:pStyle w:val="Bezriadkovania"/>
              <w:spacing w:beforeAutospacing="0" w:afterAutospacing="0"/>
              <w:jc w:val="both"/>
              <w:rPr>
                <w:sz w:val="20"/>
                <w:szCs w:val="20"/>
              </w:rPr>
            </w:pPr>
          </w:p>
          <w:p w:rsidR="00EA646D" w:rsidRPr="00441B53" w:rsidRDefault="00AE4B8A" w:rsidP="00AE4B8A">
            <w:pPr>
              <w:pStyle w:val="Bezriadkovania"/>
              <w:spacing w:beforeAutospacing="0" w:afterAutospacing="0"/>
              <w:jc w:val="both"/>
              <w:rPr>
                <w:sz w:val="20"/>
                <w:szCs w:val="20"/>
              </w:rPr>
            </w:pPr>
            <w:r w:rsidRPr="00441B53">
              <w:rPr>
                <w:sz w:val="20"/>
                <w:szCs w:val="20"/>
              </w:rPr>
              <w:t>2. Členské štáty oznámia Komisii znenie hlavných ustanovení vnútroštátnych právnych predpisov, ktoré prijmú v oblasti pôsobnosti tejto smernice. vnútroštátneho práva, ktoré prijmú v oblasti pôsobnosti tejto smernice.</w:t>
            </w:r>
          </w:p>
        </w:tc>
        <w:tc>
          <w:tcPr>
            <w:tcW w:w="1245" w:type="dxa"/>
            <w:tcBorders>
              <w:top w:val="single" w:sz="4" w:space="0" w:color="auto"/>
              <w:left w:val="single" w:sz="4" w:space="0" w:color="auto"/>
              <w:bottom w:val="single" w:sz="4" w:space="0" w:color="auto"/>
              <w:right w:val="single" w:sz="12" w:space="0" w:color="auto"/>
            </w:tcBorders>
          </w:tcPr>
          <w:p w:rsidR="00EA646D" w:rsidRPr="00441B53" w:rsidRDefault="004A4863">
            <w:pPr>
              <w:autoSpaceDE w:val="0"/>
              <w:autoSpaceDN w:val="0"/>
              <w:spacing w:before="0" w:beforeAutospacing="0" w:after="0" w:afterAutospacing="0"/>
              <w:jc w:val="center"/>
              <w:rPr>
                <w:sz w:val="20"/>
                <w:szCs w:val="20"/>
              </w:rPr>
            </w:pPr>
            <w:r w:rsidRPr="00441B53">
              <w:rPr>
                <w:sz w:val="20"/>
                <w:szCs w:val="20"/>
              </w:rPr>
              <w:t>N</w:t>
            </w:r>
          </w:p>
        </w:tc>
        <w:tc>
          <w:tcPr>
            <w:tcW w:w="846" w:type="dxa"/>
            <w:tcBorders>
              <w:top w:val="single" w:sz="4" w:space="0" w:color="auto"/>
              <w:left w:val="nil"/>
              <w:bottom w:val="single" w:sz="4" w:space="0" w:color="auto"/>
              <w:right w:val="single" w:sz="4" w:space="0" w:color="auto"/>
            </w:tcBorders>
          </w:tcPr>
          <w:p w:rsidR="00AE4B8A" w:rsidRPr="00441B53" w:rsidRDefault="00AE4B8A" w:rsidP="00AE4B8A">
            <w:pPr>
              <w:autoSpaceDE w:val="0"/>
              <w:autoSpaceDN w:val="0"/>
              <w:spacing w:before="0" w:beforeAutospacing="0" w:after="0" w:afterAutospacing="0"/>
              <w:jc w:val="center"/>
              <w:rPr>
                <w:sz w:val="20"/>
                <w:szCs w:val="20"/>
              </w:rPr>
            </w:pPr>
            <w:r w:rsidRPr="00441B53">
              <w:rPr>
                <w:b/>
                <w:sz w:val="20"/>
                <w:szCs w:val="20"/>
              </w:rPr>
              <w:t xml:space="preserve">Návrh </w:t>
            </w:r>
          </w:p>
          <w:p w:rsidR="00AE4B8A" w:rsidRPr="00441B53" w:rsidRDefault="00AE4B8A" w:rsidP="00AE4B8A">
            <w:pPr>
              <w:autoSpaceDE w:val="0"/>
              <w:autoSpaceDN w:val="0"/>
              <w:spacing w:before="0" w:beforeAutospacing="0" w:after="0" w:afterAutospacing="0"/>
              <w:jc w:val="center"/>
              <w:rPr>
                <w:b/>
                <w:sz w:val="20"/>
                <w:szCs w:val="20"/>
              </w:rPr>
            </w:pPr>
            <w:r w:rsidRPr="00441B53">
              <w:rPr>
                <w:b/>
                <w:sz w:val="20"/>
                <w:szCs w:val="20"/>
              </w:rPr>
              <w:t>Zákona čl. III</w:t>
            </w:r>
          </w:p>
          <w:p w:rsidR="00EA646D" w:rsidRPr="00441B53" w:rsidRDefault="00EA646D" w:rsidP="00ED4059">
            <w:pPr>
              <w:autoSpaceDE w:val="0"/>
              <w:autoSpaceDN w:val="0"/>
              <w:spacing w:before="0" w:beforeAutospacing="0" w:after="0" w:afterAutospacing="0"/>
              <w:jc w:val="center"/>
              <w:rPr>
                <w:b/>
                <w:sz w:val="20"/>
                <w:szCs w:val="20"/>
              </w:rPr>
            </w:pPr>
          </w:p>
          <w:p w:rsidR="00AE4B8A" w:rsidRDefault="00AE4B8A" w:rsidP="00ED4059">
            <w:pPr>
              <w:autoSpaceDE w:val="0"/>
              <w:autoSpaceDN w:val="0"/>
              <w:spacing w:before="0" w:beforeAutospacing="0" w:after="0" w:afterAutospacing="0"/>
              <w:jc w:val="center"/>
              <w:rPr>
                <w:b/>
                <w:sz w:val="20"/>
                <w:szCs w:val="20"/>
              </w:rPr>
            </w:pPr>
          </w:p>
          <w:p w:rsidR="000334B9" w:rsidRDefault="000334B9" w:rsidP="00ED4059">
            <w:pPr>
              <w:autoSpaceDE w:val="0"/>
              <w:autoSpaceDN w:val="0"/>
              <w:spacing w:before="0" w:beforeAutospacing="0" w:after="0" w:afterAutospacing="0"/>
              <w:jc w:val="center"/>
              <w:rPr>
                <w:b/>
                <w:sz w:val="20"/>
                <w:szCs w:val="20"/>
              </w:rPr>
            </w:pPr>
          </w:p>
          <w:p w:rsidR="000334B9" w:rsidRDefault="000334B9" w:rsidP="00ED4059">
            <w:pPr>
              <w:autoSpaceDE w:val="0"/>
              <w:autoSpaceDN w:val="0"/>
              <w:spacing w:before="0" w:beforeAutospacing="0" w:after="0" w:afterAutospacing="0"/>
              <w:jc w:val="center"/>
              <w:rPr>
                <w:b/>
                <w:sz w:val="20"/>
                <w:szCs w:val="20"/>
              </w:rPr>
            </w:pPr>
          </w:p>
          <w:p w:rsidR="000334B9" w:rsidRPr="00441B53" w:rsidRDefault="000334B9" w:rsidP="00ED4059">
            <w:pPr>
              <w:autoSpaceDE w:val="0"/>
              <w:autoSpaceDN w:val="0"/>
              <w:spacing w:before="0" w:beforeAutospacing="0" w:after="0" w:afterAutospacing="0"/>
              <w:jc w:val="center"/>
              <w:rPr>
                <w:b/>
                <w:sz w:val="20"/>
                <w:szCs w:val="20"/>
              </w:rPr>
            </w:pPr>
          </w:p>
          <w:p w:rsidR="00AE4B8A" w:rsidRPr="00441B53" w:rsidRDefault="00AE4B8A" w:rsidP="00ED4059">
            <w:pPr>
              <w:autoSpaceDE w:val="0"/>
              <w:autoSpaceDN w:val="0"/>
              <w:spacing w:before="0" w:beforeAutospacing="0" w:after="0" w:afterAutospacing="0"/>
              <w:jc w:val="center"/>
              <w:rPr>
                <w:b/>
                <w:sz w:val="20"/>
                <w:szCs w:val="20"/>
              </w:rPr>
            </w:pPr>
          </w:p>
          <w:p w:rsidR="00AE4B8A" w:rsidRPr="00441B53" w:rsidRDefault="00AE4B8A" w:rsidP="00ED4059">
            <w:pPr>
              <w:autoSpaceDE w:val="0"/>
              <w:autoSpaceDN w:val="0"/>
              <w:spacing w:before="0" w:beforeAutospacing="0" w:after="0" w:afterAutospacing="0"/>
              <w:jc w:val="center"/>
              <w:rPr>
                <w:b/>
                <w:sz w:val="20"/>
                <w:szCs w:val="20"/>
              </w:rPr>
            </w:pPr>
          </w:p>
          <w:p w:rsidR="00AE4B8A" w:rsidRPr="00441B53" w:rsidRDefault="00AE4B8A" w:rsidP="00AE4B8A">
            <w:pPr>
              <w:autoSpaceDE w:val="0"/>
              <w:autoSpaceDN w:val="0"/>
              <w:spacing w:before="0" w:beforeAutospacing="0" w:after="0" w:afterAutospacing="0"/>
              <w:jc w:val="center"/>
              <w:rPr>
                <w:b/>
                <w:sz w:val="20"/>
                <w:szCs w:val="20"/>
              </w:rPr>
            </w:pPr>
            <w:r w:rsidRPr="00441B53">
              <w:rPr>
                <w:sz w:val="20"/>
                <w:szCs w:val="20"/>
              </w:rPr>
              <w:t>530/2011</w:t>
            </w:r>
          </w:p>
          <w:p w:rsidR="00AE4B8A" w:rsidRPr="00441B53" w:rsidRDefault="00AE4B8A" w:rsidP="00AE4B8A">
            <w:pPr>
              <w:autoSpaceDE w:val="0"/>
              <w:autoSpaceDN w:val="0"/>
              <w:spacing w:before="0" w:beforeAutospacing="0" w:after="0" w:afterAutospacing="0"/>
              <w:jc w:val="center"/>
              <w:rPr>
                <w:b/>
                <w:sz w:val="20"/>
                <w:szCs w:val="20"/>
              </w:rPr>
            </w:pPr>
          </w:p>
          <w:p w:rsidR="00AE4B8A" w:rsidRPr="00441B53" w:rsidRDefault="00AE4B8A" w:rsidP="00AE4B8A">
            <w:pPr>
              <w:autoSpaceDE w:val="0"/>
              <w:autoSpaceDN w:val="0"/>
              <w:spacing w:before="0" w:beforeAutospacing="0" w:after="0" w:afterAutospacing="0"/>
              <w:jc w:val="center"/>
              <w:rPr>
                <w:sz w:val="20"/>
                <w:szCs w:val="20"/>
              </w:rPr>
            </w:pPr>
            <w:r w:rsidRPr="00441B53">
              <w:rPr>
                <w:sz w:val="20"/>
                <w:szCs w:val="20"/>
              </w:rPr>
              <w:t xml:space="preserve">530/2011a </w:t>
            </w:r>
          </w:p>
          <w:p w:rsidR="00AE4B8A" w:rsidRPr="00441B53" w:rsidRDefault="00AE4B8A" w:rsidP="00AE4B8A">
            <w:pPr>
              <w:autoSpaceDE w:val="0"/>
              <w:autoSpaceDN w:val="0"/>
              <w:spacing w:before="0" w:beforeAutospacing="0" w:after="0" w:afterAutospacing="0"/>
              <w:jc w:val="center"/>
              <w:rPr>
                <w:sz w:val="20"/>
                <w:szCs w:val="20"/>
              </w:rPr>
            </w:pPr>
            <w:r w:rsidRPr="00441B53">
              <w:rPr>
                <w:b/>
                <w:sz w:val="20"/>
                <w:szCs w:val="20"/>
              </w:rPr>
              <w:t xml:space="preserve">Návrh </w:t>
            </w:r>
          </w:p>
          <w:p w:rsidR="00AE4B8A" w:rsidRPr="00441B53" w:rsidRDefault="00AE4B8A" w:rsidP="00AE4B8A">
            <w:pPr>
              <w:autoSpaceDE w:val="0"/>
              <w:autoSpaceDN w:val="0"/>
              <w:spacing w:before="0" w:beforeAutospacing="0" w:after="0" w:afterAutospacing="0"/>
              <w:jc w:val="center"/>
              <w:rPr>
                <w:b/>
                <w:sz w:val="20"/>
                <w:szCs w:val="20"/>
              </w:rPr>
            </w:pPr>
            <w:r w:rsidRPr="00441B53">
              <w:rPr>
                <w:b/>
                <w:sz w:val="20"/>
                <w:szCs w:val="20"/>
              </w:rPr>
              <w:t>zákona čl.</w:t>
            </w:r>
            <w:r w:rsidR="005B7B7A" w:rsidRPr="00441B53">
              <w:rPr>
                <w:b/>
                <w:sz w:val="20"/>
                <w:szCs w:val="20"/>
              </w:rPr>
              <w:t xml:space="preserve"> </w:t>
            </w:r>
            <w:r w:rsidRPr="00441B53">
              <w:rPr>
                <w:b/>
                <w:sz w:val="20"/>
                <w:szCs w:val="20"/>
              </w:rPr>
              <w:t>I</w:t>
            </w:r>
          </w:p>
          <w:p w:rsidR="00AE4B8A" w:rsidRPr="00441B53" w:rsidRDefault="00AE4B8A" w:rsidP="00AE4B8A">
            <w:pPr>
              <w:autoSpaceDE w:val="0"/>
              <w:autoSpaceDN w:val="0"/>
              <w:spacing w:before="0" w:beforeAutospacing="0" w:after="0" w:afterAutospacing="0"/>
              <w:jc w:val="center"/>
              <w:rPr>
                <w:sz w:val="20"/>
                <w:szCs w:val="20"/>
              </w:rPr>
            </w:pPr>
          </w:p>
          <w:p w:rsidR="00AE4B8A" w:rsidRPr="00441B53" w:rsidRDefault="00AE4B8A" w:rsidP="00ED4059">
            <w:pPr>
              <w:autoSpaceDE w:val="0"/>
              <w:autoSpaceDN w:val="0"/>
              <w:spacing w:before="0" w:beforeAutospacing="0" w:after="0" w:afterAutospacing="0"/>
              <w:jc w:val="center"/>
              <w:rPr>
                <w:b/>
                <w:sz w:val="20"/>
                <w:szCs w:val="20"/>
              </w:rPr>
            </w:pPr>
          </w:p>
          <w:p w:rsidR="00D633D4" w:rsidRDefault="00D633D4" w:rsidP="00ED4059">
            <w:pPr>
              <w:autoSpaceDE w:val="0"/>
              <w:autoSpaceDN w:val="0"/>
              <w:spacing w:before="0" w:beforeAutospacing="0" w:after="0" w:afterAutospacing="0"/>
              <w:jc w:val="center"/>
              <w:rPr>
                <w:b/>
                <w:sz w:val="20"/>
                <w:szCs w:val="20"/>
              </w:rPr>
            </w:pPr>
          </w:p>
          <w:p w:rsidR="000334B9" w:rsidRDefault="000334B9" w:rsidP="00ED4059">
            <w:pPr>
              <w:autoSpaceDE w:val="0"/>
              <w:autoSpaceDN w:val="0"/>
              <w:spacing w:before="0" w:beforeAutospacing="0" w:after="0" w:afterAutospacing="0"/>
              <w:jc w:val="center"/>
              <w:rPr>
                <w:b/>
                <w:sz w:val="20"/>
                <w:szCs w:val="20"/>
              </w:rPr>
            </w:pPr>
          </w:p>
          <w:p w:rsidR="000334B9" w:rsidRDefault="000334B9" w:rsidP="00ED4059">
            <w:pPr>
              <w:autoSpaceDE w:val="0"/>
              <w:autoSpaceDN w:val="0"/>
              <w:spacing w:before="0" w:beforeAutospacing="0" w:after="0" w:afterAutospacing="0"/>
              <w:jc w:val="center"/>
              <w:rPr>
                <w:b/>
                <w:sz w:val="20"/>
                <w:szCs w:val="20"/>
              </w:rPr>
            </w:pPr>
          </w:p>
          <w:p w:rsidR="000334B9" w:rsidRPr="00441B53" w:rsidRDefault="000334B9" w:rsidP="00ED4059">
            <w:pPr>
              <w:autoSpaceDE w:val="0"/>
              <w:autoSpaceDN w:val="0"/>
              <w:spacing w:before="0" w:beforeAutospacing="0" w:after="0" w:afterAutospacing="0"/>
              <w:jc w:val="center"/>
              <w:rPr>
                <w:b/>
                <w:sz w:val="20"/>
                <w:szCs w:val="20"/>
              </w:rPr>
            </w:pPr>
          </w:p>
          <w:p w:rsidR="00AE4B8A" w:rsidRPr="00441B53" w:rsidRDefault="00AE4B8A" w:rsidP="00ED4059">
            <w:pPr>
              <w:autoSpaceDE w:val="0"/>
              <w:autoSpaceDN w:val="0"/>
              <w:spacing w:before="0" w:beforeAutospacing="0" w:after="0" w:afterAutospacing="0"/>
              <w:jc w:val="center"/>
              <w:rPr>
                <w:b/>
                <w:sz w:val="20"/>
                <w:szCs w:val="20"/>
              </w:rPr>
            </w:pPr>
            <w:r w:rsidRPr="00441B53">
              <w:rPr>
                <w:sz w:val="20"/>
                <w:szCs w:val="20"/>
              </w:rPr>
              <w:t>575/2001</w:t>
            </w:r>
          </w:p>
        </w:tc>
        <w:tc>
          <w:tcPr>
            <w:tcW w:w="886" w:type="dxa"/>
            <w:tcBorders>
              <w:top w:val="single" w:sz="4" w:space="0" w:color="auto"/>
              <w:left w:val="single" w:sz="4" w:space="0" w:color="auto"/>
              <w:bottom w:val="single" w:sz="4" w:space="0" w:color="auto"/>
              <w:right w:val="single" w:sz="4" w:space="0" w:color="auto"/>
            </w:tcBorders>
          </w:tcPr>
          <w:p w:rsidR="00EA646D" w:rsidRPr="00441B53" w:rsidRDefault="00EA646D" w:rsidP="00C33219">
            <w:pPr>
              <w:pStyle w:val="Normlny0"/>
              <w:jc w:val="center"/>
            </w:pPr>
          </w:p>
          <w:p w:rsidR="00AE4B8A" w:rsidRPr="00441B53" w:rsidRDefault="00AE4B8A" w:rsidP="00C33219">
            <w:pPr>
              <w:pStyle w:val="Normlny0"/>
              <w:jc w:val="center"/>
            </w:pPr>
          </w:p>
          <w:p w:rsidR="00AE4B8A" w:rsidRPr="00441B53" w:rsidRDefault="00AE4B8A" w:rsidP="00C33219">
            <w:pPr>
              <w:pStyle w:val="Normlny0"/>
              <w:jc w:val="center"/>
            </w:pPr>
          </w:p>
          <w:p w:rsidR="00AE4B8A" w:rsidRPr="00441B53" w:rsidRDefault="00AE4B8A" w:rsidP="00C33219">
            <w:pPr>
              <w:pStyle w:val="Normlny0"/>
              <w:jc w:val="center"/>
            </w:pPr>
          </w:p>
          <w:p w:rsidR="00AE4B8A" w:rsidRPr="00441B53" w:rsidRDefault="00AE4B8A" w:rsidP="00C33219">
            <w:pPr>
              <w:pStyle w:val="Normlny0"/>
              <w:jc w:val="center"/>
            </w:pPr>
          </w:p>
          <w:p w:rsidR="00AE4B8A" w:rsidRDefault="00AE4B8A" w:rsidP="00C33219">
            <w:pPr>
              <w:pStyle w:val="Normlny0"/>
              <w:jc w:val="center"/>
            </w:pPr>
          </w:p>
          <w:p w:rsidR="000334B9" w:rsidRDefault="000334B9" w:rsidP="00C33219">
            <w:pPr>
              <w:pStyle w:val="Normlny0"/>
              <w:jc w:val="center"/>
            </w:pPr>
          </w:p>
          <w:p w:rsidR="000334B9" w:rsidRDefault="000334B9" w:rsidP="00C33219">
            <w:pPr>
              <w:pStyle w:val="Normlny0"/>
              <w:jc w:val="center"/>
            </w:pPr>
          </w:p>
          <w:p w:rsidR="000334B9" w:rsidRPr="00441B53" w:rsidRDefault="000334B9" w:rsidP="00C33219">
            <w:pPr>
              <w:pStyle w:val="Normlny0"/>
              <w:jc w:val="center"/>
            </w:pPr>
          </w:p>
          <w:p w:rsidR="00AE4B8A" w:rsidRPr="00441B53" w:rsidRDefault="00AE4B8A" w:rsidP="00C33219">
            <w:pPr>
              <w:pStyle w:val="Normlny0"/>
              <w:jc w:val="center"/>
            </w:pPr>
          </w:p>
          <w:p w:rsidR="00AE4B8A" w:rsidRPr="00441B53" w:rsidRDefault="00AE4B8A" w:rsidP="00AE4B8A">
            <w:pPr>
              <w:pStyle w:val="Normlny0"/>
              <w:jc w:val="center"/>
            </w:pPr>
            <w:r w:rsidRPr="00441B53">
              <w:t xml:space="preserve">§ 72 </w:t>
            </w:r>
          </w:p>
          <w:p w:rsidR="00AE4B8A" w:rsidRPr="00441B53" w:rsidRDefault="00AE4B8A" w:rsidP="00AE4B8A">
            <w:pPr>
              <w:pStyle w:val="Normlny0"/>
              <w:jc w:val="center"/>
            </w:pPr>
            <w:r w:rsidRPr="00441B53">
              <w:t>ods. 1</w:t>
            </w:r>
          </w:p>
          <w:p w:rsidR="00AE4B8A" w:rsidRPr="00441B53" w:rsidRDefault="00AE4B8A" w:rsidP="00AE4B8A">
            <w:pPr>
              <w:pStyle w:val="Normlny0"/>
              <w:jc w:val="center"/>
            </w:pPr>
            <w:r w:rsidRPr="00441B53">
              <w:t xml:space="preserve">Príloha </w:t>
            </w:r>
          </w:p>
          <w:p w:rsidR="00AE4B8A" w:rsidRPr="00441B53" w:rsidRDefault="00AE4B8A" w:rsidP="00AE4B8A">
            <w:pPr>
              <w:pStyle w:val="Normlny0"/>
              <w:jc w:val="center"/>
            </w:pPr>
            <w:r w:rsidRPr="00441B53">
              <w:t>č. 2</w:t>
            </w:r>
          </w:p>
          <w:p w:rsidR="00AE4B8A" w:rsidRDefault="00AE4B8A" w:rsidP="00AE4B8A">
            <w:pPr>
              <w:pStyle w:val="Normlny0"/>
              <w:jc w:val="center"/>
            </w:pPr>
          </w:p>
          <w:p w:rsidR="000334B9" w:rsidRDefault="000334B9" w:rsidP="00AE4B8A">
            <w:pPr>
              <w:pStyle w:val="Normlny0"/>
              <w:jc w:val="center"/>
            </w:pPr>
          </w:p>
          <w:p w:rsidR="000334B9" w:rsidRDefault="000334B9" w:rsidP="00AE4B8A">
            <w:pPr>
              <w:pStyle w:val="Normlny0"/>
              <w:jc w:val="center"/>
            </w:pPr>
          </w:p>
          <w:p w:rsidR="000334B9" w:rsidRPr="00441B53" w:rsidRDefault="000334B9" w:rsidP="00AE4B8A">
            <w:pPr>
              <w:pStyle w:val="Normlny0"/>
              <w:jc w:val="center"/>
            </w:pPr>
          </w:p>
          <w:p w:rsidR="00AE4B8A" w:rsidRPr="00441B53" w:rsidRDefault="00AE4B8A" w:rsidP="00AE4B8A">
            <w:pPr>
              <w:pStyle w:val="Normlny0"/>
              <w:jc w:val="center"/>
              <w:rPr>
                <w:b/>
              </w:rPr>
            </w:pPr>
            <w:r w:rsidRPr="00441B53">
              <w:rPr>
                <w:b/>
              </w:rPr>
              <w:t xml:space="preserve">Bod </w:t>
            </w:r>
            <w:r w:rsidR="005B7B7A" w:rsidRPr="00441B53">
              <w:rPr>
                <w:b/>
              </w:rPr>
              <w:t>10</w:t>
            </w:r>
          </w:p>
          <w:p w:rsidR="00AE4B8A" w:rsidRPr="00441B53" w:rsidRDefault="00AE4B8A" w:rsidP="00C33219">
            <w:pPr>
              <w:pStyle w:val="Normlny0"/>
              <w:jc w:val="center"/>
            </w:pPr>
          </w:p>
          <w:p w:rsidR="00AE4B8A" w:rsidRPr="00441B53" w:rsidRDefault="00AE4B8A" w:rsidP="00C33219">
            <w:pPr>
              <w:pStyle w:val="Normlny0"/>
              <w:jc w:val="center"/>
            </w:pPr>
          </w:p>
          <w:p w:rsidR="00AE4B8A" w:rsidRPr="00441B53" w:rsidRDefault="00AE4B8A" w:rsidP="00C33219">
            <w:pPr>
              <w:pStyle w:val="Normlny0"/>
              <w:jc w:val="center"/>
            </w:pPr>
          </w:p>
          <w:p w:rsidR="00D633D4" w:rsidRPr="00441B53" w:rsidRDefault="00D633D4" w:rsidP="00C33219">
            <w:pPr>
              <w:pStyle w:val="Normlny0"/>
              <w:jc w:val="center"/>
            </w:pPr>
          </w:p>
          <w:p w:rsidR="00AE4B8A" w:rsidRPr="00441B53" w:rsidRDefault="00AE4B8A" w:rsidP="00C33219">
            <w:pPr>
              <w:pStyle w:val="Normlny0"/>
              <w:jc w:val="center"/>
            </w:pPr>
            <w:r w:rsidRPr="00441B53">
              <w:t>§ 35 ods.7</w:t>
            </w:r>
          </w:p>
        </w:tc>
        <w:tc>
          <w:tcPr>
            <w:tcW w:w="5609" w:type="dxa"/>
            <w:tcBorders>
              <w:top w:val="single" w:sz="4" w:space="0" w:color="auto"/>
              <w:left w:val="single" w:sz="4" w:space="0" w:color="auto"/>
              <w:bottom w:val="single" w:sz="4" w:space="0" w:color="auto"/>
              <w:right w:val="single" w:sz="4" w:space="0" w:color="auto"/>
            </w:tcBorders>
          </w:tcPr>
          <w:p w:rsidR="000334B9" w:rsidRPr="000334B9" w:rsidRDefault="000334B9" w:rsidP="000334B9">
            <w:pPr>
              <w:spacing w:after="0"/>
              <w:jc w:val="both"/>
              <w:rPr>
                <w:b/>
                <w:sz w:val="20"/>
                <w:szCs w:val="20"/>
              </w:rPr>
            </w:pPr>
            <w:r w:rsidRPr="000334B9">
              <w:rPr>
                <w:b/>
                <w:sz w:val="20"/>
                <w:szCs w:val="20"/>
              </w:rPr>
              <w:t xml:space="preserve">Tento zákon nadobúda účinnosť 1. júla 2021 okrem čl. I bodov 65, 67, 106, 110 a 113, ktoré nadobúdajú účinnosť 1. októbra 2021, čl. I bodu 125, ktorý nadobúda účinnosť 1. novembra 2021, čl. I bodu 69, ktorý nadobúda účinnosť 1. januára 2022, čl.  I bodov 6, 16, 19, 36, 38, 85, 114 a § 76f v bode 124, ktoré nadobúdajú účinnosť 1. júla 2022 a čl. I bodov 15, 17, 18, 20 až 22, 46, 53 až 58, 61 až 64, 66, 68, 70, 82 až 84, 87 až 92, 98, 102, 104, 105 a § 76g v bode 124, ktoré nadobúdajú účinnosť 13. februára 2023. </w:t>
            </w:r>
          </w:p>
          <w:p w:rsidR="000334B9" w:rsidRDefault="000334B9" w:rsidP="000334B9">
            <w:pPr>
              <w:spacing w:after="0"/>
              <w:jc w:val="both"/>
            </w:pPr>
          </w:p>
          <w:p w:rsidR="00AE4B8A" w:rsidRPr="00441B53" w:rsidRDefault="00AE4B8A" w:rsidP="005B7B7A">
            <w:pPr>
              <w:spacing w:before="0" w:beforeAutospacing="0" w:after="0" w:afterAutospacing="0"/>
              <w:ind w:right="180"/>
              <w:jc w:val="both"/>
              <w:rPr>
                <w:sz w:val="20"/>
                <w:szCs w:val="20"/>
              </w:rPr>
            </w:pPr>
            <w:r w:rsidRPr="00441B53">
              <w:rPr>
                <w:sz w:val="20"/>
                <w:szCs w:val="20"/>
              </w:rPr>
              <w:t>Týmto zákonom sa preberajú právne záväzné akty Európskej únie uvedené v prílohe č. 2.</w:t>
            </w:r>
          </w:p>
          <w:p w:rsidR="00AE4B8A" w:rsidRPr="00441B53" w:rsidRDefault="00AE4B8A" w:rsidP="005B7B7A">
            <w:pPr>
              <w:spacing w:before="0" w:beforeAutospacing="0" w:after="0" w:afterAutospacing="0"/>
              <w:ind w:right="180"/>
              <w:jc w:val="both"/>
              <w:rPr>
                <w:sz w:val="20"/>
                <w:szCs w:val="20"/>
              </w:rPr>
            </w:pPr>
            <w:r w:rsidRPr="00441B53">
              <w:rPr>
                <w:sz w:val="20"/>
                <w:szCs w:val="20"/>
              </w:rPr>
              <w:t>ZOZNAM PREBERANÝCH PRÁVNE ZÁVÄZNÝCH AKTOV EURÓPSKEJ ÚNIE</w:t>
            </w:r>
          </w:p>
          <w:p w:rsidR="00AE4B8A" w:rsidRPr="00441B53" w:rsidRDefault="00AE4B8A" w:rsidP="005B7B7A">
            <w:pPr>
              <w:spacing w:before="0" w:beforeAutospacing="0" w:after="0" w:afterAutospacing="0"/>
              <w:ind w:left="137" w:right="180"/>
              <w:jc w:val="both"/>
              <w:rPr>
                <w:sz w:val="20"/>
                <w:szCs w:val="20"/>
              </w:rPr>
            </w:pPr>
          </w:p>
          <w:p w:rsidR="00AE4B8A" w:rsidRPr="00441B53" w:rsidRDefault="005B7B7A" w:rsidP="005B7B7A">
            <w:pPr>
              <w:spacing w:before="0" w:beforeAutospacing="0" w:after="0" w:afterAutospacing="0"/>
              <w:ind w:right="180"/>
              <w:jc w:val="both"/>
              <w:rPr>
                <w:b/>
                <w:iCs/>
                <w:sz w:val="20"/>
                <w:szCs w:val="20"/>
              </w:rPr>
            </w:pPr>
            <w:r w:rsidRPr="00441B53">
              <w:rPr>
                <w:b/>
                <w:sz w:val="20"/>
                <w:szCs w:val="20"/>
              </w:rPr>
              <w:t>10</w:t>
            </w:r>
            <w:r w:rsidR="00AE4B8A" w:rsidRPr="00441B53">
              <w:rPr>
                <w:b/>
                <w:sz w:val="20"/>
                <w:szCs w:val="20"/>
              </w:rPr>
              <w:t xml:space="preserve">. </w:t>
            </w:r>
            <w:r w:rsidRPr="00441B53">
              <w:rPr>
                <w:b/>
                <w:bCs/>
                <w:sz w:val="20"/>
                <w:szCs w:val="20"/>
              </w:rPr>
              <w:t>SMERNICA RADY (EÚ) 2020/1151 z 29. júla 2020, ktorou sa mení smernica 92/83/EHS o zosúladení štruktúr spotrebných daní pre etanol a alkoholické nápoje</w:t>
            </w:r>
            <w:r w:rsidR="00AE4B8A" w:rsidRPr="00441B53">
              <w:rPr>
                <w:b/>
                <w:sz w:val="20"/>
                <w:szCs w:val="20"/>
              </w:rPr>
              <w:t xml:space="preserve"> (</w:t>
            </w:r>
            <w:r w:rsidR="00AE4B8A" w:rsidRPr="00441B53">
              <w:rPr>
                <w:b/>
                <w:iCs/>
                <w:sz w:val="20"/>
                <w:szCs w:val="20"/>
              </w:rPr>
              <w:t xml:space="preserve">Ú. v. EÚ L </w:t>
            </w:r>
            <w:r w:rsidR="0027335F" w:rsidRPr="00441B53">
              <w:rPr>
                <w:b/>
                <w:iCs/>
                <w:sz w:val="20"/>
                <w:szCs w:val="20"/>
              </w:rPr>
              <w:t>256</w:t>
            </w:r>
            <w:r w:rsidR="00AE4B8A" w:rsidRPr="00441B53">
              <w:rPr>
                <w:b/>
                <w:iCs/>
                <w:sz w:val="20"/>
                <w:szCs w:val="20"/>
              </w:rPr>
              <w:t xml:space="preserve">, </w:t>
            </w:r>
            <w:r w:rsidRPr="00441B53">
              <w:rPr>
                <w:b/>
                <w:iCs/>
                <w:sz w:val="20"/>
                <w:szCs w:val="20"/>
              </w:rPr>
              <w:t>5.8.2020</w:t>
            </w:r>
            <w:r w:rsidR="00AE4B8A" w:rsidRPr="00441B53">
              <w:rPr>
                <w:b/>
                <w:iCs/>
                <w:sz w:val="20"/>
                <w:szCs w:val="20"/>
              </w:rPr>
              <w:t>).</w:t>
            </w:r>
          </w:p>
          <w:p w:rsidR="00AE4B8A" w:rsidRPr="00441B53" w:rsidRDefault="00AE4B8A" w:rsidP="005B7B7A">
            <w:pPr>
              <w:spacing w:before="0" w:beforeAutospacing="0" w:after="0" w:afterAutospacing="0"/>
              <w:ind w:left="137" w:right="180"/>
              <w:jc w:val="both"/>
              <w:rPr>
                <w:b/>
                <w:iCs/>
                <w:sz w:val="20"/>
                <w:szCs w:val="20"/>
              </w:rPr>
            </w:pPr>
          </w:p>
          <w:p w:rsidR="00EA646D" w:rsidRPr="00441B53" w:rsidRDefault="00AE4B8A" w:rsidP="005B7B7A">
            <w:pPr>
              <w:spacing w:before="0" w:beforeAutospacing="0" w:after="0" w:afterAutospacing="0"/>
              <w:ind w:right="180"/>
              <w:jc w:val="both"/>
              <w:rPr>
                <w:b/>
                <w:sz w:val="20"/>
                <w:szCs w:val="20"/>
              </w:rPr>
            </w:pPr>
            <w:r w:rsidRPr="00441B53">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3" w:type="dxa"/>
            <w:tcBorders>
              <w:top w:val="single" w:sz="4" w:space="0" w:color="auto"/>
              <w:left w:val="single" w:sz="4" w:space="0" w:color="auto"/>
              <w:bottom w:val="single" w:sz="4" w:space="0" w:color="auto"/>
              <w:right w:val="single" w:sz="4" w:space="0" w:color="auto"/>
            </w:tcBorders>
          </w:tcPr>
          <w:p w:rsidR="00EA646D" w:rsidRPr="00441B53" w:rsidRDefault="004A4863">
            <w:pPr>
              <w:autoSpaceDE w:val="0"/>
              <w:autoSpaceDN w:val="0"/>
              <w:spacing w:before="0" w:beforeAutospacing="0" w:after="0" w:afterAutospacing="0"/>
              <w:jc w:val="center"/>
              <w:rPr>
                <w:sz w:val="20"/>
                <w:szCs w:val="20"/>
              </w:rPr>
            </w:pPr>
            <w:r w:rsidRPr="00441B53">
              <w:rPr>
                <w:sz w:val="20"/>
                <w:szCs w:val="20"/>
              </w:rPr>
              <w:t>Ú</w:t>
            </w:r>
          </w:p>
        </w:tc>
        <w:tc>
          <w:tcPr>
            <w:tcW w:w="633" w:type="dxa"/>
            <w:tcBorders>
              <w:top w:val="single" w:sz="4" w:space="0" w:color="auto"/>
              <w:left w:val="single" w:sz="4" w:space="0" w:color="auto"/>
              <w:bottom w:val="single" w:sz="4" w:space="0" w:color="auto"/>
              <w:right w:val="single" w:sz="12" w:space="0" w:color="auto"/>
            </w:tcBorders>
          </w:tcPr>
          <w:p w:rsidR="00EA646D" w:rsidRPr="00441B53" w:rsidRDefault="00EA646D">
            <w:pPr>
              <w:pStyle w:val="Nadpis1"/>
              <w:rPr>
                <w:b w:val="0"/>
                <w:bCs w:val="0"/>
                <w:sz w:val="20"/>
                <w:szCs w:val="20"/>
              </w:rPr>
            </w:pPr>
          </w:p>
        </w:tc>
      </w:tr>
      <w:tr w:rsidR="00631354" w:rsidRPr="00924B99" w:rsidTr="00631354">
        <w:trPr>
          <w:trHeight w:val="47"/>
        </w:trPr>
        <w:tc>
          <w:tcPr>
            <w:tcW w:w="682" w:type="dxa"/>
            <w:tcBorders>
              <w:top w:val="single" w:sz="4" w:space="0" w:color="auto"/>
              <w:left w:val="single" w:sz="12" w:space="0" w:color="auto"/>
              <w:bottom w:val="single" w:sz="4" w:space="0" w:color="auto"/>
              <w:right w:val="single" w:sz="4" w:space="0" w:color="auto"/>
            </w:tcBorders>
          </w:tcPr>
          <w:p w:rsidR="00631354" w:rsidRPr="00441B53" w:rsidRDefault="00631354" w:rsidP="00AE4B8A">
            <w:pPr>
              <w:autoSpaceDE w:val="0"/>
              <w:autoSpaceDN w:val="0"/>
              <w:spacing w:before="0" w:beforeAutospacing="0" w:after="0" w:afterAutospacing="0"/>
              <w:jc w:val="center"/>
              <w:rPr>
                <w:sz w:val="20"/>
                <w:szCs w:val="20"/>
              </w:rPr>
            </w:pPr>
            <w:r w:rsidRPr="00441B53">
              <w:rPr>
                <w:sz w:val="20"/>
                <w:szCs w:val="20"/>
              </w:rPr>
              <w:t>Čl. 3</w:t>
            </w:r>
          </w:p>
        </w:tc>
        <w:tc>
          <w:tcPr>
            <w:tcW w:w="5812" w:type="dxa"/>
            <w:tcBorders>
              <w:top w:val="single" w:sz="4" w:space="0" w:color="auto"/>
              <w:left w:val="single" w:sz="4" w:space="0" w:color="auto"/>
              <w:bottom w:val="single" w:sz="4" w:space="0" w:color="auto"/>
              <w:right w:val="single" w:sz="4" w:space="0" w:color="auto"/>
            </w:tcBorders>
          </w:tcPr>
          <w:p w:rsidR="00631354" w:rsidRPr="00441B53" w:rsidRDefault="00631354" w:rsidP="00631354">
            <w:pPr>
              <w:pStyle w:val="Bezriadkovania"/>
              <w:spacing w:beforeAutospacing="0" w:afterAutospacing="0"/>
              <w:jc w:val="both"/>
              <w:rPr>
                <w:sz w:val="20"/>
                <w:szCs w:val="20"/>
              </w:rPr>
            </w:pPr>
            <w:r w:rsidRPr="00441B53">
              <w:rPr>
                <w:sz w:val="20"/>
                <w:szCs w:val="20"/>
                <w:shd w:val="clear" w:color="auto" w:fill="FFFFFF"/>
              </w:rPr>
              <w:t>Táto smernica nadobúda účinnosť dvadsiatym dňom po jej uverejnení v </w:t>
            </w:r>
            <w:r w:rsidRPr="00441B53">
              <w:rPr>
                <w:rStyle w:val="oj-italic"/>
                <w:iCs/>
                <w:sz w:val="20"/>
                <w:szCs w:val="20"/>
                <w:shd w:val="clear" w:color="auto" w:fill="FFFFFF"/>
              </w:rPr>
              <w:t>Úradnom vestníku Európskej únie</w:t>
            </w:r>
            <w:r w:rsidRPr="00441B53">
              <w:rPr>
                <w:sz w:val="20"/>
                <w:szCs w:val="20"/>
                <w:shd w:val="clear" w:color="auto" w:fill="FFFFFF"/>
              </w:rPr>
              <w:t>.</w:t>
            </w:r>
          </w:p>
        </w:tc>
        <w:tc>
          <w:tcPr>
            <w:tcW w:w="1245" w:type="dxa"/>
            <w:tcBorders>
              <w:top w:val="single" w:sz="4" w:space="0" w:color="auto"/>
              <w:left w:val="single" w:sz="4" w:space="0" w:color="auto"/>
              <w:bottom w:val="single" w:sz="4" w:space="0" w:color="auto"/>
              <w:right w:val="single" w:sz="12" w:space="0" w:color="auto"/>
            </w:tcBorders>
          </w:tcPr>
          <w:p w:rsidR="00631354" w:rsidRPr="00441B53" w:rsidRDefault="00631354">
            <w:pPr>
              <w:autoSpaceDE w:val="0"/>
              <w:autoSpaceDN w:val="0"/>
              <w:spacing w:before="0" w:beforeAutospacing="0" w:after="0" w:afterAutospacing="0"/>
              <w:jc w:val="center"/>
              <w:rPr>
                <w:sz w:val="20"/>
                <w:szCs w:val="20"/>
              </w:rPr>
            </w:pPr>
            <w:r w:rsidRPr="00441B53">
              <w:rPr>
                <w:sz w:val="20"/>
                <w:szCs w:val="20"/>
              </w:rPr>
              <w:t>n.a.</w:t>
            </w:r>
          </w:p>
        </w:tc>
        <w:tc>
          <w:tcPr>
            <w:tcW w:w="846" w:type="dxa"/>
            <w:tcBorders>
              <w:top w:val="single" w:sz="4" w:space="0" w:color="auto"/>
              <w:left w:val="nil"/>
              <w:bottom w:val="single" w:sz="4" w:space="0" w:color="auto"/>
              <w:right w:val="single" w:sz="4" w:space="0" w:color="auto"/>
            </w:tcBorders>
          </w:tcPr>
          <w:p w:rsidR="00631354" w:rsidRPr="00441B53" w:rsidRDefault="00631354" w:rsidP="00AE4B8A">
            <w:pPr>
              <w:autoSpaceDE w:val="0"/>
              <w:autoSpaceDN w:val="0"/>
              <w:spacing w:before="0" w:beforeAutospacing="0" w:after="0" w:afterAutospacing="0"/>
              <w:jc w:val="center"/>
              <w:rPr>
                <w:b/>
                <w:sz w:val="20"/>
                <w:szCs w:val="20"/>
              </w:rPr>
            </w:pPr>
          </w:p>
        </w:tc>
        <w:tc>
          <w:tcPr>
            <w:tcW w:w="886" w:type="dxa"/>
            <w:tcBorders>
              <w:top w:val="single" w:sz="4" w:space="0" w:color="auto"/>
              <w:left w:val="single" w:sz="4" w:space="0" w:color="auto"/>
              <w:bottom w:val="single" w:sz="4" w:space="0" w:color="auto"/>
              <w:right w:val="single" w:sz="4" w:space="0" w:color="auto"/>
            </w:tcBorders>
          </w:tcPr>
          <w:p w:rsidR="00631354" w:rsidRPr="00441B53" w:rsidRDefault="00631354" w:rsidP="00C33219">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631354" w:rsidRPr="00441B53" w:rsidRDefault="00631354" w:rsidP="005B7B7A">
            <w:pPr>
              <w:spacing w:before="0" w:beforeAutospacing="0" w:after="0" w:afterAutospacing="0"/>
              <w:jc w:val="both"/>
              <w:rPr>
                <w:b/>
                <w:sz w:val="20"/>
                <w:szCs w:val="20"/>
              </w:rPr>
            </w:pPr>
          </w:p>
        </w:tc>
        <w:tc>
          <w:tcPr>
            <w:tcW w:w="423" w:type="dxa"/>
            <w:tcBorders>
              <w:top w:val="single" w:sz="4" w:space="0" w:color="auto"/>
              <w:left w:val="single" w:sz="4" w:space="0" w:color="auto"/>
              <w:bottom w:val="single" w:sz="4" w:space="0" w:color="auto"/>
              <w:right w:val="single" w:sz="4" w:space="0" w:color="auto"/>
            </w:tcBorders>
          </w:tcPr>
          <w:p w:rsidR="00631354" w:rsidRPr="00441B53" w:rsidRDefault="00631354">
            <w:pPr>
              <w:autoSpaceDE w:val="0"/>
              <w:autoSpaceDN w:val="0"/>
              <w:spacing w:before="0" w:beforeAutospacing="0" w:after="0" w:afterAutospacing="0"/>
              <w:jc w:val="center"/>
              <w:rPr>
                <w:sz w:val="20"/>
                <w:szCs w:val="20"/>
              </w:rPr>
            </w:pPr>
            <w:r w:rsidRPr="00441B53">
              <w:rPr>
                <w:sz w:val="20"/>
                <w:szCs w:val="20"/>
              </w:rPr>
              <w:t>n.a.</w:t>
            </w:r>
          </w:p>
        </w:tc>
        <w:tc>
          <w:tcPr>
            <w:tcW w:w="633" w:type="dxa"/>
            <w:tcBorders>
              <w:top w:val="single" w:sz="4" w:space="0" w:color="auto"/>
              <w:left w:val="single" w:sz="4" w:space="0" w:color="auto"/>
              <w:bottom w:val="single" w:sz="4" w:space="0" w:color="auto"/>
              <w:right w:val="single" w:sz="12" w:space="0" w:color="auto"/>
            </w:tcBorders>
          </w:tcPr>
          <w:p w:rsidR="00631354" w:rsidRPr="00441B53" w:rsidRDefault="00631354">
            <w:pPr>
              <w:pStyle w:val="Nadpis1"/>
              <w:rPr>
                <w:b w:val="0"/>
                <w:bCs w:val="0"/>
                <w:sz w:val="20"/>
                <w:szCs w:val="20"/>
              </w:rPr>
            </w:pPr>
          </w:p>
        </w:tc>
      </w:tr>
      <w:tr w:rsidR="00631354" w:rsidRPr="00924B99" w:rsidTr="00631354">
        <w:trPr>
          <w:trHeight w:val="843"/>
        </w:trPr>
        <w:tc>
          <w:tcPr>
            <w:tcW w:w="682" w:type="dxa"/>
            <w:tcBorders>
              <w:top w:val="single" w:sz="4" w:space="0" w:color="auto"/>
              <w:left w:val="single" w:sz="12" w:space="0" w:color="auto"/>
              <w:bottom w:val="single" w:sz="4" w:space="0" w:color="auto"/>
              <w:right w:val="single" w:sz="4" w:space="0" w:color="auto"/>
            </w:tcBorders>
          </w:tcPr>
          <w:p w:rsidR="00631354" w:rsidRPr="00441B53" w:rsidRDefault="00631354" w:rsidP="00AE4B8A">
            <w:pPr>
              <w:autoSpaceDE w:val="0"/>
              <w:autoSpaceDN w:val="0"/>
              <w:spacing w:before="0" w:beforeAutospacing="0" w:after="0" w:afterAutospacing="0"/>
              <w:jc w:val="center"/>
              <w:rPr>
                <w:sz w:val="20"/>
                <w:szCs w:val="20"/>
              </w:rPr>
            </w:pPr>
            <w:r w:rsidRPr="00441B53">
              <w:rPr>
                <w:sz w:val="20"/>
                <w:szCs w:val="20"/>
              </w:rPr>
              <w:t>Čl. 4</w:t>
            </w:r>
          </w:p>
        </w:tc>
        <w:tc>
          <w:tcPr>
            <w:tcW w:w="5812" w:type="dxa"/>
            <w:tcBorders>
              <w:top w:val="single" w:sz="4" w:space="0" w:color="auto"/>
              <w:left w:val="single" w:sz="4" w:space="0" w:color="auto"/>
              <w:bottom w:val="single" w:sz="4" w:space="0" w:color="auto"/>
              <w:right w:val="single" w:sz="4" w:space="0" w:color="auto"/>
            </w:tcBorders>
          </w:tcPr>
          <w:p w:rsidR="00631354" w:rsidRPr="00441B53" w:rsidRDefault="00631354" w:rsidP="00631354">
            <w:pPr>
              <w:pStyle w:val="oj-normal"/>
              <w:shd w:val="clear" w:color="auto" w:fill="FFFFFF"/>
              <w:spacing w:before="0" w:beforeAutospacing="0" w:after="0" w:afterAutospacing="0"/>
              <w:jc w:val="both"/>
              <w:rPr>
                <w:sz w:val="20"/>
                <w:szCs w:val="20"/>
              </w:rPr>
            </w:pPr>
            <w:r w:rsidRPr="00441B53">
              <w:rPr>
                <w:sz w:val="20"/>
                <w:szCs w:val="20"/>
              </w:rPr>
              <w:t>Táto smernica je určená členským štátom.</w:t>
            </w:r>
          </w:p>
          <w:p w:rsidR="00631354" w:rsidRPr="00441B53" w:rsidRDefault="00631354" w:rsidP="00631354">
            <w:pPr>
              <w:pStyle w:val="oj-normal"/>
              <w:shd w:val="clear" w:color="auto" w:fill="FFFFFF"/>
              <w:spacing w:before="0" w:beforeAutospacing="0" w:after="0" w:afterAutospacing="0"/>
              <w:jc w:val="both"/>
              <w:rPr>
                <w:sz w:val="20"/>
                <w:szCs w:val="20"/>
              </w:rPr>
            </w:pPr>
            <w:r w:rsidRPr="00441B53">
              <w:rPr>
                <w:sz w:val="20"/>
                <w:szCs w:val="20"/>
              </w:rPr>
              <w:t>V Bruseli 29. júla 2020</w:t>
            </w:r>
          </w:p>
          <w:p w:rsidR="00631354" w:rsidRPr="00441B53" w:rsidRDefault="00631354" w:rsidP="00631354">
            <w:pPr>
              <w:pStyle w:val="oj-signatory"/>
              <w:shd w:val="clear" w:color="auto" w:fill="FFFFFF"/>
              <w:spacing w:before="0" w:beforeAutospacing="0" w:after="0" w:afterAutospacing="0"/>
              <w:jc w:val="center"/>
              <w:rPr>
                <w:sz w:val="20"/>
                <w:szCs w:val="20"/>
              </w:rPr>
            </w:pPr>
            <w:r w:rsidRPr="00441B53">
              <w:rPr>
                <w:rStyle w:val="oj-italic"/>
                <w:iCs/>
                <w:sz w:val="20"/>
                <w:szCs w:val="20"/>
              </w:rPr>
              <w:t>Za Radu</w:t>
            </w:r>
          </w:p>
          <w:p w:rsidR="00631354" w:rsidRPr="00441B53" w:rsidRDefault="00631354" w:rsidP="00631354">
            <w:pPr>
              <w:pStyle w:val="oj-signatory"/>
              <w:shd w:val="clear" w:color="auto" w:fill="FFFFFF"/>
              <w:spacing w:before="0" w:beforeAutospacing="0" w:after="0" w:afterAutospacing="0"/>
              <w:jc w:val="center"/>
              <w:rPr>
                <w:sz w:val="20"/>
                <w:szCs w:val="20"/>
              </w:rPr>
            </w:pPr>
            <w:r w:rsidRPr="00441B53">
              <w:rPr>
                <w:rStyle w:val="oj-italic"/>
                <w:iCs/>
                <w:sz w:val="20"/>
                <w:szCs w:val="20"/>
              </w:rPr>
              <w:t>predseda</w:t>
            </w:r>
          </w:p>
          <w:p w:rsidR="00631354" w:rsidRPr="00441B53" w:rsidRDefault="00631354" w:rsidP="00631354">
            <w:pPr>
              <w:pStyle w:val="oj-signatory"/>
              <w:shd w:val="clear" w:color="auto" w:fill="FFFFFF"/>
              <w:spacing w:before="0" w:beforeAutospacing="0" w:after="0" w:afterAutospacing="0"/>
              <w:jc w:val="center"/>
              <w:rPr>
                <w:sz w:val="20"/>
                <w:szCs w:val="20"/>
              </w:rPr>
            </w:pPr>
            <w:r w:rsidRPr="00441B53">
              <w:rPr>
                <w:sz w:val="20"/>
                <w:szCs w:val="20"/>
              </w:rPr>
              <w:t>M. ROTH</w:t>
            </w:r>
          </w:p>
          <w:p w:rsidR="00631354" w:rsidRPr="00441B53" w:rsidRDefault="00631354" w:rsidP="00631354">
            <w:pPr>
              <w:pStyle w:val="Bezriadkovania"/>
              <w:spacing w:beforeAutospacing="0" w:afterAutospacing="0"/>
              <w:jc w:val="both"/>
              <w:rPr>
                <w:sz w:val="20"/>
                <w:szCs w:val="20"/>
                <w:shd w:val="clear" w:color="auto" w:fill="FFFFFF"/>
              </w:rPr>
            </w:pPr>
          </w:p>
        </w:tc>
        <w:tc>
          <w:tcPr>
            <w:tcW w:w="1245" w:type="dxa"/>
            <w:tcBorders>
              <w:top w:val="single" w:sz="4" w:space="0" w:color="auto"/>
              <w:left w:val="single" w:sz="4" w:space="0" w:color="auto"/>
              <w:bottom w:val="single" w:sz="4" w:space="0" w:color="auto"/>
              <w:right w:val="single" w:sz="12" w:space="0" w:color="auto"/>
            </w:tcBorders>
          </w:tcPr>
          <w:p w:rsidR="00631354" w:rsidRPr="00441B53" w:rsidRDefault="00631354">
            <w:pPr>
              <w:autoSpaceDE w:val="0"/>
              <w:autoSpaceDN w:val="0"/>
              <w:spacing w:before="0" w:beforeAutospacing="0" w:after="0" w:afterAutospacing="0"/>
              <w:jc w:val="center"/>
              <w:rPr>
                <w:sz w:val="20"/>
                <w:szCs w:val="20"/>
              </w:rPr>
            </w:pPr>
            <w:r w:rsidRPr="00441B53">
              <w:rPr>
                <w:sz w:val="20"/>
                <w:szCs w:val="20"/>
              </w:rPr>
              <w:t>n.a.</w:t>
            </w:r>
          </w:p>
        </w:tc>
        <w:tc>
          <w:tcPr>
            <w:tcW w:w="846" w:type="dxa"/>
            <w:tcBorders>
              <w:top w:val="single" w:sz="4" w:space="0" w:color="auto"/>
              <w:left w:val="nil"/>
              <w:bottom w:val="single" w:sz="4" w:space="0" w:color="auto"/>
              <w:right w:val="single" w:sz="4" w:space="0" w:color="auto"/>
            </w:tcBorders>
          </w:tcPr>
          <w:p w:rsidR="00631354" w:rsidRPr="00441B53" w:rsidRDefault="00631354" w:rsidP="00AE4B8A">
            <w:pPr>
              <w:autoSpaceDE w:val="0"/>
              <w:autoSpaceDN w:val="0"/>
              <w:spacing w:before="0" w:beforeAutospacing="0" w:after="0" w:afterAutospacing="0"/>
              <w:jc w:val="center"/>
              <w:rPr>
                <w:b/>
                <w:sz w:val="20"/>
                <w:szCs w:val="20"/>
              </w:rPr>
            </w:pPr>
          </w:p>
        </w:tc>
        <w:tc>
          <w:tcPr>
            <w:tcW w:w="886" w:type="dxa"/>
            <w:tcBorders>
              <w:top w:val="single" w:sz="4" w:space="0" w:color="auto"/>
              <w:left w:val="single" w:sz="4" w:space="0" w:color="auto"/>
              <w:bottom w:val="single" w:sz="4" w:space="0" w:color="auto"/>
              <w:right w:val="single" w:sz="4" w:space="0" w:color="auto"/>
            </w:tcBorders>
          </w:tcPr>
          <w:p w:rsidR="00631354" w:rsidRPr="00441B53" w:rsidRDefault="00631354" w:rsidP="00C33219">
            <w:pPr>
              <w:pStyle w:val="Normlny0"/>
              <w:jc w:val="center"/>
            </w:pPr>
          </w:p>
        </w:tc>
        <w:tc>
          <w:tcPr>
            <w:tcW w:w="5609" w:type="dxa"/>
            <w:tcBorders>
              <w:top w:val="single" w:sz="4" w:space="0" w:color="auto"/>
              <w:left w:val="single" w:sz="4" w:space="0" w:color="auto"/>
              <w:bottom w:val="single" w:sz="4" w:space="0" w:color="auto"/>
              <w:right w:val="single" w:sz="4" w:space="0" w:color="auto"/>
            </w:tcBorders>
          </w:tcPr>
          <w:p w:rsidR="00631354" w:rsidRPr="00441B53" w:rsidRDefault="00631354" w:rsidP="005B7B7A">
            <w:pPr>
              <w:spacing w:before="0" w:beforeAutospacing="0" w:after="0" w:afterAutospacing="0"/>
              <w:jc w:val="both"/>
              <w:rPr>
                <w:b/>
                <w:sz w:val="20"/>
                <w:szCs w:val="20"/>
              </w:rPr>
            </w:pPr>
          </w:p>
        </w:tc>
        <w:tc>
          <w:tcPr>
            <w:tcW w:w="423" w:type="dxa"/>
            <w:tcBorders>
              <w:top w:val="single" w:sz="4" w:space="0" w:color="auto"/>
              <w:left w:val="single" w:sz="4" w:space="0" w:color="auto"/>
              <w:bottom w:val="single" w:sz="4" w:space="0" w:color="auto"/>
              <w:right w:val="single" w:sz="4" w:space="0" w:color="auto"/>
            </w:tcBorders>
          </w:tcPr>
          <w:p w:rsidR="00631354" w:rsidRPr="00441B53" w:rsidRDefault="00631354">
            <w:pPr>
              <w:autoSpaceDE w:val="0"/>
              <w:autoSpaceDN w:val="0"/>
              <w:spacing w:before="0" w:beforeAutospacing="0" w:after="0" w:afterAutospacing="0"/>
              <w:jc w:val="center"/>
              <w:rPr>
                <w:sz w:val="20"/>
                <w:szCs w:val="20"/>
              </w:rPr>
            </w:pPr>
            <w:r w:rsidRPr="00441B53">
              <w:rPr>
                <w:sz w:val="20"/>
                <w:szCs w:val="20"/>
              </w:rPr>
              <w:t>n.a.</w:t>
            </w:r>
          </w:p>
        </w:tc>
        <w:tc>
          <w:tcPr>
            <w:tcW w:w="633" w:type="dxa"/>
            <w:tcBorders>
              <w:top w:val="single" w:sz="4" w:space="0" w:color="auto"/>
              <w:left w:val="single" w:sz="4" w:space="0" w:color="auto"/>
              <w:bottom w:val="single" w:sz="4" w:space="0" w:color="auto"/>
              <w:right w:val="single" w:sz="12" w:space="0" w:color="auto"/>
            </w:tcBorders>
          </w:tcPr>
          <w:p w:rsidR="00631354" w:rsidRPr="00441B53" w:rsidRDefault="00631354">
            <w:pPr>
              <w:pStyle w:val="Nadpis1"/>
              <w:rPr>
                <w:b w:val="0"/>
                <w:bCs w:val="0"/>
                <w:sz w:val="20"/>
                <w:szCs w:val="20"/>
              </w:rPr>
            </w:pPr>
          </w:p>
        </w:tc>
      </w:tr>
    </w:tbl>
    <w:p w:rsidR="00AE4B8A" w:rsidRPr="00924B99" w:rsidRDefault="00AE4B8A" w:rsidP="005B7B7A">
      <w:pPr>
        <w:pStyle w:val="Hlavika"/>
        <w:tabs>
          <w:tab w:val="clear" w:pos="4536"/>
          <w:tab w:val="clear" w:pos="9072"/>
        </w:tabs>
        <w:autoSpaceDE/>
        <w:autoSpaceDN/>
        <w:rPr>
          <w:sz w:val="20"/>
          <w:szCs w:val="20"/>
        </w:rPr>
      </w:pPr>
    </w:p>
    <w:sectPr w:rsidR="00AE4B8A" w:rsidRPr="00924B99" w:rsidSect="00475447">
      <w:footerReference w:type="default" r:id="rId17"/>
      <w:pgSz w:w="16838" w:h="11906" w:orient="landscape" w:code="9"/>
      <w:pgMar w:top="851" w:right="851" w:bottom="851" w:left="851"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A61" w:rsidRDefault="008E2A61">
      <w:pPr>
        <w:autoSpaceDE w:val="0"/>
        <w:autoSpaceDN w:val="0"/>
        <w:spacing w:before="0" w:beforeAutospacing="0" w:after="0" w:afterAutospacing="0"/>
      </w:pPr>
      <w:r>
        <w:separator/>
      </w:r>
    </w:p>
  </w:endnote>
  <w:endnote w:type="continuationSeparator" w:id="0">
    <w:p w:rsidR="008E2A61" w:rsidRDefault="008E2A61">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63" w:rsidRDefault="004A4863">
    <w:pPr>
      <w:pStyle w:val="Pta"/>
      <w:jc w:val="center"/>
    </w:pPr>
    <w:r>
      <w:fldChar w:fldCharType="begin"/>
    </w:r>
    <w:r>
      <w:instrText>PAGE   \* MERGEFORMAT</w:instrText>
    </w:r>
    <w:r>
      <w:fldChar w:fldCharType="separate"/>
    </w:r>
    <w:r w:rsidR="00E26692">
      <w:rPr>
        <w:noProof/>
      </w:rPr>
      <w:t>2</w:t>
    </w:r>
    <w:r>
      <w:fldChar w:fldCharType="end"/>
    </w:r>
  </w:p>
  <w:p w:rsidR="004A4863" w:rsidRDefault="004A4863">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A61" w:rsidRDefault="008E2A61">
      <w:pPr>
        <w:autoSpaceDE w:val="0"/>
        <w:autoSpaceDN w:val="0"/>
        <w:spacing w:before="0" w:beforeAutospacing="0" w:after="0" w:afterAutospacing="0"/>
      </w:pPr>
      <w:r>
        <w:separator/>
      </w:r>
    </w:p>
  </w:footnote>
  <w:footnote w:type="continuationSeparator" w:id="0">
    <w:p w:rsidR="008E2A61" w:rsidRDefault="008E2A61">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A8F42A1"/>
    <w:multiLevelType w:val="hybridMultilevel"/>
    <w:tmpl w:val="CF98803A"/>
    <w:lvl w:ilvl="0" w:tplc="BB066AE6">
      <w:start w:val="1"/>
      <w:numFmt w:val="decimal"/>
      <w:lvlText w:val="%1."/>
      <w:lvlJc w:val="left"/>
      <w:pPr>
        <w:ind w:left="6031" w:hanging="360"/>
      </w:pPr>
      <w:rPr>
        <w:rFonts w:ascii="Times New Roman" w:eastAsia="Times New Roman" w:hAnsi="Times New Roman" w:cs="Times New Roman" w:hint="default"/>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5" w15:restartNumberingAfterBreak="0">
    <w:nsid w:val="149E218A"/>
    <w:multiLevelType w:val="hybridMultilevel"/>
    <w:tmpl w:val="78EC9486"/>
    <w:lvl w:ilvl="0" w:tplc="9F6425F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7" w15:restartNumberingAfterBreak="0">
    <w:nsid w:val="24E64017"/>
    <w:multiLevelType w:val="hybridMultilevel"/>
    <w:tmpl w:val="6F1888C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C707C06"/>
    <w:multiLevelType w:val="hybridMultilevel"/>
    <w:tmpl w:val="2F342A28"/>
    <w:lvl w:ilvl="0" w:tplc="37D6708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1C0484F"/>
    <w:multiLevelType w:val="hybridMultilevel"/>
    <w:tmpl w:val="4D12024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002DC3"/>
    <w:multiLevelType w:val="hybridMultilevel"/>
    <w:tmpl w:val="5AF619D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4"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B054AD3"/>
    <w:multiLevelType w:val="hybridMultilevel"/>
    <w:tmpl w:val="A3C6559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084A97"/>
    <w:multiLevelType w:val="hybridMultilevel"/>
    <w:tmpl w:val="AFA4D9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B62683"/>
    <w:multiLevelType w:val="singleLevel"/>
    <w:tmpl w:val="768E8086"/>
    <w:lvl w:ilvl="0">
      <w:start w:val="1"/>
      <w:numFmt w:val="bullet"/>
      <w:lvlText w:val="-"/>
      <w:lvlJc w:val="left"/>
      <w:pPr>
        <w:tabs>
          <w:tab w:val="num" w:pos="644"/>
        </w:tabs>
        <w:ind w:left="644" w:hanging="360"/>
      </w:pPr>
      <w:rPr>
        <w:rFonts w:hint="default"/>
      </w:rPr>
    </w:lvl>
  </w:abstractNum>
  <w:abstractNum w:abstractNumId="21" w15:restartNumberingAfterBreak="0">
    <w:nsid w:val="71BA304C"/>
    <w:multiLevelType w:val="hybridMultilevel"/>
    <w:tmpl w:val="EE6645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8646370"/>
    <w:multiLevelType w:val="hybridMultilevel"/>
    <w:tmpl w:val="78EC9486"/>
    <w:lvl w:ilvl="0" w:tplc="9F6425F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4"/>
    <w:lvlOverride w:ilvl="0">
      <w:startOverride w:val="3"/>
    </w:lvlOverride>
  </w:num>
  <w:num w:numId="3">
    <w:abstractNumId w:val="13"/>
  </w:num>
  <w:num w:numId="4">
    <w:abstractNumId w:val="13"/>
    <w:lvlOverride w:ilvl="0">
      <w:startOverride w:val="2"/>
    </w:lvlOverride>
  </w:num>
  <w:num w:numId="5">
    <w:abstractNumId w:val="6"/>
  </w:num>
  <w:num w:numId="6">
    <w:abstractNumId w:val="6"/>
    <w:lvlOverride w:ilvl="0">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19"/>
  </w:num>
  <w:num w:numId="12">
    <w:abstractNumId w:val="3"/>
  </w:num>
  <w:num w:numId="13">
    <w:abstractNumId w:val="17"/>
  </w:num>
  <w:num w:numId="14">
    <w:abstractNumId w:val="2"/>
  </w:num>
  <w:num w:numId="15">
    <w:abstractNumId w:val="16"/>
  </w:num>
  <w:num w:numId="16">
    <w:abstractNumId w:val="12"/>
  </w:num>
  <w:num w:numId="17">
    <w:abstractNumId w:val="22"/>
  </w:num>
  <w:num w:numId="18">
    <w:abstractNumId w:val="5"/>
  </w:num>
  <w:num w:numId="19">
    <w:abstractNumId w:val="20"/>
  </w:num>
  <w:num w:numId="20">
    <w:abstractNumId w:val="8"/>
  </w:num>
  <w:num w:numId="21">
    <w:abstractNumId w:val="9"/>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1"/>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149A"/>
    <w:rsid w:val="000334B9"/>
    <w:rsid w:val="00046034"/>
    <w:rsid w:val="00065891"/>
    <w:rsid w:val="000B20F3"/>
    <w:rsid w:val="000C2E53"/>
    <w:rsid w:val="000D14DB"/>
    <w:rsid w:val="000F1284"/>
    <w:rsid w:val="000F513B"/>
    <w:rsid w:val="00106321"/>
    <w:rsid w:val="00127033"/>
    <w:rsid w:val="001373DA"/>
    <w:rsid w:val="00142823"/>
    <w:rsid w:val="00153B33"/>
    <w:rsid w:val="0015634A"/>
    <w:rsid w:val="00180F38"/>
    <w:rsid w:val="001A6CC9"/>
    <w:rsid w:val="001B1ED9"/>
    <w:rsid w:val="001F1382"/>
    <w:rsid w:val="001F59BB"/>
    <w:rsid w:val="00217BF4"/>
    <w:rsid w:val="00263DFB"/>
    <w:rsid w:val="0026552F"/>
    <w:rsid w:val="00270E65"/>
    <w:rsid w:val="0027335F"/>
    <w:rsid w:val="00286A72"/>
    <w:rsid w:val="002A1564"/>
    <w:rsid w:val="002A7742"/>
    <w:rsid w:val="002B4435"/>
    <w:rsid w:val="002C50BB"/>
    <w:rsid w:val="002D0933"/>
    <w:rsid w:val="002E1D16"/>
    <w:rsid w:val="002E5AD9"/>
    <w:rsid w:val="00314A74"/>
    <w:rsid w:val="00316EFA"/>
    <w:rsid w:val="0035207F"/>
    <w:rsid w:val="0037745D"/>
    <w:rsid w:val="00391DC5"/>
    <w:rsid w:val="00393339"/>
    <w:rsid w:val="003936FE"/>
    <w:rsid w:val="003E7B78"/>
    <w:rsid w:val="0040478B"/>
    <w:rsid w:val="00424270"/>
    <w:rsid w:val="00436A7C"/>
    <w:rsid w:val="00440A2A"/>
    <w:rsid w:val="00441B53"/>
    <w:rsid w:val="004577EC"/>
    <w:rsid w:val="00475447"/>
    <w:rsid w:val="004808B5"/>
    <w:rsid w:val="004A4863"/>
    <w:rsid w:val="004C5101"/>
    <w:rsid w:val="005170A9"/>
    <w:rsid w:val="0052520A"/>
    <w:rsid w:val="0054175A"/>
    <w:rsid w:val="0056254E"/>
    <w:rsid w:val="005936B4"/>
    <w:rsid w:val="005947B8"/>
    <w:rsid w:val="00597A60"/>
    <w:rsid w:val="005A6375"/>
    <w:rsid w:val="005B7B7A"/>
    <w:rsid w:val="005D4EF6"/>
    <w:rsid w:val="005D546C"/>
    <w:rsid w:val="005E0477"/>
    <w:rsid w:val="005E147F"/>
    <w:rsid w:val="005F50F1"/>
    <w:rsid w:val="00603FD1"/>
    <w:rsid w:val="00611748"/>
    <w:rsid w:val="00631354"/>
    <w:rsid w:val="0064397E"/>
    <w:rsid w:val="00656B18"/>
    <w:rsid w:val="006718A1"/>
    <w:rsid w:val="006724DD"/>
    <w:rsid w:val="00683A6B"/>
    <w:rsid w:val="00683E8D"/>
    <w:rsid w:val="006D38BD"/>
    <w:rsid w:val="006E689D"/>
    <w:rsid w:val="0070143E"/>
    <w:rsid w:val="007354DF"/>
    <w:rsid w:val="00750FD1"/>
    <w:rsid w:val="00772CF5"/>
    <w:rsid w:val="0078287E"/>
    <w:rsid w:val="00845826"/>
    <w:rsid w:val="0086257B"/>
    <w:rsid w:val="00863627"/>
    <w:rsid w:val="00881CC7"/>
    <w:rsid w:val="008A0B4B"/>
    <w:rsid w:val="008A5161"/>
    <w:rsid w:val="008C54C3"/>
    <w:rsid w:val="008E2A61"/>
    <w:rsid w:val="0091636B"/>
    <w:rsid w:val="00924B99"/>
    <w:rsid w:val="00930B71"/>
    <w:rsid w:val="009612CE"/>
    <w:rsid w:val="0097019D"/>
    <w:rsid w:val="00971040"/>
    <w:rsid w:val="009719C2"/>
    <w:rsid w:val="009824BB"/>
    <w:rsid w:val="009826E3"/>
    <w:rsid w:val="009C5E2D"/>
    <w:rsid w:val="00A02F9A"/>
    <w:rsid w:val="00A16373"/>
    <w:rsid w:val="00A47BED"/>
    <w:rsid w:val="00A60D7D"/>
    <w:rsid w:val="00A6309B"/>
    <w:rsid w:val="00A7032A"/>
    <w:rsid w:val="00A705EB"/>
    <w:rsid w:val="00A77A87"/>
    <w:rsid w:val="00A81866"/>
    <w:rsid w:val="00A877DD"/>
    <w:rsid w:val="00A9063F"/>
    <w:rsid w:val="00A91B17"/>
    <w:rsid w:val="00AA3436"/>
    <w:rsid w:val="00AA3F6C"/>
    <w:rsid w:val="00AA55DA"/>
    <w:rsid w:val="00AB7D27"/>
    <w:rsid w:val="00AE4B8A"/>
    <w:rsid w:val="00AE5B92"/>
    <w:rsid w:val="00B151C6"/>
    <w:rsid w:val="00B50B01"/>
    <w:rsid w:val="00B52FAD"/>
    <w:rsid w:val="00B64B09"/>
    <w:rsid w:val="00B94C3D"/>
    <w:rsid w:val="00BA7A1E"/>
    <w:rsid w:val="00BA7AF7"/>
    <w:rsid w:val="00C10F6F"/>
    <w:rsid w:val="00C139A5"/>
    <w:rsid w:val="00C203B6"/>
    <w:rsid w:val="00C21CEF"/>
    <w:rsid w:val="00C33219"/>
    <w:rsid w:val="00C34EF5"/>
    <w:rsid w:val="00C417E3"/>
    <w:rsid w:val="00C418E0"/>
    <w:rsid w:val="00C42F95"/>
    <w:rsid w:val="00C50E2F"/>
    <w:rsid w:val="00C5321D"/>
    <w:rsid w:val="00C93F62"/>
    <w:rsid w:val="00CA7537"/>
    <w:rsid w:val="00CB2E5D"/>
    <w:rsid w:val="00CE476E"/>
    <w:rsid w:val="00D0412E"/>
    <w:rsid w:val="00D22A7B"/>
    <w:rsid w:val="00D44A64"/>
    <w:rsid w:val="00D55AF6"/>
    <w:rsid w:val="00D633D4"/>
    <w:rsid w:val="00D81C08"/>
    <w:rsid w:val="00D849D3"/>
    <w:rsid w:val="00DA0F6C"/>
    <w:rsid w:val="00DA7040"/>
    <w:rsid w:val="00DE0F85"/>
    <w:rsid w:val="00E030B3"/>
    <w:rsid w:val="00E21A72"/>
    <w:rsid w:val="00E26692"/>
    <w:rsid w:val="00E819B2"/>
    <w:rsid w:val="00EA646D"/>
    <w:rsid w:val="00ED4059"/>
    <w:rsid w:val="00EE7DD6"/>
    <w:rsid w:val="00EF3EFD"/>
    <w:rsid w:val="00F047A8"/>
    <w:rsid w:val="00F259D9"/>
    <w:rsid w:val="00F4080C"/>
    <w:rsid w:val="00F72E39"/>
    <w:rsid w:val="00F83D92"/>
    <w:rsid w:val="00FB1C5B"/>
    <w:rsid w:val="00FC73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9D9764-99A0-4279-9A0A-EA840D39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00149A"/>
    <w:pPr>
      <w:spacing w:before="100" w:beforeAutospacing="1" w:after="100" w:afterAutospacing="1" w:line="240" w:lineRule="auto"/>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uiPriority w:val="99"/>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spacing w:before="0" w:beforeAutospacing="0" w:after="0" w:afterAutospacing="0"/>
      <w:ind w:left="720"/>
      <w:contextualSpacing/>
    </w:pPr>
  </w:style>
  <w:style w:type="paragraph" w:customStyle="1" w:styleId="doc-ti">
    <w:name w:val="doc-ti"/>
    <w:basedOn w:val="Normlny"/>
    <w:rsid w:val="001B1ED9"/>
  </w:style>
  <w:style w:type="paragraph" w:customStyle="1" w:styleId="normal1">
    <w:name w:val="normal1"/>
    <w:basedOn w:val="Normlny"/>
    <w:rsid w:val="0054175A"/>
    <w:pPr>
      <w:spacing w:before="120" w:beforeAutospacing="0" w:after="0" w:afterAutospacing="0" w:line="312" w:lineRule="atLeast"/>
      <w:jc w:val="both"/>
    </w:pPr>
  </w:style>
  <w:style w:type="paragraph" w:styleId="Bezriadkovania">
    <w:name w:val="No Spacing"/>
    <w:uiPriority w:val="1"/>
    <w:qFormat/>
    <w:rsid w:val="00863627"/>
    <w:pPr>
      <w:spacing w:beforeAutospacing="1" w:after="0" w:afterAutospacing="1" w:line="240" w:lineRule="auto"/>
    </w:pPr>
    <w:rPr>
      <w:sz w:val="24"/>
      <w:szCs w:val="24"/>
    </w:rPr>
  </w:style>
  <w:style w:type="paragraph" w:customStyle="1" w:styleId="Zkladntext1">
    <w:name w:val="Základní text1"/>
    <w:rsid w:val="00EA646D"/>
    <w:pPr>
      <w:widowControl w:val="0"/>
      <w:spacing w:after="0" w:line="240" w:lineRule="auto"/>
    </w:pPr>
    <w:rPr>
      <w:color w:val="000000"/>
      <w:sz w:val="24"/>
      <w:szCs w:val="24"/>
    </w:rPr>
  </w:style>
  <w:style w:type="paragraph" w:customStyle="1" w:styleId="tlArialNarrow10ptPodaokraja">
    <w:name w:val="Štýl Arial Narrow 10 pt Podľa okraja"/>
    <w:basedOn w:val="Normlny"/>
    <w:rsid w:val="00AE4B8A"/>
    <w:pPr>
      <w:autoSpaceDE w:val="0"/>
      <w:autoSpaceDN w:val="0"/>
      <w:spacing w:before="0" w:beforeAutospacing="0" w:after="0" w:afterAutospacing="0"/>
      <w:jc w:val="both"/>
    </w:pPr>
    <w:rPr>
      <w:rFonts w:ascii="Arial Narrow" w:hAnsi="Arial Narrow"/>
      <w:sz w:val="20"/>
      <w:szCs w:val="20"/>
    </w:rPr>
  </w:style>
  <w:style w:type="paragraph" w:customStyle="1" w:styleId="oj-normal">
    <w:name w:val="oj-normal"/>
    <w:basedOn w:val="Normlny"/>
    <w:rsid w:val="0027335F"/>
  </w:style>
  <w:style w:type="paragraph" w:customStyle="1" w:styleId="oj-ti-art">
    <w:name w:val="oj-ti-art"/>
    <w:basedOn w:val="Normlny"/>
    <w:rsid w:val="00772CF5"/>
  </w:style>
  <w:style w:type="character" w:styleId="Hypertextovprepojenie">
    <w:name w:val="Hyperlink"/>
    <w:basedOn w:val="Predvolenpsmoodseku"/>
    <w:uiPriority w:val="99"/>
    <w:unhideWhenUsed/>
    <w:rsid w:val="00CE476E"/>
    <w:rPr>
      <w:rFonts w:cs="Times New Roman"/>
      <w:color w:val="0000FF"/>
      <w:u w:val="single"/>
    </w:rPr>
  </w:style>
  <w:style w:type="character" w:customStyle="1" w:styleId="oj-super">
    <w:name w:val="oj-super"/>
    <w:rsid w:val="00CE476E"/>
  </w:style>
  <w:style w:type="character" w:customStyle="1" w:styleId="oj-italic">
    <w:name w:val="oj-italic"/>
    <w:rsid w:val="00631354"/>
  </w:style>
  <w:style w:type="paragraph" w:customStyle="1" w:styleId="oj-signatory">
    <w:name w:val="oj-signatory"/>
    <w:basedOn w:val="Normlny"/>
    <w:rsid w:val="0063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144642">
      <w:marLeft w:val="0"/>
      <w:marRight w:val="0"/>
      <w:marTop w:val="0"/>
      <w:marBottom w:val="0"/>
      <w:divBdr>
        <w:top w:val="none" w:sz="0" w:space="0" w:color="auto"/>
        <w:left w:val="none" w:sz="0" w:space="0" w:color="auto"/>
        <w:bottom w:val="none" w:sz="0" w:space="0" w:color="auto"/>
        <w:right w:val="none" w:sz="0" w:space="0" w:color="auto"/>
      </w:divBdr>
      <w:divsChild>
        <w:div w:id="1191144662">
          <w:marLeft w:val="0"/>
          <w:marRight w:val="0"/>
          <w:marTop w:val="0"/>
          <w:marBottom w:val="0"/>
          <w:divBdr>
            <w:top w:val="none" w:sz="0" w:space="0" w:color="auto"/>
            <w:left w:val="none" w:sz="0" w:space="0" w:color="auto"/>
            <w:bottom w:val="none" w:sz="0" w:space="0" w:color="auto"/>
            <w:right w:val="none" w:sz="0" w:space="0" w:color="auto"/>
          </w:divBdr>
        </w:div>
      </w:divsChild>
    </w:div>
    <w:div w:id="1191144643">
      <w:marLeft w:val="0"/>
      <w:marRight w:val="0"/>
      <w:marTop w:val="0"/>
      <w:marBottom w:val="0"/>
      <w:divBdr>
        <w:top w:val="none" w:sz="0" w:space="0" w:color="auto"/>
        <w:left w:val="none" w:sz="0" w:space="0" w:color="auto"/>
        <w:bottom w:val="none" w:sz="0" w:space="0" w:color="auto"/>
        <w:right w:val="none" w:sz="0" w:space="0" w:color="auto"/>
      </w:divBdr>
    </w:div>
    <w:div w:id="1191144646">
      <w:marLeft w:val="0"/>
      <w:marRight w:val="0"/>
      <w:marTop w:val="0"/>
      <w:marBottom w:val="0"/>
      <w:divBdr>
        <w:top w:val="none" w:sz="0" w:space="0" w:color="auto"/>
        <w:left w:val="none" w:sz="0" w:space="0" w:color="auto"/>
        <w:bottom w:val="none" w:sz="0" w:space="0" w:color="auto"/>
        <w:right w:val="none" w:sz="0" w:space="0" w:color="auto"/>
      </w:divBdr>
    </w:div>
    <w:div w:id="1191144652">
      <w:marLeft w:val="0"/>
      <w:marRight w:val="0"/>
      <w:marTop w:val="0"/>
      <w:marBottom w:val="0"/>
      <w:divBdr>
        <w:top w:val="none" w:sz="0" w:space="0" w:color="auto"/>
        <w:left w:val="none" w:sz="0" w:space="0" w:color="auto"/>
        <w:bottom w:val="none" w:sz="0" w:space="0" w:color="auto"/>
        <w:right w:val="none" w:sz="0" w:space="0" w:color="auto"/>
      </w:divBdr>
      <w:divsChild>
        <w:div w:id="1191144700">
          <w:marLeft w:val="0"/>
          <w:marRight w:val="0"/>
          <w:marTop w:val="0"/>
          <w:marBottom w:val="0"/>
          <w:divBdr>
            <w:top w:val="none" w:sz="0" w:space="0" w:color="auto"/>
            <w:left w:val="none" w:sz="0" w:space="0" w:color="auto"/>
            <w:bottom w:val="none" w:sz="0" w:space="0" w:color="auto"/>
            <w:right w:val="none" w:sz="0" w:space="0" w:color="auto"/>
          </w:divBdr>
        </w:div>
      </w:divsChild>
    </w:div>
    <w:div w:id="1191144655">
      <w:marLeft w:val="0"/>
      <w:marRight w:val="0"/>
      <w:marTop w:val="0"/>
      <w:marBottom w:val="0"/>
      <w:divBdr>
        <w:top w:val="none" w:sz="0" w:space="0" w:color="auto"/>
        <w:left w:val="none" w:sz="0" w:space="0" w:color="auto"/>
        <w:bottom w:val="none" w:sz="0" w:space="0" w:color="auto"/>
        <w:right w:val="none" w:sz="0" w:space="0" w:color="auto"/>
      </w:divBdr>
      <w:divsChild>
        <w:div w:id="1191144782">
          <w:marLeft w:val="0"/>
          <w:marRight w:val="0"/>
          <w:marTop w:val="0"/>
          <w:marBottom w:val="0"/>
          <w:divBdr>
            <w:top w:val="none" w:sz="0" w:space="0" w:color="auto"/>
            <w:left w:val="none" w:sz="0" w:space="0" w:color="auto"/>
            <w:bottom w:val="none" w:sz="0" w:space="0" w:color="auto"/>
            <w:right w:val="none" w:sz="0" w:space="0" w:color="auto"/>
          </w:divBdr>
        </w:div>
      </w:divsChild>
    </w:div>
    <w:div w:id="1191144665">
      <w:marLeft w:val="0"/>
      <w:marRight w:val="0"/>
      <w:marTop w:val="0"/>
      <w:marBottom w:val="0"/>
      <w:divBdr>
        <w:top w:val="none" w:sz="0" w:space="0" w:color="auto"/>
        <w:left w:val="none" w:sz="0" w:space="0" w:color="auto"/>
        <w:bottom w:val="none" w:sz="0" w:space="0" w:color="auto"/>
        <w:right w:val="none" w:sz="0" w:space="0" w:color="auto"/>
      </w:divBdr>
      <w:divsChild>
        <w:div w:id="1191144691">
          <w:marLeft w:val="255"/>
          <w:marRight w:val="0"/>
          <w:marTop w:val="75"/>
          <w:marBottom w:val="0"/>
          <w:divBdr>
            <w:top w:val="none" w:sz="0" w:space="0" w:color="auto"/>
            <w:left w:val="none" w:sz="0" w:space="0" w:color="auto"/>
            <w:bottom w:val="none" w:sz="0" w:space="0" w:color="auto"/>
            <w:right w:val="none" w:sz="0" w:space="0" w:color="auto"/>
          </w:divBdr>
          <w:divsChild>
            <w:div w:id="1191144706">
              <w:marLeft w:val="255"/>
              <w:marRight w:val="0"/>
              <w:marTop w:val="0"/>
              <w:marBottom w:val="0"/>
              <w:divBdr>
                <w:top w:val="none" w:sz="0" w:space="0" w:color="auto"/>
                <w:left w:val="none" w:sz="0" w:space="0" w:color="auto"/>
                <w:bottom w:val="none" w:sz="0" w:space="0" w:color="auto"/>
                <w:right w:val="none" w:sz="0" w:space="0" w:color="auto"/>
              </w:divBdr>
              <w:divsChild>
                <w:div w:id="1191144641">
                  <w:marLeft w:val="255"/>
                  <w:marRight w:val="0"/>
                  <w:marTop w:val="75"/>
                  <w:marBottom w:val="0"/>
                  <w:divBdr>
                    <w:top w:val="none" w:sz="0" w:space="0" w:color="auto"/>
                    <w:left w:val="none" w:sz="0" w:space="0" w:color="auto"/>
                    <w:bottom w:val="none" w:sz="0" w:space="0" w:color="auto"/>
                    <w:right w:val="none" w:sz="0" w:space="0" w:color="auto"/>
                  </w:divBdr>
                  <w:divsChild>
                    <w:div w:id="1191144658">
                      <w:marLeft w:val="0"/>
                      <w:marRight w:val="225"/>
                      <w:marTop w:val="0"/>
                      <w:marBottom w:val="0"/>
                      <w:divBdr>
                        <w:top w:val="none" w:sz="0" w:space="0" w:color="auto"/>
                        <w:left w:val="none" w:sz="0" w:space="0" w:color="auto"/>
                        <w:bottom w:val="none" w:sz="0" w:space="0" w:color="auto"/>
                        <w:right w:val="none" w:sz="0" w:space="0" w:color="auto"/>
                      </w:divBdr>
                    </w:div>
                  </w:divsChild>
                </w:div>
                <w:div w:id="1191144666">
                  <w:marLeft w:val="255"/>
                  <w:marRight w:val="0"/>
                  <w:marTop w:val="75"/>
                  <w:marBottom w:val="0"/>
                  <w:divBdr>
                    <w:top w:val="none" w:sz="0" w:space="0" w:color="auto"/>
                    <w:left w:val="none" w:sz="0" w:space="0" w:color="auto"/>
                    <w:bottom w:val="none" w:sz="0" w:space="0" w:color="auto"/>
                    <w:right w:val="none" w:sz="0" w:space="0" w:color="auto"/>
                  </w:divBdr>
                  <w:divsChild>
                    <w:div w:id="11911447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4668">
      <w:marLeft w:val="0"/>
      <w:marRight w:val="0"/>
      <w:marTop w:val="0"/>
      <w:marBottom w:val="0"/>
      <w:divBdr>
        <w:top w:val="none" w:sz="0" w:space="0" w:color="auto"/>
        <w:left w:val="none" w:sz="0" w:space="0" w:color="auto"/>
        <w:bottom w:val="none" w:sz="0" w:space="0" w:color="auto"/>
        <w:right w:val="none" w:sz="0" w:space="0" w:color="auto"/>
      </w:divBdr>
      <w:divsChild>
        <w:div w:id="1191144660">
          <w:marLeft w:val="0"/>
          <w:marRight w:val="0"/>
          <w:marTop w:val="0"/>
          <w:marBottom w:val="0"/>
          <w:divBdr>
            <w:top w:val="none" w:sz="0" w:space="0" w:color="auto"/>
            <w:left w:val="none" w:sz="0" w:space="0" w:color="auto"/>
            <w:bottom w:val="none" w:sz="0" w:space="0" w:color="auto"/>
            <w:right w:val="none" w:sz="0" w:space="0" w:color="auto"/>
          </w:divBdr>
        </w:div>
        <w:div w:id="1191144671">
          <w:marLeft w:val="0"/>
          <w:marRight w:val="0"/>
          <w:marTop w:val="0"/>
          <w:marBottom w:val="0"/>
          <w:divBdr>
            <w:top w:val="none" w:sz="0" w:space="0" w:color="auto"/>
            <w:left w:val="none" w:sz="0" w:space="0" w:color="auto"/>
            <w:bottom w:val="none" w:sz="0" w:space="0" w:color="auto"/>
            <w:right w:val="none" w:sz="0" w:space="0" w:color="auto"/>
          </w:divBdr>
        </w:div>
        <w:div w:id="1191144767">
          <w:marLeft w:val="0"/>
          <w:marRight w:val="0"/>
          <w:marTop w:val="0"/>
          <w:marBottom w:val="0"/>
          <w:divBdr>
            <w:top w:val="none" w:sz="0" w:space="0" w:color="auto"/>
            <w:left w:val="none" w:sz="0" w:space="0" w:color="auto"/>
            <w:bottom w:val="none" w:sz="0" w:space="0" w:color="auto"/>
            <w:right w:val="none" w:sz="0" w:space="0" w:color="auto"/>
          </w:divBdr>
        </w:div>
      </w:divsChild>
    </w:div>
    <w:div w:id="1191144675">
      <w:marLeft w:val="0"/>
      <w:marRight w:val="0"/>
      <w:marTop w:val="0"/>
      <w:marBottom w:val="0"/>
      <w:divBdr>
        <w:top w:val="none" w:sz="0" w:space="0" w:color="auto"/>
        <w:left w:val="none" w:sz="0" w:space="0" w:color="auto"/>
        <w:bottom w:val="none" w:sz="0" w:space="0" w:color="auto"/>
        <w:right w:val="none" w:sz="0" w:space="0" w:color="auto"/>
      </w:divBdr>
    </w:div>
    <w:div w:id="1191144677">
      <w:marLeft w:val="0"/>
      <w:marRight w:val="0"/>
      <w:marTop w:val="0"/>
      <w:marBottom w:val="0"/>
      <w:divBdr>
        <w:top w:val="none" w:sz="0" w:space="0" w:color="auto"/>
        <w:left w:val="none" w:sz="0" w:space="0" w:color="auto"/>
        <w:bottom w:val="none" w:sz="0" w:space="0" w:color="auto"/>
        <w:right w:val="none" w:sz="0" w:space="0" w:color="auto"/>
      </w:divBdr>
      <w:divsChild>
        <w:div w:id="1191144647">
          <w:marLeft w:val="255"/>
          <w:marRight w:val="0"/>
          <w:marTop w:val="0"/>
          <w:marBottom w:val="0"/>
          <w:divBdr>
            <w:top w:val="none" w:sz="0" w:space="0" w:color="auto"/>
            <w:left w:val="none" w:sz="0" w:space="0" w:color="auto"/>
            <w:bottom w:val="none" w:sz="0" w:space="0" w:color="auto"/>
            <w:right w:val="none" w:sz="0" w:space="0" w:color="auto"/>
          </w:divBdr>
          <w:divsChild>
            <w:div w:id="1191144637">
              <w:marLeft w:val="255"/>
              <w:marRight w:val="0"/>
              <w:marTop w:val="75"/>
              <w:marBottom w:val="0"/>
              <w:divBdr>
                <w:top w:val="none" w:sz="0" w:space="0" w:color="auto"/>
                <w:left w:val="none" w:sz="0" w:space="0" w:color="auto"/>
                <w:bottom w:val="none" w:sz="0" w:space="0" w:color="auto"/>
                <w:right w:val="none" w:sz="0" w:space="0" w:color="auto"/>
              </w:divBdr>
              <w:divsChild>
                <w:div w:id="1191144763">
                  <w:marLeft w:val="0"/>
                  <w:marRight w:val="225"/>
                  <w:marTop w:val="0"/>
                  <w:marBottom w:val="0"/>
                  <w:divBdr>
                    <w:top w:val="none" w:sz="0" w:space="0" w:color="auto"/>
                    <w:left w:val="none" w:sz="0" w:space="0" w:color="auto"/>
                    <w:bottom w:val="none" w:sz="0" w:space="0" w:color="auto"/>
                    <w:right w:val="none" w:sz="0" w:space="0" w:color="auto"/>
                  </w:divBdr>
                </w:div>
              </w:divsChild>
            </w:div>
            <w:div w:id="1191144699">
              <w:marLeft w:val="255"/>
              <w:marRight w:val="0"/>
              <w:marTop w:val="75"/>
              <w:marBottom w:val="0"/>
              <w:divBdr>
                <w:top w:val="none" w:sz="0" w:space="0" w:color="auto"/>
                <w:left w:val="none" w:sz="0" w:space="0" w:color="auto"/>
                <w:bottom w:val="none" w:sz="0" w:space="0" w:color="auto"/>
                <w:right w:val="none" w:sz="0" w:space="0" w:color="auto"/>
              </w:divBdr>
              <w:divsChild>
                <w:div w:id="119114478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91144649">
          <w:marLeft w:val="255"/>
          <w:marRight w:val="0"/>
          <w:marTop w:val="0"/>
          <w:marBottom w:val="0"/>
          <w:divBdr>
            <w:top w:val="none" w:sz="0" w:space="0" w:color="auto"/>
            <w:left w:val="none" w:sz="0" w:space="0" w:color="auto"/>
            <w:bottom w:val="none" w:sz="0" w:space="0" w:color="auto"/>
            <w:right w:val="none" w:sz="0" w:space="0" w:color="auto"/>
          </w:divBdr>
        </w:div>
        <w:div w:id="1191144770">
          <w:marLeft w:val="255"/>
          <w:marRight w:val="0"/>
          <w:marTop w:val="0"/>
          <w:marBottom w:val="0"/>
          <w:divBdr>
            <w:top w:val="none" w:sz="0" w:space="0" w:color="auto"/>
            <w:left w:val="none" w:sz="0" w:space="0" w:color="auto"/>
            <w:bottom w:val="none" w:sz="0" w:space="0" w:color="auto"/>
            <w:right w:val="none" w:sz="0" w:space="0" w:color="auto"/>
          </w:divBdr>
          <w:divsChild>
            <w:div w:id="1191144645">
              <w:marLeft w:val="255"/>
              <w:marRight w:val="0"/>
              <w:marTop w:val="75"/>
              <w:marBottom w:val="0"/>
              <w:divBdr>
                <w:top w:val="none" w:sz="0" w:space="0" w:color="auto"/>
                <w:left w:val="none" w:sz="0" w:space="0" w:color="auto"/>
                <w:bottom w:val="none" w:sz="0" w:space="0" w:color="auto"/>
                <w:right w:val="none" w:sz="0" w:space="0" w:color="auto"/>
              </w:divBdr>
              <w:divsChild>
                <w:div w:id="1191144686">
                  <w:marLeft w:val="0"/>
                  <w:marRight w:val="225"/>
                  <w:marTop w:val="0"/>
                  <w:marBottom w:val="0"/>
                  <w:divBdr>
                    <w:top w:val="none" w:sz="0" w:space="0" w:color="auto"/>
                    <w:left w:val="none" w:sz="0" w:space="0" w:color="auto"/>
                    <w:bottom w:val="none" w:sz="0" w:space="0" w:color="auto"/>
                    <w:right w:val="none" w:sz="0" w:space="0" w:color="auto"/>
                  </w:divBdr>
                </w:div>
              </w:divsChild>
            </w:div>
            <w:div w:id="1191144689">
              <w:marLeft w:val="255"/>
              <w:marRight w:val="0"/>
              <w:marTop w:val="75"/>
              <w:marBottom w:val="0"/>
              <w:divBdr>
                <w:top w:val="none" w:sz="0" w:space="0" w:color="auto"/>
                <w:left w:val="none" w:sz="0" w:space="0" w:color="auto"/>
                <w:bottom w:val="none" w:sz="0" w:space="0" w:color="auto"/>
                <w:right w:val="none" w:sz="0" w:space="0" w:color="auto"/>
              </w:divBdr>
              <w:divsChild>
                <w:div w:id="11911447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91144785">
          <w:marLeft w:val="255"/>
          <w:marRight w:val="0"/>
          <w:marTop w:val="0"/>
          <w:marBottom w:val="0"/>
          <w:divBdr>
            <w:top w:val="none" w:sz="0" w:space="0" w:color="auto"/>
            <w:left w:val="none" w:sz="0" w:space="0" w:color="auto"/>
            <w:bottom w:val="none" w:sz="0" w:space="0" w:color="auto"/>
            <w:right w:val="none" w:sz="0" w:space="0" w:color="auto"/>
          </w:divBdr>
          <w:divsChild>
            <w:div w:id="1191144693">
              <w:marLeft w:val="255"/>
              <w:marRight w:val="0"/>
              <w:marTop w:val="75"/>
              <w:marBottom w:val="0"/>
              <w:divBdr>
                <w:top w:val="none" w:sz="0" w:space="0" w:color="auto"/>
                <w:left w:val="none" w:sz="0" w:space="0" w:color="auto"/>
                <w:bottom w:val="none" w:sz="0" w:space="0" w:color="auto"/>
                <w:right w:val="none" w:sz="0" w:space="0" w:color="auto"/>
              </w:divBdr>
              <w:divsChild>
                <w:div w:id="1191144674">
                  <w:marLeft w:val="0"/>
                  <w:marRight w:val="225"/>
                  <w:marTop w:val="0"/>
                  <w:marBottom w:val="0"/>
                  <w:divBdr>
                    <w:top w:val="none" w:sz="0" w:space="0" w:color="auto"/>
                    <w:left w:val="none" w:sz="0" w:space="0" w:color="auto"/>
                    <w:bottom w:val="none" w:sz="0" w:space="0" w:color="auto"/>
                    <w:right w:val="none" w:sz="0" w:space="0" w:color="auto"/>
                  </w:divBdr>
                </w:div>
              </w:divsChild>
            </w:div>
            <w:div w:id="1191144762">
              <w:marLeft w:val="255"/>
              <w:marRight w:val="0"/>
              <w:marTop w:val="75"/>
              <w:marBottom w:val="0"/>
              <w:divBdr>
                <w:top w:val="none" w:sz="0" w:space="0" w:color="auto"/>
                <w:left w:val="none" w:sz="0" w:space="0" w:color="auto"/>
                <w:bottom w:val="none" w:sz="0" w:space="0" w:color="auto"/>
                <w:right w:val="none" w:sz="0" w:space="0" w:color="auto"/>
              </w:divBdr>
              <w:divsChild>
                <w:div w:id="11911446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91144678">
      <w:marLeft w:val="0"/>
      <w:marRight w:val="0"/>
      <w:marTop w:val="0"/>
      <w:marBottom w:val="0"/>
      <w:divBdr>
        <w:top w:val="none" w:sz="0" w:space="0" w:color="auto"/>
        <w:left w:val="none" w:sz="0" w:space="0" w:color="auto"/>
        <w:bottom w:val="none" w:sz="0" w:space="0" w:color="auto"/>
        <w:right w:val="none" w:sz="0" w:space="0" w:color="auto"/>
      </w:divBdr>
      <w:divsChild>
        <w:div w:id="1191144704">
          <w:marLeft w:val="0"/>
          <w:marRight w:val="0"/>
          <w:marTop w:val="0"/>
          <w:marBottom w:val="0"/>
          <w:divBdr>
            <w:top w:val="none" w:sz="0" w:space="0" w:color="auto"/>
            <w:left w:val="none" w:sz="0" w:space="0" w:color="auto"/>
            <w:bottom w:val="none" w:sz="0" w:space="0" w:color="auto"/>
            <w:right w:val="none" w:sz="0" w:space="0" w:color="auto"/>
          </w:divBdr>
        </w:div>
      </w:divsChild>
    </w:div>
    <w:div w:id="1191144680">
      <w:marLeft w:val="0"/>
      <w:marRight w:val="0"/>
      <w:marTop w:val="0"/>
      <w:marBottom w:val="0"/>
      <w:divBdr>
        <w:top w:val="none" w:sz="0" w:space="0" w:color="auto"/>
        <w:left w:val="none" w:sz="0" w:space="0" w:color="auto"/>
        <w:bottom w:val="none" w:sz="0" w:space="0" w:color="auto"/>
        <w:right w:val="none" w:sz="0" w:space="0" w:color="auto"/>
      </w:divBdr>
      <w:divsChild>
        <w:div w:id="1191144653">
          <w:marLeft w:val="0"/>
          <w:marRight w:val="0"/>
          <w:marTop w:val="0"/>
          <w:marBottom w:val="0"/>
          <w:divBdr>
            <w:top w:val="none" w:sz="0" w:space="0" w:color="auto"/>
            <w:left w:val="none" w:sz="0" w:space="0" w:color="auto"/>
            <w:bottom w:val="none" w:sz="0" w:space="0" w:color="auto"/>
            <w:right w:val="none" w:sz="0" w:space="0" w:color="auto"/>
          </w:divBdr>
          <w:divsChild>
            <w:div w:id="1191144640">
              <w:marLeft w:val="0"/>
              <w:marRight w:val="0"/>
              <w:marTop w:val="0"/>
              <w:marBottom w:val="0"/>
              <w:divBdr>
                <w:top w:val="none" w:sz="0" w:space="0" w:color="auto"/>
                <w:left w:val="none" w:sz="0" w:space="0" w:color="auto"/>
                <w:bottom w:val="none" w:sz="0" w:space="0" w:color="auto"/>
                <w:right w:val="none" w:sz="0" w:space="0" w:color="auto"/>
              </w:divBdr>
            </w:div>
            <w:div w:id="1191144657">
              <w:marLeft w:val="0"/>
              <w:marRight w:val="0"/>
              <w:marTop w:val="0"/>
              <w:marBottom w:val="0"/>
              <w:divBdr>
                <w:top w:val="none" w:sz="0" w:space="0" w:color="auto"/>
                <w:left w:val="none" w:sz="0" w:space="0" w:color="auto"/>
                <w:bottom w:val="none" w:sz="0" w:space="0" w:color="auto"/>
                <w:right w:val="none" w:sz="0" w:space="0" w:color="auto"/>
              </w:divBdr>
            </w:div>
            <w:div w:id="1191144679">
              <w:marLeft w:val="0"/>
              <w:marRight w:val="0"/>
              <w:marTop w:val="0"/>
              <w:marBottom w:val="0"/>
              <w:divBdr>
                <w:top w:val="none" w:sz="0" w:space="0" w:color="auto"/>
                <w:left w:val="none" w:sz="0" w:space="0" w:color="auto"/>
                <w:bottom w:val="none" w:sz="0" w:space="0" w:color="auto"/>
                <w:right w:val="none" w:sz="0" w:space="0" w:color="auto"/>
              </w:divBdr>
            </w:div>
            <w:div w:id="11911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4682">
      <w:marLeft w:val="0"/>
      <w:marRight w:val="0"/>
      <w:marTop w:val="0"/>
      <w:marBottom w:val="0"/>
      <w:divBdr>
        <w:top w:val="none" w:sz="0" w:space="0" w:color="auto"/>
        <w:left w:val="none" w:sz="0" w:space="0" w:color="auto"/>
        <w:bottom w:val="none" w:sz="0" w:space="0" w:color="auto"/>
        <w:right w:val="none" w:sz="0" w:space="0" w:color="auto"/>
      </w:divBdr>
    </w:div>
    <w:div w:id="1191144683">
      <w:marLeft w:val="0"/>
      <w:marRight w:val="0"/>
      <w:marTop w:val="0"/>
      <w:marBottom w:val="0"/>
      <w:divBdr>
        <w:top w:val="none" w:sz="0" w:space="0" w:color="auto"/>
        <w:left w:val="none" w:sz="0" w:space="0" w:color="auto"/>
        <w:bottom w:val="none" w:sz="0" w:space="0" w:color="auto"/>
        <w:right w:val="none" w:sz="0" w:space="0" w:color="auto"/>
      </w:divBdr>
      <w:divsChild>
        <w:div w:id="1191144765">
          <w:marLeft w:val="0"/>
          <w:marRight w:val="0"/>
          <w:marTop w:val="0"/>
          <w:marBottom w:val="0"/>
          <w:divBdr>
            <w:top w:val="none" w:sz="0" w:space="0" w:color="auto"/>
            <w:left w:val="none" w:sz="0" w:space="0" w:color="auto"/>
            <w:bottom w:val="none" w:sz="0" w:space="0" w:color="auto"/>
            <w:right w:val="none" w:sz="0" w:space="0" w:color="auto"/>
          </w:divBdr>
        </w:div>
      </w:divsChild>
    </w:div>
    <w:div w:id="1191144685">
      <w:marLeft w:val="0"/>
      <w:marRight w:val="0"/>
      <w:marTop w:val="0"/>
      <w:marBottom w:val="0"/>
      <w:divBdr>
        <w:top w:val="none" w:sz="0" w:space="0" w:color="auto"/>
        <w:left w:val="none" w:sz="0" w:space="0" w:color="auto"/>
        <w:bottom w:val="none" w:sz="0" w:space="0" w:color="auto"/>
        <w:right w:val="none" w:sz="0" w:space="0" w:color="auto"/>
      </w:divBdr>
      <w:divsChild>
        <w:div w:id="1191144779">
          <w:marLeft w:val="0"/>
          <w:marRight w:val="0"/>
          <w:marTop w:val="0"/>
          <w:marBottom w:val="0"/>
          <w:divBdr>
            <w:top w:val="none" w:sz="0" w:space="0" w:color="auto"/>
            <w:left w:val="none" w:sz="0" w:space="0" w:color="auto"/>
            <w:bottom w:val="none" w:sz="0" w:space="0" w:color="auto"/>
            <w:right w:val="none" w:sz="0" w:space="0" w:color="auto"/>
          </w:divBdr>
          <w:divsChild>
            <w:div w:id="1191144654">
              <w:marLeft w:val="0"/>
              <w:marRight w:val="0"/>
              <w:marTop w:val="0"/>
              <w:marBottom w:val="0"/>
              <w:divBdr>
                <w:top w:val="none" w:sz="0" w:space="0" w:color="auto"/>
                <w:left w:val="none" w:sz="0" w:space="0" w:color="auto"/>
                <w:bottom w:val="none" w:sz="0" w:space="0" w:color="auto"/>
                <w:right w:val="none" w:sz="0" w:space="0" w:color="auto"/>
              </w:divBdr>
            </w:div>
            <w:div w:id="1191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4695">
      <w:marLeft w:val="0"/>
      <w:marRight w:val="0"/>
      <w:marTop w:val="0"/>
      <w:marBottom w:val="0"/>
      <w:divBdr>
        <w:top w:val="none" w:sz="0" w:space="0" w:color="auto"/>
        <w:left w:val="none" w:sz="0" w:space="0" w:color="auto"/>
        <w:bottom w:val="none" w:sz="0" w:space="0" w:color="auto"/>
        <w:right w:val="none" w:sz="0" w:space="0" w:color="auto"/>
      </w:divBdr>
      <w:divsChild>
        <w:div w:id="1191144651">
          <w:marLeft w:val="0"/>
          <w:marRight w:val="0"/>
          <w:marTop w:val="0"/>
          <w:marBottom w:val="0"/>
          <w:divBdr>
            <w:top w:val="none" w:sz="0" w:space="0" w:color="auto"/>
            <w:left w:val="none" w:sz="0" w:space="0" w:color="auto"/>
            <w:bottom w:val="none" w:sz="0" w:space="0" w:color="auto"/>
            <w:right w:val="none" w:sz="0" w:space="0" w:color="auto"/>
          </w:divBdr>
          <w:divsChild>
            <w:div w:id="1191144659">
              <w:marLeft w:val="0"/>
              <w:marRight w:val="0"/>
              <w:marTop w:val="0"/>
              <w:marBottom w:val="0"/>
              <w:divBdr>
                <w:top w:val="none" w:sz="0" w:space="0" w:color="auto"/>
                <w:left w:val="none" w:sz="0" w:space="0" w:color="auto"/>
                <w:bottom w:val="none" w:sz="0" w:space="0" w:color="auto"/>
                <w:right w:val="none" w:sz="0" w:space="0" w:color="auto"/>
              </w:divBdr>
            </w:div>
            <w:div w:id="1191144664">
              <w:marLeft w:val="0"/>
              <w:marRight w:val="0"/>
              <w:marTop w:val="0"/>
              <w:marBottom w:val="0"/>
              <w:divBdr>
                <w:top w:val="none" w:sz="0" w:space="0" w:color="auto"/>
                <w:left w:val="none" w:sz="0" w:space="0" w:color="auto"/>
                <w:bottom w:val="none" w:sz="0" w:space="0" w:color="auto"/>
                <w:right w:val="none" w:sz="0" w:space="0" w:color="auto"/>
              </w:divBdr>
            </w:div>
            <w:div w:id="1191144690">
              <w:marLeft w:val="0"/>
              <w:marRight w:val="0"/>
              <w:marTop w:val="0"/>
              <w:marBottom w:val="0"/>
              <w:divBdr>
                <w:top w:val="none" w:sz="0" w:space="0" w:color="auto"/>
                <w:left w:val="none" w:sz="0" w:space="0" w:color="auto"/>
                <w:bottom w:val="none" w:sz="0" w:space="0" w:color="auto"/>
                <w:right w:val="none" w:sz="0" w:space="0" w:color="auto"/>
              </w:divBdr>
            </w:div>
            <w:div w:id="1191144692">
              <w:marLeft w:val="0"/>
              <w:marRight w:val="0"/>
              <w:marTop w:val="0"/>
              <w:marBottom w:val="0"/>
              <w:divBdr>
                <w:top w:val="none" w:sz="0" w:space="0" w:color="auto"/>
                <w:left w:val="none" w:sz="0" w:space="0" w:color="auto"/>
                <w:bottom w:val="none" w:sz="0" w:space="0" w:color="auto"/>
                <w:right w:val="none" w:sz="0" w:space="0" w:color="auto"/>
              </w:divBdr>
            </w:div>
            <w:div w:id="11911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4696">
      <w:marLeft w:val="0"/>
      <w:marRight w:val="0"/>
      <w:marTop w:val="0"/>
      <w:marBottom w:val="0"/>
      <w:divBdr>
        <w:top w:val="none" w:sz="0" w:space="0" w:color="auto"/>
        <w:left w:val="none" w:sz="0" w:space="0" w:color="auto"/>
        <w:bottom w:val="none" w:sz="0" w:space="0" w:color="auto"/>
        <w:right w:val="none" w:sz="0" w:space="0" w:color="auto"/>
      </w:divBdr>
      <w:divsChild>
        <w:div w:id="1191144667">
          <w:marLeft w:val="255"/>
          <w:marRight w:val="0"/>
          <w:marTop w:val="0"/>
          <w:marBottom w:val="0"/>
          <w:divBdr>
            <w:top w:val="none" w:sz="0" w:space="0" w:color="auto"/>
            <w:left w:val="none" w:sz="0" w:space="0" w:color="auto"/>
            <w:bottom w:val="none" w:sz="0" w:space="0" w:color="auto"/>
            <w:right w:val="none" w:sz="0" w:space="0" w:color="auto"/>
          </w:divBdr>
        </w:div>
        <w:div w:id="1191144676">
          <w:marLeft w:val="255"/>
          <w:marRight w:val="0"/>
          <w:marTop w:val="0"/>
          <w:marBottom w:val="0"/>
          <w:divBdr>
            <w:top w:val="none" w:sz="0" w:space="0" w:color="auto"/>
            <w:left w:val="none" w:sz="0" w:space="0" w:color="auto"/>
            <w:bottom w:val="none" w:sz="0" w:space="0" w:color="auto"/>
            <w:right w:val="none" w:sz="0" w:space="0" w:color="auto"/>
          </w:divBdr>
        </w:div>
        <w:div w:id="1191144688">
          <w:marLeft w:val="255"/>
          <w:marRight w:val="0"/>
          <w:marTop w:val="0"/>
          <w:marBottom w:val="0"/>
          <w:divBdr>
            <w:top w:val="none" w:sz="0" w:space="0" w:color="auto"/>
            <w:left w:val="none" w:sz="0" w:space="0" w:color="auto"/>
            <w:bottom w:val="none" w:sz="0" w:space="0" w:color="auto"/>
            <w:right w:val="none" w:sz="0" w:space="0" w:color="auto"/>
          </w:divBdr>
        </w:div>
        <w:div w:id="1191144694">
          <w:marLeft w:val="255"/>
          <w:marRight w:val="0"/>
          <w:marTop w:val="0"/>
          <w:marBottom w:val="0"/>
          <w:divBdr>
            <w:top w:val="none" w:sz="0" w:space="0" w:color="auto"/>
            <w:left w:val="none" w:sz="0" w:space="0" w:color="auto"/>
            <w:bottom w:val="none" w:sz="0" w:space="0" w:color="auto"/>
            <w:right w:val="none" w:sz="0" w:space="0" w:color="auto"/>
          </w:divBdr>
        </w:div>
        <w:div w:id="1191144773">
          <w:marLeft w:val="255"/>
          <w:marRight w:val="0"/>
          <w:marTop w:val="0"/>
          <w:marBottom w:val="0"/>
          <w:divBdr>
            <w:top w:val="none" w:sz="0" w:space="0" w:color="auto"/>
            <w:left w:val="none" w:sz="0" w:space="0" w:color="auto"/>
            <w:bottom w:val="none" w:sz="0" w:space="0" w:color="auto"/>
            <w:right w:val="none" w:sz="0" w:space="0" w:color="auto"/>
          </w:divBdr>
        </w:div>
      </w:divsChild>
    </w:div>
    <w:div w:id="1191144698">
      <w:marLeft w:val="0"/>
      <w:marRight w:val="0"/>
      <w:marTop w:val="0"/>
      <w:marBottom w:val="0"/>
      <w:divBdr>
        <w:top w:val="none" w:sz="0" w:space="0" w:color="auto"/>
        <w:left w:val="none" w:sz="0" w:space="0" w:color="auto"/>
        <w:bottom w:val="none" w:sz="0" w:space="0" w:color="auto"/>
        <w:right w:val="none" w:sz="0" w:space="0" w:color="auto"/>
      </w:divBdr>
      <w:divsChild>
        <w:div w:id="1191144768">
          <w:marLeft w:val="0"/>
          <w:marRight w:val="0"/>
          <w:marTop w:val="0"/>
          <w:marBottom w:val="0"/>
          <w:divBdr>
            <w:top w:val="none" w:sz="0" w:space="0" w:color="auto"/>
            <w:left w:val="none" w:sz="0" w:space="0" w:color="auto"/>
            <w:bottom w:val="none" w:sz="0" w:space="0" w:color="auto"/>
            <w:right w:val="none" w:sz="0" w:space="0" w:color="auto"/>
          </w:divBdr>
          <w:divsChild>
            <w:div w:id="1191144670">
              <w:marLeft w:val="0"/>
              <w:marRight w:val="0"/>
              <w:marTop w:val="0"/>
              <w:marBottom w:val="0"/>
              <w:divBdr>
                <w:top w:val="none" w:sz="0" w:space="0" w:color="auto"/>
                <w:left w:val="none" w:sz="0" w:space="0" w:color="auto"/>
                <w:bottom w:val="none" w:sz="0" w:space="0" w:color="auto"/>
                <w:right w:val="none" w:sz="0" w:space="0" w:color="auto"/>
              </w:divBdr>
            </w:div>
            <w:div w:id="1191144776">
              <w:marLeft w:val="0"/>
              <w:marRight w:val="0"/>
              <w:marTop w:val="0"/>
              <w:marBottom w:val="0"/>
              <w:divBdr>
                <w:top w:val="none" w:sz="0" w:space="0" w:color="auto"/>
                <w:left w:val="none" w:sz="0" w:space="0" w:color="auto"/>
                <w:bottom w:val="none" w:sz="0" w:space="0" w:color="auto"/>
                <w:right w:val="none" w:sz="0" w:space="0" w:color="auto"/>
              </w:divBdr>
            </w:div>
            <w:div w:id="11911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4701">
      <w:marLeft w:val="0"/>
      <w:marRight w:val="0"/>
      <w:marTop w:val="0"/>
      <w:marBottom w:val="0"/>
      <w:divBdr>
        <w:top w:val="none" w:sz="0" w:space="0" w:color="auto"/>
        <w:left w:val="none" w:sz="0" w:space="0" w:color="auto"/>
        <w:bottom w:val="none" w:sz="0" w:space="0" w:color="auto"/>
        <w:right w:val="none" w:sz="0" w:space="0" w:color="auto"/>
      </w:divBdr>
      <w:divsChild>
        <w:div w:id="1191144661">
          <w:marLeft w:val="0"/>
          <w:marRight w:val="0"/>
          <w:marTop w:val="0"/>
          <w:marBottom w:val="0"/>
          <w:divBdr>
            <w:top w:val="none" w:sz="0" w:space="0" w:color="auto"/>
            <w:left w:val="none" w:sz="0" w:space="0" w:color="auto"/>
            <w:bottom w:val="none" w:sz="0" w:space="0" w:color="auto"/>
            <w:right w:val="none" w:sz="0" w:space="0" w:color="auto"/>
          </w:divBdr>
        </w:div>
        <w:div w:id="1191144684">
          <w:marLeft w:val="810"/>
          <w:marRight w:val="810"/>
          <w:marTop w:val="360"/>
          <w:marBottom w:val="0"/>
          <w:divBdr>
            <w:top w:val="none" w:sz="0" w:space="0" w:color="auto"/>
            <w:left w:val="none" w:sz="0" w:space="0" w:color="auto"/>
            <w:bottom w:val="none" w:sz="0" w:space="0" w:color="auto"/>
            <w:right w:val="none" w:sz="0" w:space="0" w:color="auto"/>
          </w:divBdr>
          <w:divsChild>
            <w:div w:id="1191144638">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191144702">
      <w:marLeft w:val="0"/>
      <w:marRight w:val="0"/>
      <w:marTop w:val="0"/>
      <w:marBottom w:val="0"/>
      <w:divBdr>
        <w:top w:val="none" w:sz="0" w:space="0" w:color="auto"/>
        <w:left w:val="none" w:sz="0" w:space="0" w:color="auto"/>
        <w:bottom w:val="none" w:sz="0" w:space="0" w:color="auto"/>
        <w:right w:val="none" w:sz="0" w:space="0" w:color="auto"/>
      </w:divBdr>
      <w:divsChild>
        <w:div w:id="1191144656">
          <w:marLeft w:val="0"/>
          <w:marRight w:val="0"/>
          <w:marTop w:val="0"/>
          <w:marBottom w:val="0"/>
          <w:divBdr>
            <w:top w:val="none" w:sz="0" w:space="0" w:color="auto"/>
            <w:left w:val="none" w:sz="0" w:space="0" w:color="auto"/>
            <w:bottom w:val="none" w:sz="0" w:space="0" w:color="auto"/>
            <w:right w:val="none" w:sz="0" w:space="0" w:color="auto"/>
          </w:divBdr>
          <w:divsChild>
            <w:div w:id="1191144697">
              <w:marLeft w:val="0"/>
              <w:marRight w:val="0"/>
              <w:marTop w:val="0"/>
              <w:marBottom w:val="0"/>
              <w:divBdr>
                <w:top w:val="none" w:sz="0" w:space="0" w:color="auto"/>
                <w:left w:val="none" w:sz="0" w:space="0" w:color="auto"/>
                <w:bottom w:val="none" w:sz="0" w:space="0" w:color="auto"/>
                <w:right w:val="none" w:sz="0" w:space="0" w:color="auto"/>
              </w:divBdr>
            </w:div>
            <w:div w:id="11911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4715">
      <w:marLeft w:val="0"/>
      <w:marRight w:val="0"/>
      <w:marTop w:val="0"/>
      <w:marBottom w:val="0"/>
      <w:divBdr>
        <w:top w:val="none" w:sz="0" w:space="0" w:color="auto"/>
        <w:left w:val="none" w:sz="0" w:space="0" w:color="auto"/>
        <w:bottom w:val="none" w:sz="0" w:space="0" w:color="auto"/>
        <w:right w:val="none" w:sz="0" w:space="0" w:color="auto"/>
      </w:divBdr>
      <w:divsChild>
        <w:div w:id="1191144709">
          <w:marLeft w:val="0"/>
          <w:marRight w:val="0"/>
          <w:marTop w:val="0"/>
          <w:marBottom w:val="0"/>
          <w:divBdr>
            <w:top w:val="none" w:sz="0" w:space="0" w:color="auto"/>
            <w:left w:val="none" w:sz="0" w:space="0" w:color="auto"/>
            <w:bottom w:val="none" w:sz="0" w:space="0" w:color="auto"/>
            <w:right w:val="none" w:sz="0" w:space="0" w:color="auto"/>
          </w:divBdr>
          <w:divsChild>
            <w:div w:id="1191144760">
              <w:marLeft w:val="0"/>
              <w:marRight w:val="0"/>
              <w:marTop w:val="0"/>
              <w:marBottom w:val="0"/>
              <w:divBdr>
                <w:top w:val="none" w:sz="0" w:space="0" w:color="auto"/>
                <w:left w:val="none" w:sz="0" w:space="0" w:color="auto"/>
                <w:bottom w:val="none" w:sz="0" w:space="0" w:color="auto"/>
                <w:right w:val="none" w:sz="0" w:space="0" w:color="auto"/>
              </w:divBdr>
              <w:divsChild>
                <w:div w:id="1191144754">
                  <w:marLeft w:val="0"/>
                  <w:marRight w:val="0"/>
                  <w:marTop w:val="0"/>
                  <w:marBottom w:val="0"/>
                  <w:divBdr>
                    <w:top w:val="none" w:sz="0" w:space="0" w:color="auto"/>
                    <w:left w:val="none" w:sz="0" w:space="0" w:color="auto"/>
                    <w:bottom w:val="none" w:sz="0" w:space="0" w:color="auto"/>
                    <w:right w:val="none" w:sz="0" w:space="0" w:color="auto"/>
                  </w:divBdr>
                  <w:divsChild>
                    <w:div w:id="1191144714">
                      <w:marLeft w:val="-150"/>
                      <w:marRight w:val="-150"/>
                      <w:marTop w:val="0"/>
                      <w:marBottom w:val="0"/>
                      <w:divBdr>
                        <w:top w:val="none" w:sz="0" w:space="0" w:color="auto"/>
                        <w:left w:val="none" w:sz="0" w:space="0" w:color="auto"/>
                        <w:bottom w:val="none" w:sz="0" w:space="0" w:color="auto"/>
                        <w:right w:val="none" w:sz="0" w:space="0" w:color="auto"/>
                      </w:divBdr>
                      <w:divsChild>
                        <w:div w:id="1191144713">
                          <w:marLeft w:val="0"/>
                          <w:marRight w:val="0"/>
                          <w:marTop w:val="0"/>
                          <w:marBottom w:val="0"/>
                          <w:divBdr>
                            <w:top w:val="none" w:sz="0" w:space="0" w:color="auto"/>
                            <w:left w:val="none" w:sz="0" w:space="0" w:color="auto"/>
                            <w:bottom w:val="none" w:sz="0" w:space="0" w:color="auto"/>
                            <w:right w:val="none" w:sz="0" w:space="0" w:color="auto"/>
                          </w:divBdr>
                          <w:divsChild>
                            <w:div w:id="1191144718">
                              <w:marLeft w:val="0"/>
                              <w:marRight w:val="0"/>
                              <w:marTop w:val="0"/>
                              <w:marBottom w:val="0"/>
                              <w:divBdr>
                                <w:top w:val="none" w:sz="0" w:space="0" w:color="auto"/>
                                <w:left w:val="none" w:sz="0" w:space="0" w:color="auto"/>
                                <w:bottom w:val="none" w:sz="0" w:space="0" w:color="auto"/>
                                <w:right w:val="none" w:sz="0" w:space="0" w:color="auto"/>
                              </w:divBdr>
                              <w:divsChild>
                                <w:div w:id="1191144716">
                                  <w:marLeft w:val="0"/>
                                  <w:marRight w:val="0"/>
                                  <w:marTop w:val="0"/>
                                  <w:marBottom w:val="300"/>
                                  <w:divBdr>
                                    <w:top w:val="none" w:sz="0" w:space="0" w:color="auto"/>
                                    <w:left w:val="none" w:sz="0" w:space="0" w:color="auto"/>
                                    <w:bottom w:val="none" w:sz="0" w:space="0" w:color="auto"/>
                                    <w:right w:val="none" w:sz="0" w:space="0" w:color="auto"/>
                                  </w:divBdr>
                                  <w:divsChild>
                                    <w:div w:id="1191144756">
                                      <w:marLeft w:val="0"/>
                                      <w:marRight w:val="0"/>
                                      <w:marTop w:val="0"/>
                                      <w:marBottom w:val="0"/>
                                      <w:divBdr>
                                        <w:top w:val="none" w:sz="0" w:space="0" w:color="auto"/>
                                        <w:left w:val="none" w:sz="0" w:space="0" w:color="auto"/>
                                        <w:bottom w:val="none" w:sz="0" w:space="0" w:color="auto"/>
                                        <w:right w:val="none" w:sz="0" w:space="0" w:color="auto"/>
                                      </w:divBdr>
                                      <w:divsChild>
                                        <w:div w:id="1191144707">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1191144711">
                                                  <w:marLeft w:val="0"/>
                                                  <w:marRight w:val="0"/>
                                                  <w:marTop w:val="0"/>
                                                  <w:marBottom w:val="0"/>
                                                  <w:divBdr>
                                                    <w:top w:val="none" w:sz="0" w:space="0" w:color="auto"/>
                                                    <w:left w:val="none" w:sz="0" w:space="0" w:color="auto"/>
                                                    <w:bottom w:val="none" w:sz="0" w:space="0" w:color="auto"/>
                                                    <w:right w:val="none" w:sz="0" w:space="0" w:color="auto"/>
                                                  </w:divBdr>
                                                  <w:divsChild>
                                                    <w:div w:id="1191144708">
                                                      <w:marLeft w:val="0"/>
                                                      <w:marRight w:val="0"/>
                                                      <w:marTop w:val="0"/>
                                                      <w:marBottom w:val="0"/>
                                                      <w:divBdr>
                                                        <w:top w:val="none" w:sz="0" w:space="0" w:color="auto"/>
                                                        <w:left w:val="none" w:sz="0" w:space="0" w:color="auto"/>
                                                        <w:bottom w:val="none" w:sz="0" w:space="0" w:color="auto"/>
                                                        <w:right w:val="none" w:sz="0" w:space="0" w:color="auto"/>
                                                      </w:divBdr>
                                                      <w:divsChild>
                                                        <w:div w:id="1191144759">
                                                          <w:marLeft w:val="0"/>
                                                          <w:marRight w:val="0"/>
                                                          <w:marTop w:val="0"/>
                                                          <w:marBottom w:val="0"/>
                                                          <w:divBdr>
                                                            <w:top w:val="none" w:sz="0" w:space="0" w:color="auto"/>
                                                            <w:left w:val="none" w:sz="0" w:space="0" w:color="auto"/>
                                                            <w:bottom w:val="none" w:sz="0" w:space="0" w:color="auto"/>
                                                            <w:right w:val="none" w:sz="0" w:space="0" w:color="auto"/>
                                                          </w:divBdr>
                                                          <w:divsChild>
                                                            <w:div w:id="1191144710">
                                                              <w:marLeft w:val="0"/>
                                                              <w:marRight w:val="0"/>
                                                              <w:marTop w:val="0"/>
                                                              <w:marBottom w:val="0"/>
                                                              <w:divBdr>
                                                                <w:top w:val="none" w:sz="0" w:space="0" w:color="auto"/>
                                                                <w:left w:val="none" w:sz="0" w:space="0" w:color="auto"/>
                                                                <w:bottom w:val="none" w:sz="0" w:space="0" w:color="auto"/>
                                                                <w:right w:val="none" w:sz="0" w:space="0" w:color="auto"/>
                                                              </w:divBdr>
                                                              <w:divsChild>
                                                                <w:div w:id="1191144717">
                                                                  <w:marLeft w:val="0"/>
                                                                  <w:marRight w:val="0"/>
                                                                  <w:marTop w:val="0"/>
                                                                  <w:marBottom w:val="0"/>
                                                                  <w:divBdr>
                                                                    <w:top w:val="none" w:sz="0" w:space="0" w:color="auto"/>
                                                                    <w:left w:val="none" w:sz="0" w:space="0" w:color="auto"/>
                                                                    <w:bottom w:val="none" w:sz="0" w:space="0" w:color="auto"/>
                                                                    <w:right w:val="none" w:sz="0" w:space="0" w:color="auto"/>
                                                                  </w:divBdr>
                                                                  <w:divsChild>
                                                                    <w:div w:id="1191144758">
                                                                      <w:marLeft w:val="0"/>
                                                                      <w:marRight w:val="0"/>
                                                                      <w:marTop w:val="0"/>
                                                                      <w:marBottom w:val="0"/>
                                                                      <w:divBdr>
                                                                        <w:top w:val="none" w:sz="0" w:space="0" w:color="auto"/>
                                                                        <w:left w:val="none" w:sz="0" w:space="0" w:color="auto"/>
                                                                        <w:bottom w:val="none" w:sz="0" w:space="0" w:color="auto"/>
                                                                        <w:right w:val="none" w:sz="0" w:space="0" w:color="auto"/>
                                                                      </w:divBdr>
                                                                      <w:divsChild>
                                                                        <w:div w:id="1191144712">
                                                                          <w:marLeft w:val="0"/>
                                                                          <w:marRight w:val="0"/>
                                                                          <w:marTop w:val="0"/>
                                                                          <w:marBottom w:val="0"/>
                                                                          <w:divBdr>
                                                                            <w:top w:val="none" w:sz="0" w:space="0" w:color="auto"/>
                                                                            <w:left w:val="none" w:sz="0" w:space="0" w:color="auto"/>
                                                                            <w:bottom w:val="none" w:sz="0" w:space="0" w:color="auto"/>
                                                                            <w:right w:val="none" w:sz="0" w:space="0" w:color="auto"/>
                                                                          </w:divBdr>
                                                                        </w:div>
                                                                        <w:div w:id="11911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1144736">
      <w:marLeft w:val="0"/>
      <w:marRight w:val="0"/>
      <w:marTop w:val="0"/>
      <w:marBottom w:val="0"/>
      <w:divBdr>
        <w:top w:val="none" w:sz="0" w:space="0" w:color="auto"/>
        <w:left w:val="none" w:sz="0" w:space="0" w:color="auto"/>
        <w:bottom w:val="none" w:sz="0" w:space="0" w:color="auto"/>
        <w:right w:val="none" w:sz="0" w:space="0" w:color="auto"/>
      </w:divBdr>
    </w:div>
    <w:div w:id="1191144737">
      <w:marLeft w:val="0"/>
      <w:marRight w:val="0"/>
      <w:marTop w:val="0"/>
      <w:marBottom w:val="0"/>
      <w:divBdr>
        <w:top w:val="none" w:sz="0" w:space="0" w:color="auto"/>
        <w:left w:val="none" w:sz="0" w:space="0" w:color="auto"/>
        <w:bottom w:val="none" w:sz="0" w:space="0" w:color="auto"/>
        <w:right w:val="none" w:sz="0" w:space="0" w:color="auto"/>
      </w:divBdr>
    </w:div>
    <w:div w:id="1191144738">
      <w:marLeft w:val="0"/>
      <w:marRight w:val="0"/>
      <w:marTop w:val="0"/>
      <w:marBottom w:val="0"/>
      <w:divBdr>
        <w:top w:val="none" w:sz="0" w:space="0" w:color="auto"/>
        <w:left w:val="none" w:sz="0" w:space="0" w:color="auto"/>
        <w:bottom w:val="none" w:sz="0" w:space="0" w:color="auto"/>
        <w:right w:val="none" w:sz="0" w:space="0" w:color="auto"/>
      </w:divBdr>
      <w:divsChild>
        <w:div w:id="1191144739">
          <w:marLeft w:val="480"/>
          <w:marRight w:val="0"/>
          <w:marTop w:val="0"/>
          <w:marBottom w:val="0"/>
          <w:divBdr>
            <w:top w:val="none" w:sz="0" w:space="0" w:color="auto"/>
            <w:left w:val="none" w:sz="0" w:space="0" w:color="auto"/>
            <w:bottom w:val="none" w:sz="0" w:space="0" w:color="auto"/>
            <w:right w:val="none" w:sz="0" w:space="0" w:color="auto"/>
          </w:divBdr>
        </w:div>
        <w:div w:id="1191144742">
          <w:marLeft w:val="480"/>
          <w:marRight w:val="0"/>
          <w:marTop w:val="0"/>
          <w:marBottom w:val="0"/>
          <w:divBdr>
            <w:top w:val="none" w:sz="0" w:space="0" w:color="auto"/>
            <w:left w:val="none" w:sz="0" w:space="0" w:color="auto"/>
            <w:bottom w:val="none" w:sz="0" w:space="0" w:color="auto"/>
            <w:right w:val="none" w:sz="0" w:space="0" w:color="auto"/>
          </w:divBdr>
        </w:div>
      </w:divsChild>
    </w:div>
    <w:div w:id="1191144743">
      <w:marLeft w:val="0"/>
      <w:marRight w:val="0"/>
      <w:marTop w:val="0"/>
      <w:marBottom w:val="0"/>
      <w:divBdr>
        <w:top w:val="none" w:sz="0" w:space="0" w:color="auto"/>
        <w:left w:val="none" w:sz="0" w:space="0" w:color="auto"/>
        <w:bottom w:val="none" w:sz="0" w:space="0" w:color="auto"/>
        <w:right w:val="none" w:sz="0" w:space="0" w:color="auto"/>
      </w:divBdr>
      <w:divsChild>
        <w:div w:id="1191144740">
          <w:marLeft w:val="480"/>
          <w:marRight w:val="0"/>
          <w:marTop w:val="0"/>
          <w:marBottom w:val="0"/>
          <w:divBdr>
            <w:top w:val="none" w:sz="0" w:space="0" w:color="auto"/>
            <w:left w:val="none" w:sz="0" w:space="0" w:color="auto"/>
            <w:bottom w:val="none" w:sz="0" w:space="0" w:color="auto"/>
            <w:right w:val="none" w:sz="0" w:space="0" w:color="auto"/>
          </w:divBdr>
        </w:div>
        <w:div w:id="1191144741">
          <w:marLeft w:val="480"/>
          <w:marRight w:val="0"/>
          <w:marTop w:val="0"/>
          <w:marBottom w:val="0"/>
          <w:divBdr>
            <w:top w:val="none" w:sz="0" w:space="0" w:color="auto"/>
            <w:left w:val="none" w:sz="0" w:space="0" w:color="auto"/>
            <w:bottom w:val="none" w:sz="0" w:space="0" w:color="auto"/>
            <w:right w:val="none" w:sz="0" w:space="0" w:color="auto"/>
          </w:divBdr>
        </w:div>
      </w:divsChild>
    </w:div>
    <w:div w:id="1191144744">
      <w:marLeft w:val="0"/>
      <w:marRight w:val="0"/>
      <w:marTop w:val="0"/>
      <w:marBottom w:val="0"/>
      <w:divBdr>
        <w:top w:val="none" w:sz="0" w:space="0" w:color="auto"/>
        <w:left w:val="none" w:sz="0" w:space="0" w:color="auto"/>
        <w:bottom w:val="none" w:sz="0" w:space="0" w:color="auto"/>
        <w:right w:val="none" w:sz="0" w:space="0" w:color="auto"/>
      </w:divBdr>
    </w:div>
    <w:div w:id="1191144745">
      <w:marLeft w:val="0"/>
      <w:marRight w:val="0"/>
      <w:marTop w:val="0"/>
      <w:marBottom w:val="0"/>
      <w:divBdr>
        <w:top w:val="none" w:sz="0" w:space="0" w:color="auto"/>
        <w:left w:val="none" w:sz="0" w:space="0" w:color="auto"/>
        <w:bottom w:val="none" w:sz="0" w:space="0" w:color="auto"/>
        <w:right w:val="none" w:sz="0" w:space="0" w:color="auto"/>
      </w:divBdr>
    </w:div>
    <w:div w:id="1191144751">
      <w:marLeft w:val="0"/>
      <w:marRight w:val="0"/>
      <w:marTop w:val="0"/>
      <w:marBottom w:val="0"/>
      <w:divBdr>
        <w:top w:val="none" w:sz="0" w:space="0" w:color="auto"/>
        <w:left w:val="none" w:sz="0" w:space="0" w:color="auto"/>
        <w:bottom w:val="none" w:sz="0" w:space="0" w:color="auto"/>
        <w:right w:val="none" w:sz="0" w:space="0" w:color="auto"/>
      </w:divBdr>
      <w:divsChild>
        <w:div w:id="1191144748">
          <w:marLeft w:val="0"/>
          <w:marRight w:val="0"/>
          <w:marTop w:val="100"/>
          <w:marBottom w:val="100"/>
          <w:divBdr>
            <w:top w:val="none" w:sz="0" w:space="0" w:color="auto"/>
            <w:left w:val="none" w:sz="0" w:space="0" w:color="auto"/>
            <w:bottom w:val="none" w:sz="0" w:space="0" w:color="auto"/>
            <w:right w:val="none" w:sz="0" w:space="0" w:color="auto"/>
          </w:divBdr>
          <w:divsChild>
            <w:div w:id="1191144750">
              <w:marLeft w:val="0"/>
              <w:marRight w:val="0"/>
              <w:marTop w:val="225"/>
              <w:marBottom w:val="750"/>
              <w:divBdr>
                <w:top w:val="none" w:sz="0" w:space="0" w:color="auto"/>
                <w:left w:val="none" w:sz="0" w:space="0" w:color="auto"/>
                <w:bottom w:val="none" w:sz="0" w:space="0" w:color="auto"/>
                <w:right w:val="none" w:sz="0" w:space="0" w:color="auto"/>
              </w:divBdr>
              <w:divsChild>
                <w:div w:id="1191144752">
                  <w:marLeft w:val="0"/>
                  <w:marRight w:val="0"/>
                  <w:marTop w:val="0"/>
                  <w:marBottom w:val="0"/>
                  <w:divBdr>
                    <w:top w:val="none" w:sz="0" w:space="0" w:color="auto"/>
                    <w:left w:val="none" w:sz="0" w:space="0" w:color="auto"/>
                    <w:bottom w:val="none" w:sz="0" w:space="0" w:color="auto"/>
                    <w:right w:val="none" w:sz="0" w:space="0" w:color="auto"/>
                  </w:divBdr>
                  <w:divsChild>
                    <w:div w:id="1191144727">
                      <w:marLeft w:val="0"/>
                      <w:marRight w:val="0"/>
                      <w:marTop w:val="0"/>
                      <w:marBottom w:val="0"/>
                      <w:divBdr>
                        <w:top w:val="none" w:sz="0" w:space="0" w:color="auto"/>
                        <w:left w:val="none" w:sz="0" w:space="0" w:color="auto"/>
                        <w:bottom w:val="none" w:sz="0" w:space="0" w:color="auto"/>
                        <w:right w:val="none" w:sz="0" w:space="0" w:color="auto"/>
                      </w:divBdr>
                      <w:divsChild>
                        <w:div w:id="1191144746">
                          <w:marLeft w:val="0"/>
                          <w:marRight w:val="0"/>
                          <w:marTop w:val="0"/>
                          <w:marBottom w:val="0"/>
                          <w:divBdr>
                            <w:top w:val="none" w:sz="0" w:space="0" w:color="auto"/>
                            <w:left w:val="none" w:sz="0" w:space="0" w:color="auto"/>
                            <w:bottom w:val="none" w:sz="0" w:space="0" w:color="auto"/>
                            <w:right w:val="none" w:sz="0" w:space="0" w:color="auto"/>
                          </w:divBdr>
                          <w:divsChild>
                            <w:div w:id="1191144724">
                              <w:marLeft w:val="0"/>
                              <w:marRight w:val="0"/>
                              <w:marTop w:val="0"/>
                              <w:marBottom w:val="0"/>
                              <w:divBdr>
                                <w:top w:val="none" w:sz="0" w:space="0" w:color="auto"/>
                                <w:left w:val="none" w:sz="0" w:space="0" w:color="auto"/>
                                <w:bottom w:val="none" w:sz="0" w:space="0" w:color="auto"/>
                                <w:right w:val="none" w:sz="0" w:space="0" w:color="auto"/>
                              </w:divBdr>
                              <w:divsChild>
                                <w:div w:id="1191144731">
                                  <w:marLeft w:val="0"/>
                                  <w:marRight w:val="0"/>
                                  <w:marTop w:val="0"/>
                                  <w:marBottom w:val="0"/>
                                  <w:divBdr>
                                    <w:top w:val="none" w:sz="0" w:space="0" w:color="auto"/>
                                    <w:left w:val="none" w:sz="0" w:space="0" w:color="auto"/>
                                    <w:bottom w:val="none" w:sz="0" w:space="0" w:color="auto"/>
                                    <w:right w:val="none" w:sz="0" w:space="0" w:color="auto"/>
                                  </w:divBdr>
                                  <w:divsChild>
                                    <w:div w:id="1191144723">
                                      <w:marLeft w:val="0"/>
                                      <w:marRight w:val="0"/>
                                      <w:marTop w:val="0"/>
                                      <w:marBottom w:val="0"/>
                                      <w:divBdr>
                                        <w:top w:val="none" w:sz="0" w:space="0" w:color="auto"/>
                                        <w:left w:val="none" w:sz="0" w:space="0" w:color="auto"/>
                                        <w:bottom w:val="none" w:sz="0" w:space="0" w:color="auto"/>
                                        <w:right w:val="none" w:sz="0" w:space="0" w:color="auto"/>
                                      </w:divBdr>
                                      <w:divsChild>
                                        <w:div w:id="1191144732">
                                          <w:marLeft w:val="0"/>
                                          <w:marRight w:val="0"/>
                                          <w:marTop w:val="0"/>
                                          <w:marBottom w:val="0"/>
                                          <w:divBdr>
                                            <w:top w:val="none" w:sz="0" w:space="0" w:color="auto"/>
                                            <w:left w:val="none" w:sz="0" w:space="0" w:color="auto"/>
                                            <w:bottom w:val="none" w:sz="0" w:space="0" w:color="auto"/>
                                            <w:right w:val="none" w:sz="0" w:space="0" w:color="auto"/>
                                          </w:divBdr>
                                          <w:divsChild>
                                            <w:div w:id="1191144749">
                                              <w:marLeft w:val="0"/>
                                              <w:marRight w:val="0"/>
                                              <w:marTop w:val="0"/>
                                              <w:marBottom w:val="0"/>
                                              <w:divBdr>
                                                <w:top w:val="none" w:sz="0" w:space="0" w:color="auto"/>
                                                <w:left w:val="none" w:sz="0" w:space="0" w:color="auto"/>
                                                <w:bottom w:val="none" w:sz="0" w:space="0" w:color="auto"/>
                                                <w:right w:val="none" w:sz="0" w:space="0" w:color="auto"/>
                                              </w:divBdr>
                                              <w:divsChild>
                                                <w:div w:id="1191144721">
                                                  <w:marLeft w:val="0"/>
                                                  <w:marRight w:val="0"/>
                                                  <w:marTop w:val="0"/>
                                                  <w:marBottom w:val="0"/>
                                                  <w:divBdr>
                                                    <w:top w:val="none" w:sz="0" w:space="0" w:color="auto"/>
                                                    <w:left w:val="none" w:sz="0" w:space="0" w:color="auto"/>
                                                    <w:bottom w:val="none" w:sz="0" w:space="0" w:color="auto"/>
                                                    <w:right w:val="none" w:sz="0" w:space="0" w:color="auto"/>
                                                  </w:divBdr>
                                                  <w:divsChild>
                                                    <w:div w:id="1191144730">
                                                      <w:marLeft w:val="0"/>
                                                      <w:marRight w:val="0"/>
                                                      <w:marTop w:val="0"/>
                                                      <w:marBottom w:val="0"/>
                                                      <w:divBdr>
                                                        <w:top w:val="none" w:sz="0" w:space="0" w:color="auto"/>
                                                        <w:left w:val="none" w:sz="0" w:space="0" w:color="auto"/>
                                                        <w:bottom w:val="none" w:sz="0" w:space="0" w:color="auto"/>
                                                        <w:right w:val="none" w:sz="0" w:space="0" w:color="auto"/>
                                                      </w:divBdr>
                                                      <w:divsChild>
                                                        <w:div w:id="1191144719">
                                                          <w:marLeft w:val="0"/>
                                                          <w:marRight w:val="0"/>
                                                          <w:marTop w:val="0"/>
                                                          <w:marBottom w:val="0"/>
                                                          <w:divBdr>
                                                            <w:top w:val="none" w:sz="0" w:space="0" w:color="auto"/>
                                                            <w:left w:val="none" w:sz="0" w:space="0" w:color="auto"/>
                                                            <w:bottom w:val="none" w:sz="0" w:space="0" w:color="auto"/>
                                                            <w:right w:val="none" w:sz="0" w:space="0" w:color="auto"/>
                                                          </w:divBdr>
                                                          <w:divsChild>
                                                            <w:div w:id="1191144720">
                                                              <w:marLeft w:val="0"/>
                                                              <w:marRight w:val="0"/>
                                                              <w:marTop w:val="0"/>
                                                              <w:marBottom w:val="0"/>
                                                              <w:divBdr>
                                                                <w:top w:val="none" w:sz="0" w:space="0" w:color="auto"/>
                                                                <w:left w:val="none" w:sz="0" w:space="0" w:color="auto"/>
                                                                <w:bottom w:val="none" w:sz="0" w:space="0" w:color="auto"/>
                                                                <w:right w:val="none" w:sz="0" w:space="0" w:color="auto"/>
                                                              </w:divBdr>
                                                            </w:div>
                                                            <w:div w:id="1191144726">
                                                              <w:marLeft w:val="0"/>
                                                              <w:marRight w:val="0"/>
                                                              <w:marTop w:val="0"/>
                                                              <w:marBottom w:val="0"/>
                                                              <w:divBdr>
                                                                <w:top w:val="none" w:sz="0" w:space="0" w:color="auto"/>
                                                                <w:left w:val="none" w:sz="0" w:space="0" w:color="auto"/>
                                                                <w:bottom w:val="none" w:sz="0" w:space="0" w:color="auto"/>
                                                                <w:right w:val="none" w:sz="0" w:space="0" w:color="auto"/>
                                                              </w:divBdr>
                                                            </w:div>
                                                            <w:div w:id="1191144728">
                                                              <w:marLeft w:val="0"/>
                                                              <w:marRight w:val="0"/>
                                                              <w:marTop w:val="0"/>
                                                              <w:marBottom w:val="0"/>
                                                              <w:divBdr>
                                                                <w:top w:val="none" w:sz="0" w:space="0" w:color="auto"/>
                                                                <w:left w:val="none" w:sz="0" w:space="0" w:color="auto"/>
                                                                <w:bottom w:val="none" w:sz="0" w:space="0" w:color="auto"/>
                                                                <w:right w:val="none" w:sz="0" w:space="0" w:color="auto"/>
                                                              </w:divBdr>
                                                              <w:divsChild>
                                                                <w:div w:id="1191144725">
                                                                  <w:marLeft w:val="0"/>
                                                                  <w:marRight w:val="0"/>
                                                                  <w:marTop w:val="0"/>
                                                                  <w:marBottom w:val="0"/>
                                                                  <w:divBdr>
                                                                    <w:top w:val="none" w:sz="0" w:space="0" w:color="auto"/>
                                                                    <w:left w:val="none" w:sz="0" w:space="0" w:color="auto"/>
                                                                    <w:bottom w:val="none" w:sz="0" w:space="0" w:color="auto"/>
                                                                    <w:right w:val="none" w:sz="0" w:space="0" w:color="auto"/>
                                                                  </w:divBdr>
                                                                </w:div>
                                                                <w:div w:id="1191144747">
                                                                  <w:marLeft w:val="0"/>
                                                                  <w:marRight w:val="0"/>
                                                                  <w:marTop w:val="0"/>
                                                                  <w:marBottom w:val="0"/>
                                                                  <w:divBdr>
                                                                    <w:top w:val="none" w:sz="0" w:space="0" w:color="auto"/>
                                                                    <w:left w:val="none" w:sz="0" w:space="0" w:color="auto"/>
                                                                    <w:bottom w:val="none" w:sz="0" w:space="0" w:color="auto"/>
                                                                    <w:right w:val="none" w:sz="0" w:space="0" w:color="auto"/>
                                                                  </w:divBdr>
                                                                </w:div>
                                                              </w:divsChild>
                                                            </w:div>
                                                            <w:div w:id="1191144735">
                                                              <w:marLeft w:val="0"/>
                                                              <w:marRight w:val="0"/>
                                                              <w:marTop w:val="0"/>
                                                              <w:marBottom w:val="0"/>
                                                              <w:divBdr>
                                                                <w:top w:val="none" w:sz="0" w:space="0" w:color="auto"/>
                                                                <w:left w:val="none" w:sz="0" w:space="0" w:color="auto"/>
                                                                <w:bottom w:val="none" w:sz="0" w:space="0" w:color="auto"/>
                                                                <w:right w:val="none" w:sz="0" w:space="0" w:color="auto"/>
                                                              </w:divBdr>
                                                              <w:divsChild>
                                                                <w:div w:id="1191144733">
                                                                  <w:marLeft w:val="0"/>
                                                                  <w:marRight w:val="0"/>
                                                                  <w:marTop w:val="0"/>
                                                                  <w:marBottom w:val="0"/>
                                                                  <w:divBdr>
                                                                    <w:top w:val="none" w:sz="0" w:space="0" w:color="auto"/>
                                                                    <w:left w:val="none" w:sz="0" w:space="0" w:color="auto"/>
                                                                    <w:bottom w:val="none" w:sz="0" w:space="0" w:color="auto"/>
                                                                    <w:right w:val="none" w:sz="0" w:space="0" w:color="auto"/>
                                                                  </w:divBdr>
                                                                </w:div>
                                                                <w:div w:id="11911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4722">
                                                          <w:marLeft w:val="0"/>
                                                          <w:marRight w:val="0"/>
                                                          <w:marTop w:val="0"/>
                                                          <w:marBottom w:val="0"/>
                                                          <w:divBdr>
                                                            <w:top w:val="none" w:sz="0" w:space="0" w:color="auto"/>
                                                            <w:left w:val="none" w:sz="0" w:space="0" w:color="auto"/>
                                                            <w:bottom w:val="none" w:sz="0" w:space="0" w:color="auto"/>
                                                            <w:right w:val="none" w:sz="0" w:space="0" w:color="auto"/>
                                                          </w:divBdr>
                                                        </w:div>
                                                        <w:div w:id="11911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1144757">
      <w:marLeft w:val="0"/>
      <w:marRight w:val="0"/>
      <w:marTop w:val="0"/>
      <w:marBottom w:val="0"/>
      <w:divBdr>
        <w:top w:val="none" w:sz="0" w:space="0" w:color="auto"/>
        <w:left w:val="none" w:sz="0" w:space="0" w:color="auto"/>
        <w:bottom w:val="none" w:sz="0" w:space="0" w:color="auto"/>
        <w:right w:val="none" w:sz="0" w:space="0" w:color="auto"/>
      </w:divBdr>
    </w:div>
    <w:div w:id="1191144761">
      <w:marLeft w:val="0"/>
      <w:marRight w:val="0"/>
      <w:marTop w:val="0"/>
      <w:marBottom w:val="0"/>
      <w:divBdr>
        <w:top w:val="none" w:sz="0" w:space="0" w:color="auto"/>
        <w:left w:val="none" w:sz="0" w:space="0" w:color="auto"/>
        <w:bottom w:val="none" w:sz="0" w:space="0" w:color="auto"/>
        <w:right w:val="none" w:sz="0" w:space="0" w:color="auto"/>
      </w:divBdr>
    </w:div>
    <w:div w:id="1191144771">
      <w:marLeft w:val="0"/>
      <w:marRight w:val="0"/>
      <w:marTop w:val="0"/>
      <w:marBottom w:val="0"/>
      <w:divBdr>
        <w:top w:val="none" w:sz="0" w:space="0" w:color="auto"/>
        <w:left w:val="none" w:sz="0" w:space="0" w:color="auto"/>
        <w:bottom w:val="none" w:sz="0" w:space="0" w:color="auto"/>
        <w:right w:val="none" w:sz="0" w:space="0" w:color="auto"/>
      </w:divBdr>
      <w:divsChild>
        <w:div w:id="1191144648">
          <w:marLeft w:val="255"/>
          <w:marRight w:val="0"/>
          <w:marTop w:val="0"/>
          <w:marBottom w:val="0"/>
          <w:divBdr>
            <w:top w:val="none" w:sz="0" w:space="0" w:color="auto"/>
            <w:left w:val="none" w:sz="0" w:space="0" w:color="auto"/>
            <w:bottom w:val="none" w:sz="0" w:space="0" w:color="auto"/>
            <w:right w:val="none" w:sz="0" w:space="0" w:color="auto"/>
          </w:divBdr>
        </w:div>
        <w:div w:id="1191144687">
          <w:marLeft w:val="255"/>
          <w:marRight w:val="0"/>
          <w:marTop w:val="0"/>
          <w:marBottom w:val="0"/>
          <w:divBdr>
            <w:top w:val="none" w:sz="0" w:space="0" w:color="auto"/>
            <w:left w:val="none" w:sz="0" w:space="0" w:color="auto"/>
            <w:bottom w:val="none" w:sz="0" w:space="0" w:color="auto"/>
            <w:right w:val="none" w:sz="0" w:space="0" w:color="auto"/>
          </w:divBdr>
          <w:divsChild>
            <w:div w:id="1191144778">
              <w:marLeft w:val="255"/>
              <w:marRight w:val="0"/>
              <w:marTop w:val="75"/>
              <w:marBottom w:val="0"/>
              <w:divBdr>
                <w:top w:val="none" w:sz="0" w:space="0" w:color="auto"/>
                <w:left w:val="none" w:sz="0" w:space="0" w:color="auto"/>
                <w:bottom w:val="none" w:sz="0" w:space="0" w:color="auto"/>
                <w:right w:val="none" w:sz="0" w:space="0" w:color="auto"/>
              </w:divBdr>
              <w:divsChild>
                <w:div w:id="1191144663">
                  <w:marLeft w:val="0"/>
                  <w:marRight w:val="225"/>
                  <w:marTop w:val="0"/>
                  <w:marBottom w:val="0"/>
                  <w:divBdr>
                    <w:top w:val="none" w:sz="0" w:space="0" w:color="auto"/>
                    <w:left w:val="none" w:sz="0" w:space="0" w:color="auto"/>
                    <w:bottom w:val="none" w:sz="0" w:space="0" w:color="auto"/>
                    <w:right w:val="none" w:sz="0" w:space="0" w:color="auto"/>
                  </w:divBdr>
                </w:div>
              </w:divsChild>
            </w:div>
            <w:div w:id="1191144780">
              <w:marLeft w:val="255"/>
              <w:marRight w:val="0"/>
              <w:marTop w:val="75"/>
              <w:marBottom w:val="0"/>
              <w:divBdr>
                <w:top w:val="none" w:sz="0" w:space="0" w:color="auto"/>
                <w:left w:val="none" w:sz="0" w:space="0" w:color="auto"/>
                <w:bottom w:val="none" w:sz="0" w:space="0" w:color="auto"/>
                <w:right w:val="none" w:sz="0" w:space="0" w:color="auto"/>
              </w:divBdr>
              <w:divsChild>
                <w:div w:id="11911446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91144774">
      <w:marLeft w:val="0"/>
      <w:marRight w:val="0"/>
      <w:marTop w:val="0"/>
      <w:marBottom w:val="0"/>
      <w:divBdr>
        <w:top w:val="none" w:sz="0" w:space="0" w:color="auto"/>
        <w:left w:val="none" w:sz="0" w:space="0" w:color="auto"/>
        <w:bottom w:val="none" w:sz="0" w:space="0" w:color="auto"/>
        <w:right w:val="none" w:sz="0" w:space="0" w:color="auto"/>
      </w:divBdr>
    </w:div>
    <w:div w:id="1191144775">
      <w:marLeft w:val="0"/>
      <w:marRight w:val="0"/>
      <w:marTop w:val="0"/>
      <w:marBottom w:val="0"/>
      <w:divBdr>
        <w:top w:val="none" w:sz="0" w:space="0" w:color="auto"/>
        <w:left w:val="none" w:sz="0" w:space="0" w:color="auto"/>
        <w:bottom w:val="none" w:sz="0" w:space="0" w:color="auto"/>
        <w:right w:val="none" w:sz="0" w:space="0" w:color="auto"/>
      </w:divBdr>
      <w:divsChild>
        <w:div w:id="1191144644">
          <w:marLeft w:val="0"/>
          <w:marRight w:val="0"/>
          <w:marTop w:val="0"/>
          <w:marBottom w:val="0"/>
          <w:divBdr>
            <w:top w:val="none" w:sz="0" w:space="0" w:color="auto"/>
            <w:left w:val="none" w:sz="0" w:space="0" w:color="auto"/>
            <w:bottom w:val="none" w:sz="0" w:space="0" w:color="auto"/>
            <w:right w:val="none" w:sz="0" w:space="0" w:color="auto"/>
          </w:divBdr>
          <w:divsChild>
            <w:div w:id="1191144639">
              <w:marLeft w:val="0"/>
              <w:marRight w:val="0"/>
              <w:marTop w:val="0"/>
              <w:marBottom w:val="0"/>
              <w:divBdr>
                <w:top w:val="none" w:sz="0" w:space="0" w:color="auto"/>
                <w:left w:val="none" w:sz="0" w:space="0" w:color="auto"/>
                <w:bottom w:val="none" w:sz="0" w:space="0" w:color="auto"/>
                <w:right w:val="none" w:sz="0" w:space="0" w:color="auto"/>
              </w:divBdr>
            </w:div>
            <w:div w:id="1191144669">
              <w:marLeft w:val="0"/>
              <w:marRight w:val="0"/>
              <w:marTop w:val="0"/>
              <w:marBottom w:val="0"/>
              <w:divBdr>
                <w:top w:val="none" w:sz="0" w:space="0" w:color="auto"/>
                <w:left w:val="none" w:sz="0" w:space="0" w:color="auto"/>
                <w:bottom w:val="none" w:sz="0" w:space="0" w:color="auto"/>
                <w:right w:val="none" w:sz="0" w:space="0" w:color="auto"/>
              </w:divBdr>
            </w:div>
            <w:div w:id="1191144673">
              <w:marLeft w:val="0"/>
              <w:marRight w:val="0"/>
              <w:marTop w:val="0"/>
              <w:marBottom w:val="0"/>
              <w:divBdr>
                <w:top w:val="none" w:sz="0" w:space="0" w:color="auto"/>
                <w:left w:val="none" w:sz="0" w:space="0" w:color="auto"/>
                <w:bottom w:val="none" w:sz="0" w:space="0" w:color="auto"/>
                <w:right w:val="none" w:sz="0" w:space="0" w:color="auto"/>
              </w:divBdr>
            </w:div>
            <w:div w:id="11911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4777">
      <w:marLeft w:val="0"/>
      <w:marRight w:val="0"/>
      <w:marTop w:val="0"/>
      <w:marBottom w:val="0"/>
      <w:divBdr>
        <w:top w:val="none" w:sz="0" w:space="0" w:color="auto"/>
        <w:left w:val="none" w:sz="0" w:space="0" w:color="auto"/>
        <w:bottom w:val="none" w:sz="0" w:space="0" w:color="auto"/>
        <w:right w:val="none" w:sz="0" w:space="0" w:color="auto"/>
      </w:divBdr>
      <w:divsChild>
        <w:div w:id="1191144764">
          <w:marLeft w:val="0"/>
          <w:marRight w:val="0"/>
          <w:marTop w:val="0"/>
          <w:marBottom w:val="0"/>
          <w:divBdr>
            <w:top w:val="none" w:sz="0" w:space="0" w:color="auto"/>
            <w:left w:val="none" w:sz="0" w:space="0" w:color="auto"/>
            <w:bottom w:val="none" w:sz="0" w:space="0" w:color="auto"/>
            <w:right w:val="none" w:sz="0" w:space="0" w:color="auto"/>
          </w:divBdr>
        </w:div>
        <w:div w:id="1191144786">
          <w:marLeft w:val="0"/>
          <w:marRight w:val="0"/>
          <w:marTop w:val="0"/>
          <w:marBottom w:val="0"/>
          <w:divBdr>
            <w:top w:val="none" w:sz="0" w:space="0" w:color="auto"/>
            <w:left w:val="none" w:sz="0" w:space="0" w:color="auto"/>
            <w:bottom w:val="none" w:sz="0" w:space="0" w:color="auto"/>
            <w:right w:val="none" w:sz="0" w:space="0" w:color="auto"/>
          </w:divBdr>
        </w:div>
      </w:divsChild>
    </w:div>
    <w:div w:id="1191144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qid=1596703189221&amp;uri=CELEX:32020L1151" TargetMode="External"/><Relationship Id="rId13" Type="http://schemas.openxmlformats.org/officeDocument/2006/relationships/hyperlink" Target="https://www.slov-lex.sk/pravne-predpisy/SK/ZZ/2011/530/201912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SK/TXT/?qid=1596703189221&amp;uri=CELEX:32020L1151" TargetMode="External"/><Relationship Id="rId12" Type="http://schemas.openxmlformats.org/officeDocument/2006/relationships/hyperlink" Target="https://eur-lex.europa.eu/legal-content/SK/TXT/?qid=1596703189221&amp;uri=CELEX:32020L115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lov-lex.sk/pravne-predpisy/SK/ZZ/2011/530/201912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1/530/20191201" TargetMode="External"/><Relationship Id="rId5" Type="http://schemas.openxmlformats.org/officeDocument/2006/relationships/footnotes" Target="footnotes.xml"/><Relationship Id="rId15" Type="http://schemas.openxmlformats.org/officeDocument/2006/relationships/hyperlink" Target="https://www.slov-lex.sk/pravne-predpisy/SK/ZZ/2011/530/20191201" TargetMode="External"/><Relationship Id="rId10" Type="http://schemas.openxmlformats.org/officeDocument/2006/relationships/hyperlink" Target="https://eur-lex.europa.eu/legal-content/SK/TXT/?qid=1596703189221&amp;uri=CELEX:32020L115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SK/TXT/?qid=1596703189221&amp;uri=CELEX:32020L1151" TargetMode="External"/><Relationship Id="rId14" Type="http://schemas.openxmlformats.org/officeDocument/2006/relationships/hyperlink" Target="https://www.slov-lex.sk/pravne-predpisy/SK/ZZ/2011/530/201912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4864</Words>
  <Characters>27728</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32527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Jarosova Michaela</cp:lastModifiedBy>
  <cp:revision>2</cp:revision>
  <cp:lastPrinted>2020-05-27T10:00:00Z</cp:lastPrinted>
  <dcterms:created xsi:type="dcterms:W3CDTF">2020-10-01T06:33:00Z</dcterms:created>
  <dcterms:modified xsi:type="dcterms:W3CDTF">2020-10-01T06:33:00Z</dcterms:modified>
</cp:coreProperties>
</file>