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C03" w:rsidRDefault="00DF0C03" w:rsidP="00E25B9A">
      <w:pPr>
        <w:spacing w:after="0" w:line="240" w:lineRule="auto"/>
        <w:jc w:val="center"/>
        <w:rPr>
          <w:rFonts w:ascii="Times New Roman" w:hAnsi="Times New Roman"/>
          <w:b/>
          <w:sz w:val="24"/>
          <w:szCs w:val="24"/>
        </w:rPr>
      </w:pPr>
      <w:r w:rsidRPr="004A560A">
        <w:rPr>
          <w:rFonts w:ascii="Times New Roman" w:hAnsi="Times New Roman"/>
          <w:b/>
          <w:sz w:val="24"/>
          <w:szCs w:val="24"/>
        </w:rPr>
        <w:t>Dôvodová správa</w:t>
      </w:r>
    </w:p>
    <w:p w:rsidR="004A560A" w:rsidRPr="004A560A" w:rsidRDefault="004A560A" w:rsidP="00E25B9A">
      <w:pPr>
        <w:spacing w:after="0" w:line="240" w:lineRule="auto"/>
        <w:jc w:val="center"/>
        <w:rPr>
          <w:rFonts w:ascii="Times New Roman" w:hAnsi="Times New Roman"/>
          <w:b/>
          <w:sz w:val="24"/>
          <w:szCs w:val="24"/>
        </w:rPr>
      </w:pPr>
    </w:p>
    <w:p w:rsidR="00DF0C03" w:rsidRPr="004A560A" w:rsidRDefault="00DF0C03" w:rsidP="00E25B9A">
      <w:pPr>
        <w:spacing w:after="0" w:line="240" w:lineRule="auto"/>
        <w:jc w:val="both"/>
        <w:rPr>
          <w:rFonts w:ascii="Times New Roman" w:hAnsi="Times New Roman"/>
          <w:b/>
          <w:sz w:val="24"/>
          <w:szCs w:val="24"/>
        </w:rPr>
      </w:pPr>
    </w:p>
    <w:p w:rsidR="00DF0C03" w:rsidRPr="004A560A" w:rsidRDefault="002151A5" w:rsidP="00B535C4">
      <w:pPr>
        <w:pStyle w:val="Nadpis7"/>
        <w:ind w:firstLine="0"/>
        <w:rPr>
          <w:rFonts w:ascii="Times New Roman" w:hAnsi="Times New Roman"/>
          <w:sz w:val="24"/>
        </w:rPr>
      </w:pPr>
      <w:r>
        <w:rPr>
          <w:rFonts w:ascii="Times New Roman" w:hAnsi="Times New Roman"/>
          <w:sz w:val="24"/>
        </w:rPr>
        <w:t>A</w:t>
      </w:r>
      <w:r w:rsidR="002A6A76">
        <w:rPr>
          <w:rFonts w:ascii="Times New Roman" w:hAnsi="Times New Roman"/>
          <w:sz w:val="24"/>
        </w:rPr>
        <w:t xml:space="preserve">. </w:t>
      </w:r>
      <w:r w:rsidR="00DF0C03" w:rsidRPr="004A560A">
        <w:rPr>
          <w:rFonts w:ascii="Times New Roman" w:hAnsi="Times New Roman"/>
          <w:sz w:val="24"/>
        </w:rPr>
        <w:t>Všeobecná časť</w:t>
      </w:r>
    </w:p>
    <w:p w:rsidR="00DF0C03" w:rsidRPr="004A560A" w:rsidRDefault="00DF0C03" w:rsidP="00E25B9A">
      <w:pPr>
        <w:pStyle w:val="Odsekzoznamu"/>
        <w:spacing w:after="0" w:line="240" w:lineRule="auto"/>
        <w:ind w:left="1080"/>
        <w:jc w:val="both"/>
        <w:rPr>
          <w:rFonts w:ascii="Times New Roman" w:hAnsi="Times New Roman"/>
          <w:sz w:val="24"/>
          <w:szCs w:val="24"/>
        </w:rPr>
      </w:pPr>
    </w:p>
    <w:p w:rsidR="00001D6C" w:rsidRPr="004A560A" w:rsidRDefault="00001D6C" w:rsidP="00503CD3">
      <w:pPr>
        <w:spacing w:line="240" w:lineRule="auto"/>
        <w:jc w:val="both"/>
        <w:rPr>
          <w:rFonts w:ascii="Times New Roman" w:hAnsi="Times New Roman"/>
          <w:sz w:val="24"/>
          <w:szCs w:val="24"/>
        </w:rPr>
      </w:pPr>
      <w:r w:rsidRPr="004A560A">
        <w:rPr>
          <w:rFonts w:ascii="Times New Roman" w:hAnsi="Times New Roman"/>
          <w:sz w:val="24"/>
          <w:szCs w:val="24"/>
        </w:rPr>
        <w:t>Ministerstvo financií Slovenskej republiky predkladá</w:t>
      </w:r>
      <w:r w:rsidR="00667102" w:rsidRPr="004A560A">
        <w:rPr>
          <w:rFonts w:ascii="Times New Roman" w:hAnsi="Times New Roman"/>
          <w:sz w:val="24"/>
          <w:szCs w:val="24"/>
        </w:rPr>
        <w:t xml:space="preserve"> na </w:t>
      </w:r>
      <w:r w:rsidR="00870631">
        <w:rPr>
          <w:rFonts w:ascii="Times New Roman" w:hAnsi="Times New Roman"/>
          <w:sz w:val="24"/>
          <w:szCs w:val="24"/>
        </w:rPr>
        <w:t>rokovanie vlády SR</w:t>
      </w:r>
      <w:r w:rsidRPr="004A560A">
        <w:rPr>
          <w:rFonts w:ascii="Times New Roman" w:hAnsi="Times New Roman"/>
          <w:sz w:val="24"/>
          <w:szCs w:val="24"/>
        </w:rPr>
        <w:t xml:space="preserve"> návrh z</w:t>
      </w:r>
      <w:r w:rsidR="00667102" w:rsidRPr="004A560A">
        <w:rPr>
          <w:rFonts w:ascii="Times New Roman" w:hAnsi="Times New Roman"/>
          <w:sz w:val="24"/>
          <w:szCs w:val="24"/>
        </w:rPr>
        <w:t xml:space="preserve">ákona, ktorým sa mení a dopĺňa </w:t>
      </w:r>
      <w:r w:rsidRPr="004A560A">
        <w:rPr>
          <w:rFonts w:ascii="Times New Roman" w:hAnsi="Times New Roman"/>
          <w:sz w:val="24"/>
          <w:szCs w:val="24"/>
        </w:rPr>
        <w:t xml:space="preserve">zákon č. 530/2011 Z. z. o spotrebnej dani z alkoholických nápojov v znení neskorších predpisov </w:t>
      </w:r>
      <w:r w:rsidR="006725C5" w:rsidRPr="004A560A">
        <w:rPr>
          <w:rFonts w:ascii="Times New Roman" w:hAnsi="Times New Roman"/>
          <w:bCs/>
          <w:sz w:val="24"/>
          <w:szCs w:val="24"/>
        </w:rPr>
        <w:t>a ktorým sa mení zákon č. 467/2002 Z. z. o výrobe a uvádzaní liehu na trh v znení neskorších predpisov</w:t>
      </w:r>
      <w:r w:rsidR="006725C5" w:rsidRPr="004A560A">
        <w:rPr>
          <w:rFonts w:ascii="Times New Roman" w:hAnsi="Times New Roman"/>
          <w:sz w:val="24"/>
          <w:szCs w:val="24"/>
        </w:rPr>
        <w:t xml:space="preserve"> </w:t>
      </w:r>
      <w:r w:rsidRPr="004A560A">
        <w:rPr>
          <w:rFonts w:ascii="Times New Roman" w:hAnsi="Times New Roman"/>
          <w:sz w:val="24"/>
          <w:szCs w:val="24"/>
        </w:rPr>
        <w:t>(ďalej len „návrh zákona“).</w:t>
      </w:r>
    </w:p>
    <w:p w:rsidR="00CB0201" w:rsidRPr="004A560A" w:rsidRDefault="00667102" w:rsidP="00503CD3">
      <w:pPr>
        <w:spacing w:line="240" w:lineRule="auto"/>
        <w:jc w:val="both"/>
        <w:rPr>
          <w:rStyle w:val="Zstupntext"/>
          <w:color w:val="000000"/>
          <w:sz w:val="24"/>
          <w:szCs w:val="24"/>
        </w:rPr>
      </w:pPr>
      <w:r w:rsidRPr="004A560A">
        <w:rPr>
          <w:rStyle w:val="Zstupntext"/>
          <w:color w:val="000000"/>
          <w:sz w:val="24"/>
          <w:szCs w:val="24"/>
        </w:rPr>
        <w:t>Hlavným zámerom  predkladaného návrhu</w:t>
      </w:r>
      <w:r w:rsidR="006E7302" w:rsidRPr="004A560A">
        <w:rPr>
          <w:rStyle w:val="Zstupntext"/>
          <w:color w:val="000000"/>
          <w:sz w:val="24"/>
          <w:szCs w:val="24"/>
        </w:rPr>
        <w:t xml:space="preserve"> zákona</w:t>
      </w:r>
      <w:r w:rsidRPr="004A560A">
        <w:rPr>
          <w:rStyle w:val="Zstupntext"/>
          <w:color w:val="000000"/>
          <w:sz w:val="24"/>
          <w:szCs w:val="24"/>
        </w:rPr>
        <w:t xml:space="preserve"> je transpozícia </w:t>
      </w:r>
      <w:r w:rsidRPr="004A560A">
        <w:rPr>
          <w:rFonts w:ascii="Times New Roman" w:hAnsi="Times New Roman"/>
          <w:sz w:val="24"/>
          <w:szCs w:val="24"/>
        </w:rPr>
        <w:t xml:space="preserve">smernice Rady (EÚ) 2020/262 z 19. decembra 2019, ktorou sa ustanovuje všeobecný systém spotrebných daní </w:t>
      </w:r>
      <w:r w:rsidR="00BA15D9" w:rsidRPr="004A560A">
        <w:rPr>
          <w:rFonts w:ascii="Times New Roman" w:hAnsi="Times New Roman"/>
          <w:sz w:val="24"/>
          <w:szCs w:val="24"/>
        </w:rPr>
        <w:t xml:space="preserve">(ďalej len „smernica 2020/262“) </w:t>
      </w:r>
      <w:r w:rsidRPr="004A560A">
        <w:rPr>
          <w:rStyle w:val="Zstupntext"/>
          <w:color w:val="000000"/>
          <w:sz w:val="24"/>
          <w:szCs w:val="24"/>
        </w:rPr>
        <w:t>do vnútroštátnej legislatívy</w:t>
      </w:r>
      <w:r w:rsidR="00837BB6" w:rsidRPr="004A560A">
        <w:rPr>
          <w:rStyle w:val="Zstupntext"/>
          <w:color w:val="000000"/>
          <w:sz w:val="24"/>
          <w:szCs w:val="24"/>
        </w:rPr>
        <w:t>. Cieľom predmetnej smernice je najmä z</w:t>
      </w:r>
      <w:r w:rsidR="006C517C" w:rsidRPr="004A560A">
        <w:rPr>
          <w:rFonts w:ascii="Times New Roman" w:hAnsi="Times New Roman"/>
          <w:sz w:val="24"/>
          <w:szCs w:val="24"/>
        </w:rPr>
        <w:t>nížiť administratívnu záťaž daňových subjektov</w:t>
      </w:r>
      <w:r w:rsidR="00837BB6" w:rsidRPr="004A560A">
        <w:rPr>
          <w:rFonts w:ascii="Times New Roman" w:hAnsi="Times New Roman"/>
          <w:sz w:val="24"/>
          <w:szCs w:val="24"/>
        </w:rPr>
        <w:t>, ako i</w:t>
      </w:r>
      <w:r w:rsidR="006C517C" w:rsidRPr="004A560A">
        <w:rPr>
          <w:rFonts w:ascii="Times New Roman" w:hAnsi="Times New Roman"/>
          <w:sz w:val="24"/>
          <w:szCs w:val="24"/>
        </w:rPr>
        <w:t xml:space="preserve"> správcov dane a minimalizovať daňové úniky pri preprave tovarov podliehajúcich spotrebnej dani medzi jednotlivými členskými štátmi Európskej únie</w:t>
      </w:r>
      <w:r w:rsidR="00837BB6" w:rsidRPr="004A560A">
        <w:rPr>
          <w:rFonts w:ascii="Times New Roman" w:hAnsi="Times New Roman"/>
          <w:sz w:val="24"/>
          <w:szCs w:val="24"/>
        </w:rPr>
        <w:t xml:space="preserve">. Z toho dôvodu </w:t>
      </w:r>
      <w:r w:rsidR="006C517C" w:rsidRPr="004A560A">
        <w:rPr>
          <w:rFonts w:ascii="Times New Roman" w:hAnsi="Times New Roman"/>
          <w:sz w:val="24"/>
          <w:szCs w:val="24"/>
        </w:rPr>
        <w:t xml:space="preserve">sa na základe rozhodnutia Európskeho parlamentu a Rady (EÚ) 2020/263 o informatizácii prepravy a kontroly tovaru podliehajúceho spotrebnej dani dopĺňa </w:t>
      </w:r>
      <w:r w:rsidR="00837BB6" w:rsidRPr="004A560A">
        <w:rPr>
          <w:rFonts w:ascii="Times New Roman" w:hAnsi="Times New Roman"/>
          <w:sz w:val="24"/>
          <w:szCs w:val="24"/>
        </w:rPr>
        <w:t xml:space="preserve">súčasný </w:t>
      </w:r>
      <w:r w:rsidR="006C517C" w:rsidRPr="004A560A">
        <w:rPr>
          <w:rFonts w:ascii="Times New Roman" w:hAnsi="Times New Roman"/>
          <w:sz w:val="24"/>
          <w:szCs w:val="24"/>
        </w:rPr>
        <w:t>elektronický systém kontroly prepravy tovarov o</w:t>
      </w:r>
      <w:r w:rsidR="006C517C" w:rsidRPr="004A560A">
        <w:rPr>
          <w:rStyle w:val="Zstupntext"/>
          <w:color w:val="000000"/>
          <w:sz w:val="24"/>
          <w:szCs w:val="24"/>
        </w:rPr>
        <w:t xml:space="preserve"> povinnosť prepravovať alkoholické nápoje uvedené do daňového voľného obehu </w:t>
      </w:r>
      <w:r w:rsidR="00837BB6" w:rsidRPr="004A560A">
        <w:rPr>
          <w:rStyle w:val="Zstupntext"/>
          <w:color w:val="000000"/>
          <w:sz w:val="24"/>
          <w:szCs w:val="24"/>
        </w:rPr>
        <w:t>na daňovom území, alebo na území iného členského štátu</w:t>
      </w:r>
      <w:r w:rsidR="006C517C" w:rsidRPr="004A560A">
        <w:rPr>
          <w:rStyle w:val="Zstupntext"/>
          <w:color w:val="000000"/>
          <w:sz w:val="24"/>
          <w:szCs w:val="24"/>
        </w:rPr>
        <w:t xml:space="preserve"> s</w:t>
      </w:r>
      <w:r w:rsidR="00C27D0A" w:rsidRPr="004A560A">
        <w:rPr>
          <w:rStyle w:val="Zstupntext"/>
          <w:color w:val="000000"/>
          <w:sz w:val="24"/>
          <w:szCs w:val="24"/>
        </w:rPr>
        <w:t> </w:t>
      </w:r>
      <w:r w:rsidR="006C517C" w:rsidRPr="004A560A">
        <w:rPr>
          <w:rStyle w:val="Zstupntext"/>
          <w:color w:val="000000"/>
          <w:sz w:val="24"/>
          <w:szCs w:val="24"/>
        </w:rPr>
        <w:t>elektronickým</w:t>
      </w:r>
      <w:r w:rsidR="00C27D0A" w:rsidRPr="004A560A">
        <w:rPr>
          <w:rStyle w:val="Zstupntext"/>
          <w:color w:val="000000"/>
          <w:sz w:val="24"/>
          <w:szCs w:val="24"/>
        </w:rPr>
        <w:t xml:space="preserve"> zjednodušeným administratívnym </w:t>
      </w:r>
      <w:r w:rsidR="006C517C" w:rsidRPr="004A560A">
        <w:rPr>
          <w:rStyle w:val="Zstupntext"/>
          <w:color w:val="000000"/>
          <w:sz w:val="24"/>
          <w:szCs w:val="24"/>
        </w:rPr>
        <w:t xml:space="preserve">dokumentom. </w:t>
      </w:r>
    </w:p>
    <w:p w:rsidR="00AB5931" w:rsidRPr="004A560A" w:rsidRDefault="00837BB6" w:rsidP="00503CD3">
      <w:pPr>
        <w:spacing w:line="240" w:lineRule="auto"/>
        <w:jc w:val="both"/>
        <w:rPr>
          <w:rFonts w:ascii="Times New Roman" w:hAnsi="Times New Roman"/>
          <w:sz w:val="24"/>
          <w:szCs w:val="24"/>
        </w:rPr>
      </w:pPr>
      <w:r w:rsidRPr="004A560A">
        <w:rPr>
          <w:rStyle w:val="Zstupntext"/>
          <w:color w:val="000000"/>
          <w:sz w:val="24"/>
          <w:szCs w:val="24"/>
        </w:rPr>
        <w:t xml:space="preserve">Zároveň sa transponuje smernica </w:t>
      </w:r>
      <w:r w:rsidRPr="004A560A">
        <w:rPr>
          <w:rFonts w:ascii="Times New Roman" w:hAnsi="Times New Roman"/>
          <w:sz w:val="24"/>
          <w:szCs w:val="24"/>
        </w:rPr>
        <w:t xml:space="preserve">Rady (EÚ) 2019/475 z 18. februára 2019, ktorou sa menia smernice 2006/112/ES a 2008/118/ES, pokiaľ ide o začlenenie talianskej obce </w:t>
      </w:r>
      <w:proofErr w:type="spellStart"/>
      <w:r w:rsidRPr="004A560A">
        <w:rPr>
          <w:rFonts w:ascii="Times New Roman" w:hAnsi="Times New Roman"/>
          <w:sz w:val="24"/>
          <w:szCs w:val="24"/>
        </w:rPr>
        <w:t>Campione</w:t>
      </w:r>
      <w:proofErr w:type="spellEnd"/>
      <w:r w:rsidRPr="004A560A">
        <w:rPr>
          <w:rFonts w:ascii="Times New Roman" w:hAnsi="Times New Roman"/>
          <w:sz w:val="24"/>
          <w:szCs w:val="24"/>
        </w:rPr>
        <w:t xml:space="preserve"> </w:t>
      </w:r>
      <w:proofErr w:type="spellStart"/>
      <w:r w:rsidRPr="004A560A">
        <w:rPr>
          <w:rFonts w:ascii="Times New Roman" w:hAnsi="Times New Roman"/>
          <w:sz w:val="24"/>
          <w:szCs w:val="24"/>
        </w:rPr>
        <w:t>d´Italia</w:t>
      </w:r>
      <w:proofErr w:type="spellEnd"/>
      <w:r w:rsidRPr="004A560A">
        <w:rPr>
          <w:rFonts w:ascii="Times New Roman" w:hAnsi="Times New Roman"/>
          <w:sz w:val="24"/>
          <w:szCs w:val="24"/>
        </w:rPr>
        <w:t xml:space="preserve"> a talianskych vôd jazera </w:t>
      </w:r>
      <w:proofErr w:type="spellStart"/>
      <w:r w:rsidRPr="004A560A">
        <w:rPr>
          <w:rFonts w:ascii="Times New Roman" w:hAnsi="Times New Roman"/>
          <w:sz w:val="24"/>
          <w:szCs w:val="24"/>
        </w:rPr>
        <w:t>Lugano</w:t>
      </w:r>
      <w:proofErr w:type="spellEnd"/>
      <w:r w:rsidRPr="004A560A">
        <w:rPr>
          <w:rFonts w:ascii="Times New Roman" w:hAnsi="Times New Roman"/>
          <w:sz w:val="24"/>
          <w:szCs w:val="24"/>
        </w:rPr>
        <w:t xml:space="preserve"> a</w:t>
      </w:r>
      <w:r w:rsidR="00CB0201" w:rsidRPr="004A560A">
        <w:rPr>
          <w:rFonts w:ascii="Times New Roman" w:hAnsi="Times New Roman"/>
          <w:sz w:val="24"/>
          <w:szCs w:val="24"/>
        </w:rPr>
        <w:t xml:space="preserve"> smernica Rady (EÚ) 2019/2235 zo 16. decembra 2019, ktorou sa mení smernica 2006/112/ES o spoločnom systéme dane z pridanej hodnoty a smernica 2008/118/ES o všeobecnom systéme spotrebných daní, pokiaľ ide o obranné úsilie v rámci Únie.</w:t>
      </w:r>
      <w:r w:rsidR="007906BC" w:rsidRPr="004A560A">
        <w:rPr>
          <w:rFonts w:ascii="Times New Roman" w:hAnsi="Times New Roman"/>
          <w:sz w:val="24"/>
          <w:szCs w:val="24"/>
        </w:rPr>
        <w:t xml:space="preserve"> Transpozíciu citovanej smernice oddialilo opakované odloženie schválenia smernice Rady EÚ 2020/1151, ktorou sa mení smernica 92/83/EHS o zosúladení štruktúr spotrebných daní pre etanol a alkoholické nápoje, ktorá mala byť premietnutá v návrhu zákona najmä v súvislosti s opätovným zavedením oslobodenia pre výživové doplnky od spotrebnej dane.</w:t>
      </w:r>
    </w:p>
    <w:p w:rsidR="005B7897" w:rsidRPr="004A560A" w:rsidRDefault="005B7897" w:rsidP="005B7897">
      <w:pPr>
        <w:pStyle w:val="Zkladntext0"/>
        <w:autoSpaceDE w:val="0"/>
        <w:autoSpaceDN w:val="0"/>
        <w:jc w:val="both"/>
        <w:rPr>
          <w:color w:val="auto"/>
        </w:rPr>
      </w:pPr>
      <w:r w:rsidRPr="004A560A">
        <w:t xml:space="preserve">V súlade so smernicou Rady (EÚ) 2020/1151 z 29. júla 2020, </w:t>
      </w:r>
      <w:r w:rsidRPr="004A560A">
        <w:rPr>
          <w:color w:val="auto"/>
        </w:rPr>
        <w:t>ktorou sa mení smernica 92/83/EHS o zosúladení štruktúr spotrebných daní pre etanol a alkoholické nápoje</w:t>
      </w:r>
      <w:r w:rsidRPr="004A560A">
        <w:t xml:space="preserve"> sa ukončuje </w:t>
      </w:r>
      <w:r w:rsidRPr="004A560A">
        <w:rPr>
          <w:color w:val="auto"/>
        </w:rPr>
        <w:t>súkromná výroba destilátu a zavádza sa oslobodenie výživových doplnkov od spotrebnej dane z liehu.</w:t>
      </w:r>
    </w:p>
    <w:p w:rsidR="005B7897" w:rsidRPr="004A560A" w:rsidRDefault="005B7897" w:rsidP="005B7897">
      <w:pPr>
        <w:pStyle w:val="Zkladntext0"/>
        <w:autoSpaceDE w:val="0"/>
        <w:autoSpaceDN w:val="0"/>
        <w:jc w:val="both"/>
        <w:rPr>
          <w:rStyle w:val="Zstupntext"/>
          <w:color w:val="000000"/>
        </w:rPr>
      </w:pPr>
    </w:p>
    <w:p w:rsidR="00503CD3" w:rsidRPr="004A560A" w:rsidRDefault="00CB0201" w:rsidP="00503CD3">
      <w:pPr>
        <w:spacing w:line="240" w:lineRule="auto"/>
        <w:jc w:val="both"/>
        <w:rPr>
          <w:rFonts w:ascii="Times New Roman" w:hAnsi="Times New Roman"/>
          <w:sz w:val="24"/>
          <w:szCs w:val="24"/>
        </w:rPr>
      </w:pPr>
      <w:r w:rsidRPr="004A560A">
        <w:rPr>
          <w:rFonts w:ascii="Times New Roman" w:hAnsi="Times New Roman"/>
          <w:sz w:val="24"/>
          <w:szCs w:val="24"/>
        </w:rPr>
        <w:t>Okrem transpozičných úprav obsahuje n</w:t>
      </w:r>
      <w:r w:rsidR="00837BB6" w:rsidRPr="004A560A">
        <w:rPr>
          <w:rFonts w:ascii="Times New Roman" w:hAnsi="Times New Roman"/>
          <w:sz w:val="24"/>
          <w:szCs w:val="24"/>
        </w:rPr>
        <w:t xml:space="preserve">ávrh zákona </w:t>
      </w:r>
      <w:r w:rsidR="00503CD3" w:rsidRPr="004A560A">
        <w:rPr>
          <w:rFonts w:ascii="Times New Roman" w:hAnsi="Times New Roman"/>
          <w:sz w:val="24"/>
          <w:szCs w:val="24"/>
        </w:rPr>
        <w:t>úpravy vyplývajúce z poznatkov aplikačnej praxe.</w:t>
      </w:r>
    </w:p>
    <w:p w:rsidR="00B72B6B" w:rsidRPr="00333609" w:rsidRDefault="00B72B6B" w:rsidP="00B72B6B">
      <w:pPr>
        <w:spacing w:after="0" w:line="240" w:lineRule="auto"/>
        <w:jc w:val="both"/>
        <w:rPr>
          <w:rFonts w:ascii="Times New Roman" w:hAnsi="Times New Roman"/>
          <w:sz w:val="24"/>
          <w:szCs w:val="24"/>
        </w:rPr>
      </w:pPr>
      <w:r w:rsidRPr="00333609">
        <w:rPr>
          <w:rFonts w:ascii="Times New Roman" w:hAnsi="Times New Roman"/>
          <w:sz w:val="24"/>
          <w:szCs w:val="24"/>
        </w:rPr>
        <w:t>Tento zákon nadobúda účinnosť 1. júla 2021 okrem čl. I</w:t>
      </w:r>
      <w:r>
        <w:rPr>
          <w:rFonts w:ascii="Times New Roman" w:hAnsi="Times New Roman"/>
          <w:sz w:val="24"/>
          <w:szCs w:val="24"/>
        </w:rPr>
        <w:t> </w:t>
      </w:r>
      <w:r w:rsidRPr="00333609">
        <w:rPr>
          <w:rFonts w:ascii="Times New Roman" w:hAnsi="Times New Roman"/>
          <w:sz w:val="24"/>
          <w:szCs w:val="24"/>
        </w:rPr>
        <w:t>bod</w:t>
      </w:r>
      <w:r>
        <w:rPr>
          <w:rFonts w:ascii="Times New Roman" w:hAnsi="Times New Roman"/>
          <w:sz w:val="24"/>
          <w:szCs w:val="24"/>
        </w:rPr>
        <w:t>ov</w:t>
      </w:r>
      <w:r w:rsidRPr="00333609">
        <w:rPr>
          <w:rFonts w:ascii="Times New Roman" w:hAnsi="Times New Roman"/>
          <w:sz w:val="24"/>
          <w:szCs w:val="24"/>
        </w:rPr>
        <w:t xml:space="preserve"> </w:t>
      </w:r>
      <w:r>
        <w:rPr>
          <w:rFonts w:ascii="Times New Roman" w:hAnsi="Times New Roman"/>
          <w:sz w:val="24"/>
          <w:szCs w:val="24"/>
        </w:rPr>
        <w:t>65, 67, 106, 110 a 113</w:t>
      </w:r>
      <w:r w:rsidRPr="00333609">
        <w:rPr>
          <w:rFonts w:ascii="Times New Roman" w:hAnsi="Times New Roman"/>
          <w:sz w:val="24"/>
          <w:szCs w:val="24"/>
        </w:rPr>
        <w:t>, ktor</w:t>
      </w:r>
      <w:r>
        <w:rPr>
          <w:rFonts w:ascii="Times New Roman" w:hAnsi="Times New Roman"/>
          <w:sz w:val="24"/>
          <w:szCs w:val="24"/>
        </w:rPr>
        <w:t>é</w:t>
      </w:r>
      <w:r w:rsidRPr="00333609">
        <w:rPr>
          <w:rFonts w:ascii="Times New Roman" w:hAnsi="Times New Roman"/>
          <w:sz w:val="24"/>
          <w:szCs w:val="24"/>
        </w:rPr>
        <w:t xml:space="preserve"> nadobúda</w:t>
      </w:r>
      <w:r>
        <w:rPr>
          <w:rFonts w:ascii="Times New Roman" w:hAnsi="Times New Roman"/>
          <w:sz w:val="24"/>
          <w:szCs w:val="24"/>
        </w:rPr>
        <w:t>jú</w:t>
      </w:r>
      <w:r w:rsidRPr="00333609">
        <w:rPr>
          <w:rFonts w:ascii="Times New Roman" w:hAnsi="Times New Roman"/>
          <w:sz w:val="24"/>
          <w:szCs w:val="24"/>
        </w:rPr>
        <w:t xml:space="preserve"> účinnosť 1. </w:t>
      </w:r>
      <w:r>
        <w:rPr>
          <w:rFonts w:ascii="Times New Roman" w:hAnsi="Times New Roman"/>
          <w:sz w:val="24"/>
          <w:szCs w:val="24"/>
        </w:rPr>
        <w:t>októbra</w:t>
      </w:r>
      <w:r w:rsidRPr="00333609">
        <w:rPr>
          <w:rFonts w:ascii="Times New Roman" w:hAnsi="Times New Roman"/>
          <w:sz w:val="24"/>
          <w:szCs w:val="24"/>
        </w:rPr>
        <w:t xml:space="preserve"> 2021, čl. I bodu </w:t>
      </w:r>
      <w:r>
        <w:rPr>
          <w:rFonts w:ascii="Times New Roman" w:hAnsi="Times New Roman"/>
          <w:sz w:val="24"/>
          <w:szCs w:val="24"/>
        </w:rPr>
        <w:t xml:space="preserve">125, ktorý nadobúda účinnosť 1. novembra 2021, čl. I bodu </w:t>
      </w:r>
      <w:r w:rsidRPr="00333609">
        <w:rPr>
          <w:rFonts w:ascii="Times New Roman" w:hAnsi="Times New Roman"/>
          <w:sz w:val="24"/>
          <w:szCs w:val="24"/>
        </w:rPr>
        <w:t>6</w:t>
      </w:r>
      <w:r>
        <w:rPr>
          <w:rFonts w:ascii="Times New Roman" w:hAnsi="Times New Roman"/>
          <w:sz w:val="24"/>
          <w:szCs w:val="24"/>
        </w:rPr>
        <w:t>9</w:t>
      </w:r>
      <w:r w:rsidRPr="00333609">
        <w:rPr>
          <w:rFonts w:ascii="Times New Roman" w:hAnsi="Times New Roman"/>
          <w:sz w:val="24"/>
          <w:szCs w:val="24"/>
        </w:rPr>
        <w:t>, ktorý nadobúda účinnosť</w:t>
      </w:r>
      <w:r>
        <w:rPr>
          <w:rFonts w:ascii="Times New Roman" w:hAnsi="Times New Roman"/>
          <w:sz w:val="24"/>
          <w:szCs w:val="24"/>
        </w:rPr>
        <w:t xml:space="preserve"> 1. januára 2022, čl.  I bodov 6</w:t>
      </w:r>
      <w:r w:rsidRPr="00333609">
        <w:rPr>
          <w:rFonts w:ascii="Times New Roman" w:hAnsi="Times New Roman"/>
          <w:sz w:val="24"/>
          <w:szCs w:val="24"/>
        </w:rPr>
        <w:t>, 1</w:t>
      </w:r>
      <w:r>
        <w:rPr>
          <w:rFonts w:ascii="Times New Roman" w:hAnsi="Times New Roman"/>
          <w:sz w:val="24"/>
          <w:szCs w:val="24"/>
        </w:rPr>
        <w:t>6</w:t>
      </w:r>
      <w:r w:rsidRPr="00333609">
        <w:rPr>
          <w:rFonts w:ascii="Times New Roman" w:hAnsi="Times New Roman"/>
          <w:sz w:val="24"/>
          <w:szCs w:val="24"/>
        </w:rPr>
        <w:t>, 1</w:t>
      </w:r>
      <w:r>
        <w:rPr>
          <w:rFonts w:ascii="Times New Roman" w:hAnsi="Times New Roman"/>
          <w:sz w:val="24"/>
          <w:szCs w:val="24"/>
        </w:rPr>
        <w:t>9</w:t>
      </w:r>
      <w:r w:rsidRPr="00333609">
        <w:rPr>
          <w:rFonts w:ascii="Times New Roman" w:hAnsi="Times New Roman"/>
          <w:sz w:val="24"/>
          <w:szCs w:val="24"/>
        </w:rPr>
        <w:t>, 3</w:t>
      </w:r>
      <w:r>
        <w:rPr>
          <w:rFonts w:ascii="Times New Roman" w:hAnsi="Times New Roman"/>
          <w:sz w:val="24"/>
          <w:szCs w:val="24"/>
        </w:rPr>
        <w:t>6</w:t>
      </w:r>
      <w:r w:rsidRPr="00333609">
        <w:rPr>
          <w:rFonts w:ascii="Times New Roman" w:hAnsi="Times New Roman"/>
          <w:sz w:val="24"/>
          <w:szCs w:val="24"/>
        </w:rPr>
        <w:t>, 3</w:t>
      </w:r>
      <w:r>
        <w:rPr>
          <w:rFonts w:ascii="Times New Roman" w:hAnsi="Times New Roman"/>
          <w:sz w:val="24"/>
          <w:szCs w:val="24"/>
        </w:rPr>
        <w:t>8</w:t>
      </w:r>
      <w:r w:rsidRPr="00333609">
        <w:rPr>
          <w:rFonts w:ascii="Times New Roman" w:hAnsi="Times New Roman"/>
          <w:sz w:val="24"/>
          <w:szCs w:val="24"/>
        </w:rPr>
        <w:t>, 8</w:t>
      </w:r>
      <w:r>
        <w:rPr>
          <w:rFonts w:ascii="Times New Roman" w:hAnsi="Times New Roman"/>
          <w:sz w:val="24"/>
          <w:szCs w:val="24"/>
        </w:rPr>
        <w:t>5, 114</w:t>
      </w:r>
      <w:r w:rsidRPr="00333609">
        <w:rPr>
          <w:rFonts w:ascii="Times New Roman" w:hAnsi="Times New Roman"/>
          <w:sz w:val="24"/>
          <w:szCs w:val="24"/>
        </w:rPr>
        <w:t xml:space="preserve"> a § 76f v bode 12</w:t>
      </w:r>
      <w:r>
        <w:rPr>
          <w:rFonts w:ascii="Times New Roman" w:hAnsi="Times New Roman"/>
          <w:sz w:val="24"/>
          <w:szCs w:val="24"/>
        </w:rPr>
        <w:t>4</w:t>
      </w:r>
      <w:r w:rsidRPr="00333609">
        <w:rPr>
          <w:rFonts w:ascii="Times New Roman" w:hAnsi="Times New Roman"/>
          <w:sz w:val="24"/>
          <w:szCs w:val="24"/>
        </w:rPr>
        <w:t>, ktoré nadobúdajú účinnosť 1. júla 2022 a čl. I bodov 1</w:t>
      </w:r>
      <w:r>
        <w:rPr>
          <w:rFonts w:ascii="Times New Roman" w:hAnsi="Times New Roman"/>
          <w:sz w:val="24"/>
          <w:szCs w:val="24"/>
        </w:rPr>
        <w:t>5</w:t>
      </w:r>
      <w:r w:rsidRPr="00333609">
        <w:rPr>
          <w:rFonts w:ascii="Times New Roman" w:hAnsi="Times New Roman"/>
          <w:sz w:val="24"/>
          <w:szCs w:val="24"/>
        </w:rPr>
        <w:t>, 1</w:t>
      </w:r>
      <w:r>
        <w:rPr>
          <w:rFonts w:ascii="Times New Roman" w:hAnsi="Times New Roman"/>
          <w:sz w:val="24"/>
          <w:szCs w:val="24"/>
        </w:rPr>
        <w:t>7, 18, 20 a</w:t>
      </w:r>
      <w:r w:rsidRPr="00333609">
        <w:rPr>
          <w:rFonts w:ascii="Times New Roman" w:hAnsi="Times New Roman"/>
          <w:sz w:val="24"/>
          <w:szCs w:val="24"/>
        </w:rPr>
        <w:t>ž 2</w:t>
      </w:r>
      <w:r>
        <w:rPr>
          <w:rFonts w:ascii="Times New Roman" w:hAnsi="Times New Roman"/>
          <w:sz w:val="24"/>
          <w:szCs w:val="24"/>
        </w:rPr>
        <w:t>2</w:t>
      </w:r>
      <w:r w:rsidRPr="00333609">
        <w:rPr>
          <w:rFonts w:ascii="Times New Roman" w:hAnsi="Times New Roman"/>
          <w:sz w:val="24"/>
          <w:szCs w:val="24"/>
        </w:rPr>
        <w:t>, 4</w:t>
      </w:r>
      <w:r>
        <w:rPr>
          <w:rFonts w:ascii="Times New Roman" w:hAnsi="Times New Roman"/>
          <w:sz w:val="24"/>
          <w:szCs w:val="24"/>
        </w:rPr>
        <w:t>6</w:t>
      </w:r>
      <w:r w:rsidRPr="00333609">
        <w:rPr>
          <w:rFonts w:ascii="Times New Roman" w:hAnsi="Times New Roman"/>
          <w:sz w:val="24"/>
          <w:szCs w:val="24"/>
        </w:rPr>
        <w:t>, 5</w:t>
      </w:r>
      <w:r>
        <w:rPr>
          <w:rFonts w:ascii="Times New Roman" w:hAnsi="Times New Roman"/>
          <w:sz w:val="24"/>
          <w:szCs w:val="24"/>
        </w:rPr>
        <w:t>3</w:t>
      </w:r>
      <w:r w:rsidRPr="00333609">
        <w:rPr>
          <w:rFonts w:ascii="Times New Roman" w:hAnsi="Times New Roman"/>
          <w:sz w:val="24"/>
          <w:szCs w:val="24"/>
        </w:rPr>
        <w:t xml:space="preserve"> až 5</w:t>
      </w:r>
      <w:r>
        <w:rPr>
          <w:rFonts w:ascii="Times New Roman" w:hAnsi="Times New Roman"/>
          <w:sz w:val="24"/>
          <w:szCs w:val="24"/>
        </w:rPr>
        <w:t>8</w:t>
      </w:r>
      <w:r w:rsidRPr="00333609">
        <w:rPr>
          <w:rFonts w:ascii="Times New Roman" w:hAnsi="Times New Roman"/>
          <w:sz w:val="24"/>
          <w:szCs w:val="24"/>
        </w:rPr>
        <w:t>, 6</w:t>
      </w:r>
      <w:r>
        <w:rPr>
          <w:rFonts w:ascii="Times New Roman" w:hAnsi="Times New Roman"/>
          <w:sz w:val="24"/>
          <w:szCs w:val="24"/>
        </w:rPr>
        <w:t>1</w:t>
      </w:r>
      <w:r w:rsidRPr="00333609">
        <w:rPr>
          <w:rFonts w:ascii="Times New Roman" w:hAnsi="Times New Roman"/>
          <w:sz w:val="24"/>
          <w:szCs w:val="24"/>
        </w:rPr>
        <w:t xml:space="preserve"> až 6</w:t>
      </w:r>
      <w:r>
        <w:rPr>
          <w:rFonts w:ascii="Times New Roman" w:hAnsi="Times New Roman"/>
          <w:sz w:val="24"/>
          <w:szCs w:val="24"/>
        </w:rPr>
        <w:t>4</w:t>
      </w:r>
      <w:r w:rsidRPr="00333609">
        <w:rPr>
          <w:rFonts w:ascii="Times New Roman" w:hAnsi="Times New Roman"/>
          <w:sz w:val="24"/>
          <w:szCs w:val="24"/>
        </w:rPr>
        <w:t>, 6</w:t>
      </w:r>
      <w:r>
        <w:rPr>
          <w:rFonts w:ascii="Times New Roman" w:hAnsi="Times New Roman"/>
          <w:sz w:val="24"/>
          <w:szCs w:val="24"/>
        </w:rPr>
        <w:t>6</w:t>
      </w:r>
      <w:r w:rsidRPr="00333609">
        <w:rPr>
          <w:rFonts w:ascii="Times New Roman" w:hAnsi="Times New Roman"/>
          <w:sz w:val="24"/>
          <w:szCs w:val="24"/>
        </w:rPr>
        <w:t>, 6</w:t>
      </w:r>
      <w:r>
        <w:rPr>
          <w:rFonts w:ascii="Times New Roman" w:hAnsi="Times New Roman"/>
          <w:sz w:val="24"/>
          <w:szCs w:val="24"/>
        </w:rPr>
        <w:t>8</w:t>
      </w:r>
      <w:r w:rsidRPr="00333609">
        <w:rPr>
          <w:rFonts w:ascii="Times New Roman" w:hAnsi="Times New Roman"/>
          <w:sz w:val="24"/>
          <w:szCs w:val="24"/>
        </w:rPr>
        <w:t xml:space="preserve">, </w:t>
      </w:r>
      <w:r>
        <w:rPr>
          <w:rFonts w:ascii="Times New Roman" w:hAnsi="Times New Roman"/>
          <w:sz w:val="24"/>
          <w:szCs w:val="24"/>
        </w:rPr>
        <w:t xml:space="preserve">70, </w:t>
      </w:r>
      <w:r w:rsidRPr="00333609">
        <w:rPr>
          <w:rFonts w:ascii="Times New Roman" w:hAnsi="Times New Roman"/>
          <w:sz w:val="24"/>
          <w:szCs w:val="24"/>
        </w:rPr>
        <w:t>8</w:t>
      </w:r>
      <w:r>
        <w:rPr>
          <w:rFonts w:ascii="Times New Roman" w:hAnsi="Times New Roman"/>
          <w:sz w:val="24"/>
          <w:szCs w:val="24"/>
        </w:rPr>
        <w:t>2</w:t>
      </w:r>
      <w:r w:rsidRPr="00333609">
        <w:rPr>
          <w:rFonts w:ascii="Times New Roman" w:hAnsi="Times New Roman"/>
          <w:sz w:val="24"/>
          <w:szCs w:val="24"/>
        </w:rPr>
        <w:t xml:space="preserve"> až 8</w:t>
      </w:r>
      <w:r>
        <w:rPr>
          <w:rFonts w:ascii="Times New Roman" w:hAnsi="Times New Roman"/>
          <w:sz w:val="24"/>
          <w:szCs w:val="24"/>
        </w:rPr>
        <w:t>4</w:t>
      </w:r>
      <w:r w:rsidRPr="00333609">
        <w:rPr>
          <w:rFonts w:ascii="Times New Roman" w:hAnsi="Times New Roman"/>
          <w:sz w:val="24"/>
          <w:szCs w:val="24"/>
        </w:rPr>
        <w:t>, 8</w:t>
      </w:r>
      <w:r>
        <w:rPr>
          <w:rFonts w:ascii="Times New Roman" w:hAnsi="Times New Roman"/>
          <w:sz w:val="24"/>
          <w:szCs w:val="24"/>
        </w:rPr>
        <w:t>7</w:t>
      </w:r>
      <w:r w:rsidRPr="00333609">
        <w:rPr>
          <w:rFonts w:ascii="Times New Roman" w:hAnsi="Times New Roman"/>
          <w:sz w:val="24"/>
          <w:szCs w:val="24"/>
        </w:rPr>
        <w:t xml:space="preserve"> až 9</w:t>
      </w:r>
      <w:r>
        <w:rPr>
          <w:rFonts w:ascii="Times New Roman" w:hAnsi="Times New Roman"/>
          <w:sz w:val="24"/>
          <w:szCs w:val="24"/>
        </w:rPr>
        <w:t>2</w:t>
      </w:r>
      <w:r w:rsidRPr="00333609">
        <w:rPr>
          <w:rFonts w:ascii="Times New Roman" w:hAnsi="Times New Roman"/>
          <w:sz w:val="24"/>
          <w:szCs w:val="24"/>
        </w:rPr>
        <w:t>, 9</w:t>
      </w:r>
      <w:r>
        <w:rPr>
          <w:rFonts w:ascii="Times New Roman" w:hAnsi="Times New Roman"/>
          <w:sz w:val="24"/>
          <w:szCs w:val="24"/>
        </w:rPr>
        <w:t>8</w:t>
      </w:r>
      <w:r w:rsidRPr="00333609">
        <w:rPr>
          <w:rFonts w:ascii="Times New Roman" w:hAnsi="Times New Roman"/>
          <w:sz w:val="24"/>
          <w:szCs w:val="24"/>
        </w:rPr>
        <w:t>,</w:t>
      </w:r>
      <w:r>
        <w:rPr>
          <w:rFonts w:ascii="Times New Roman" w:hAnsi="Times New Roman"/>
          <w:sz w:val="24"/>
          <w:szCs w:val="24"/>
        </w:rPr>
        <w:t xml:space="preserve"> </w:t>
      </w:r>
      <w:r w:rsidRPr="00333609">
        <w:rPr>
          <w:rFonts w:ascii="Times New Roman" w:hAnsi="Times New Roman"/>
          <w:sz w:val="24"/>
          <w:szCs w:val="24"/>
        </w:rPr>
        <w:t>10</w:t>
      </w:r>
      <w:r>
        <w:rPr>
          <w:rFonts w:ascii="Times New Roman" w:hAnsi="Times New Roman"/>
          <w:sz w:val="24"/>
          <w:szCs w:val="24"/>
        </w:rPr>
        <w:t>2</w:t>
      </w:r>
      <w:r w:rsidRPr="00333609">
        <w:rPr>
          <w:rFonts w:ascii="Times New Roman" w:hAnsi="Times New Roman"/>
          <w:sz w:val="24"/>
          <w:szCs w:val="24"/>
        </w:rPr>
        <w:t>, 10</w:t>
      </w:r>
      <w:r>
        <w:rPr>
          <w:rFonts w:ascii="Times New Roman" w:hAnsi="Times New Roman"/>
          <w:sz w:val="24"/>
          <w:szCs w:val="24"/>
        </w:rPr>
        <w:t>4,</w:t>
      </w:r>
      <w:r w:rsidRPr="00333609">
        <w:rPr>
          <w:rFonts w:ascii="Times New Roman" w:hAnsi="Times New Roman"/>
          <w:sz w:val="24"/>
          <w:szCs w:val="24"/>
        </w:rPr>
        <w:t xml:space="preserve"> 10</w:t>
      </w:r>
      <w:r>
        <w:rPr>
          <w:rFonts w:ascii="Times New Roman" w:hAnsi="Times New Roman"/>
          <w:sz w:val="24"/>
          <w:szCs w:val="24"/>
        </w:rPr>
        <w:t>5</w:t>
      </w:r>
      <w:r w:rsidRPr="00333609">
        <w:rPr>
          <w:rFonts w:ascii="Times New Roman" w:hAnsi="Times New Roman"/>
          <w:sz w:val="24"/>
          <w:szCs w:val="24"/>
        </w:rPr>
        <w:t xml:space="preserve"> a § 76g v bode 12</w:t>
      </w:r>
      <w:r>
        <w:rPr>
          <w:rFonts w:ascii="Times New Roman" w:hAnsi="Times New Roman"/>
          <w:sz w:val="24"/>
          <w:szCs w:val="24"/>
        </w:rPr>
        <w:t>4</w:t>
      </w:r>
      <w:r w:rsidRPr="00333609">
        <w:rPr>
          <w:rFonts w:ascii="Times New Roman" w:hAnsi="Times New Roman"/>
          <w:sz w:val="24"/>
          <w:szCs w:val="24"/>
        </w:rPr>
        <w:t xml:space="preserve">, ktoré nadobúdajú účinnosť 13. februára 2023. </w:t>
      </w:r>
    </w:p>
    <w:p w:rsidR="00B703F4" w:rsidRPr="004A560A" w:rsidRDefault="00B703F4" w:rsidP="00B703F4">
      <w:pPr>
        <w:spacing w:after="0" w:line="240" w:lineRule="auto"/>
        <w:jc w:val="both"/>
        <w:rPr>
          <w:rFonts w:ascii="Times New Roman" w:hAnsi="Times New Roman"/>
          <w:sz w:val="24"/>
          <w:szCs w:val="24"/>
        </w:rPr>
      </w:pPr>
    </w:p>
    <w:p w:rsidR="00001D6C" w:rsidRPr="004A560A" w:rsidRDefault="00001D6C" w:rsidP="00B703F4">
      <w:pPr>
        <w:spacing w:after="0" w:line="240" w:lineRule="auto"/>
        <w:jc w:val="both"/>
        <w:rPr>
          <w:rFonts w:ascii="Times New Roman" w:hAnsi="Times New Roman"/>
          <w:sz w:val="24"/>
          <w:szCs w:val="24"/>
        </w:rPr>
      </w:pPr>
      <w:r w:rsidRPr="004A560A">
        <w:rPr>
          <w:rStyle w:val="Nadpis1Char"/>
          <w:rFonts w:ascii="Times New Roman" w:hAnsi="Times New Roman"/>
          <w:b w:val="0"/>
          <w:color w:val="000000"/>
          <w:sz w:val="24"/>
          <w:szCs w:val="24"/>
          <w:lang w:eastAsia="sk-SK"/>
        </w:rPr>
        <w:t xml:space="preserve">Vplyv návrhu zákona na rozpočet verejnej správy, na podnikateľské prostredie, </w:t>
      </w:r>
      <w:r w:rsidRPr="004A560A">
        <w:rPr>
          <w:rFonts w:ascii="Times New Roman" w:hAnsi="Times New Roman"/>
          <w:sz w:val="24"/>
          <w:szCs w:val="24"/>
        </w:rPr>
        <w:t>na sociálne prostredie</w:t>
      </w:r>
      <w:r w:rsidRPr="004A560A">
        <w:rPr>
          <w:rStyle w:val="Nadpis1Char"/>
          <w:rFonts w:ascii="Times New Roman" w:hAnsi="Times New Roman"/>
          <w:b w:val="0"/>
          <w:color w:val="000000"/>
          <w:sz w:val="24"/>
          <w:szCs w:val="24"/>
          <w:lang w:eastAsia="sk-SK"/>
        </w:rPr>
        <w:t>, vplyv na životné prostredie,</w:t>
      </w:r>
      <w:r w:rsidR="00B94EFE" w:rsidRPr="004A560A">
        <w:rPr>
          <w:rStyle w:val="Nadpis1Char"/>
          <w:rFonts w:ascii="Times New Roman" w:hAnsi="Times New Roman"/>
          <w:b w:val="0"/>
          <w:color w:val="000000"/>
          <w:sz w:val="24"/>
          <w:szCs w:val="24"/>
          <w:lang w:eastAsia="sk-SK"/>
        </w:rPr>
        <w:t xml:space="preserve"> na informatizáciu spoločnosti,</w:t>
      </w:r>
      <w:r w:rsidRPr="004A560A">
        <w:rPr>
          <w:rStyle w:val="Nadpis1Char"/>
          <w:rFonts w:ascii="Times New Roman" w:hAnsi="Times New Roman"/>
          <w:b w:val="0"/>
          <w:color w:val="000000"/>
          <w:sz w:val="24"/>
          <w:szCs w:val="24"/>
          <w:lang w:eastAsia="sk-SK"/>
        </w:rPr>
        <w:t xml:space="preserve"> </w:t>
      </w:r>
      <w:r w:rsidRPr="004A560A">
        <w:rPr>
          <w:rFonts w:ascii="Times New Roman" w:hAnsi="Times New Roman"/>
          <w:sz w:val="24"/>
          <w:szCs w:val="24"/>
        </w:rPr>
        <w:t>na služby verejnej správy pre občana</w:t>
      </w:r>
      <w:r w:rsidR="00B94EFE" w:rsidRPr="004A560A">
        <w:rPr>
          <w:rFonts w:ascii="Times New Roman" w:hAnsi="Times New Roman"/>
          <w:sz w:val="24"/>
          <w:szCs w:val="24"/>
        </w:rPr>
        <w:t xml:space="preserve"> </w:t>
      </w:r>
      <w:r w:rsidR="00B94EFE" w:rsidRPr="004A560A">
        <w:rPr>
          <w:rFonts w:ascii="Times New Roman" w:hAnsi="Times New Roman"/>
          <w:bCs/>
          <w:sz w:val="24"/>
          <w:szCs w:val="24"/>
        </w:rPr>
        <w:t>a na manželstvo, rodičovstvo a rodinu</w:t>
      </w:r>
      <w:r w:rsidRPr="004A560A">
        <w:rPr>
          <w:rStyle w:val="Nadpis1Char"/>
          <w:rFonts w:ascii="Times New Roman" w:hAnsi="Times New Roman"/>
          <w:color w:val="000000"/>
          <w:sz w:val="24"/>
          <w:szCs w:val="24"/>
          <w:lang w:eastAsia="sk-SK"/>
        </w:rPr>
        <w:t xml:space="preserve"> </w:t>
      </w:r>
      <w:r w:rsidRPr="004A560A">
        <w:rPr>
          <w:rStyle w:val="Zstupntext"/>
          <w:color w:val="000000"/>
          <w:sz w:val="24"/>
          <w:szCs w:val="24"/>
        </w:rPr>
        <w:t>je uvedený v doložke vybraných vplyvov. Predkladaný návrh zákona nebude mať vplyv na rozpočty obcí a rozpočty vyšších územných celkov.</w:t>
      </w:r>
    </w:p>
    <w:p w:rsidR="00124538" w:rsidRPr="004A560A" w:rsidRDefault="00124538" w:rsidP="00503CD3">
      <w:pPr>
        <w:spacing w:line="240" w:lineRule="auto"/>
        <w:jc w:val="both"/>
        <w:rPr>
          <w:rStyle w:val="Zstupntext"/>
          <w:color w:val="000000"/>
          <w:sz w:val="24"/>
          <w:szCs w:val="24"/>
        </w:rPr>
      </w:pPr>
    </w:p>
    <w:p w:rsidR="00001D6C" w:rsidRPr="004A560A" w:rsidRDefault="00001D6C" w:rsidP="00503CD3">
      <w:pPr>
        <w:spacing w:line="240" w:lineRule="auto"/>
        <w:jc w:val="both"/>
        <w:rPr>
          <w:rStyle w:val="Zstupntext"/>
          <w:color w:val="000000"/>
          <w:sz w:val="24"/>
          <w:szCs w:val="24"/>
        </w:rPr>
      </w:pPr>
      <w:r w:rsidRPr="004A560A">
        <w:rPr>
          <w:rStyle w:val="Zstupntext"/>
          <w:color w:val="000000"/>
          <w:sz w:val="24"/>
          <w:szCs w:val="24"/>
        </w:rPr>
        <w:lastRenderedPageBreak/>
        <w:t xml:space="preserve">Návrh zákona nie je predmetom </w:t>
      </w:r>
      <w:proofErr w:type="spellStart"/>
      <w:r w:rsidRPr="004A560A">
        <w:rPr>
          <w:rStyle w:val="Zstupntext"/>
          <w:color w:val="000000"/>
          <w:sz w:val="24"/>
          <w:szCs w:val="24"/>
        </w:rPr>
        <w:t>vnútrokomunitárneho</w:t>
      </w:r>
      <w:proofErr w:type="spellEnd"/>
      <w:r w:rsidRPr="004A560A">
        <w:rPr>
          <w:rStyle w:val="Zstupntext"/>
          <w:color w:val="000000"/>
          <w:sz w:val="24"/>
          <w:szCs w:val="24"/>
        </w:rPr>
        <w:t xml:space="preserve"> pripomienkového konania.</w:t>
      </w:r>
    </w:p>
    <w:p w:rsidR="00001D6C" w:rsidRPr="009B4EFA" w:rsidRDefault="00001D6C" w:rsidP="00503CD3">
      <w:pPr>
        <w:pStyle w:val="Zkladntext"/>
        <w:spacing w:after="0"/>
        <w:jc w:val="both"/>
      </w:pPr>
      <w:r w:rsidRPr="004A560A">
        <w:t>Predkladaný návrh zákona je v súlade s Ústavou Slovenskej republiky, ústavnými zákonmi, nálezmi Ústavného súdu Slovenskej republiky a inými právnymi predpismi, medzinárodnými zmluvami a dokumentmi, ktorými je Slovenská republika viazaná, ako aj v súlade s právom Európskej únie.</w:t>
      </w:r>
    </w:p>
    <w:p w:rsidR="00742746" w:rsidRPr="009B4EFA" w:rsidRDefault="00742746" w:rsidP="00001D6C">
      <w:pPr>
        <w:pStyle w:val="Zkladntext0"/>
        <w:jc w:val="both"/>
      </w:pPr>
    </w:p>
    <w:p w:rsidR="00A70D39" w:rsidRPr="002151A5" w:rsidRDefault="00A70D39" w:rsidP="00A70D39">
      <w:pPr>
        <w:jc w:val="center"/>
        <w:rPr>
          <w:rFonts w:ascii="Times New Roman" w:hAnsi="Times New Roman"/>
          <w:b/>
          <w:bCs/>
          <w:sz w:val="28"/>
          <w:szCs w:val="28"/>
        </w:rPr>
      </w:pPr>
      <w:r w:rsidRPr="002151A5">
        <w:rPr>
          <w:rFonts w:ascii="Times New Roman" w:hAnsi="Times New Roman"/>
          <w:b/>
          <w:bCs/>
          <w:sz w:val="28"/>
          <w:szCs w:val="28"/>
        </w:rPr>
        <w:t>Doložka vybraných vplyvov</w:t>
      </w:r>
    </w:p>
    <w:p w:rsidR="00A70D39" w:rsidRPr="00F66921" w:rsidRDefault="00A70D39" w:rsidP="00A70D39">
      <w:pPr>
        <w:pStyle w:val="Odsekzoznamu"/>
        <w:ind w:left="426"/>
        <w:rPr>
          <w:b/>
        </w:rPr>
      </w:pPr>
    </w:p>
    <w:tbl>
      <w:tblPr>
        <w:tblStyle w:val="Mriekatabuky"/>
        <w:tblW w:w="9181" w:type="dxa"/>
        <w:tblLayout w:type="fixed"/>
        <w:tblLook w:val="04A0" w:firstRow="1" w:lastRow="0" w:firstColumn="1" w:lastColumn="0" w:noHBand="0" w:noVBand="1"/>
      </w:tblPr>
      <w:tblGrid>
        <w:gridCol w:w="3812"/>
        <w:gridCol w:w="400"/>
        <w:gridCol w:w="141"/>
        <w:gridCol w:w="564"/>
        <w:gridCol w:w="717"/>
        <w:gridCol w:w="570"/>
        <w:gridCol w:w="1133"/>
        <w:gridCol w:w="284"/>
        <w:gridCol w:w="263"/>
        <w:gridCol w:w="1297"/>
      </w:tblGrid>
      <w:tr w:rsidR="00A70D39" w:rsidRPr="00F66921" w:rsidTr="002151A5">
        <w:tc>
          <w:tcPr>
            <w:tcW w:w="9181" w:type="dxa"/>
            <w:gridSpan w:val="10"/>
            <w:tcBorders>
              <w:bottom w:val="single" w:sz="4" w:space="0" w:color="FFFFFF" w:themeColor="background1"/>
            </w:tcBorders>
            <w:shd w:val="clear" w:color="auto" w:fill="E2E2E2"/>
          </w:tcPr>
          <w:p w:rsidR="00A70D39" w:rsidRPr="00F66921" w:rsidRDefault="00A70D39" w:rsidP="00A70D39">
            <w:pPr>
              <w:pStyle w:val="Odsekzoznamu"/>
              <w:numPr>
                <w:ilvl w:val="0"/>
                <w:numId w:val="15"/>
              </w:numPr>
              <w:spacing w:after="0" w:line="240" w:lineRule="auto"/>
              <w:ind w:left="426"/>
              <w:rPr>
                <w:rFonts w:ascii="Times New Roman" w:hAnsi="Times New Roman"/>
                <w:b/>
              </w:rPr>
            </w:pPr>
            <w:r w:rsidRPr="00F66921">
              <w:rPr>
                <w:rFonts w:ascii="Times New Roman" w:hAnsi="Times New Roman"/>
                <w:b/>
              </w:rPr>
              <w:t>Základné údaje</w:t>
            </w:r>
          </w:p>
        </w:tc>
      </w:tr>
      <w:tr w:rsidR="00A70D39" w:rsidRPr="00F66921" w:rsidTr="002151A5">
        <w:tc>
          <w:tcPr>
            <w:tcW w:w="9181" w:type="dxa"/>
            <w:gridSpan w:val="10"/>
            <w:tcBorders>
              <w:bottom w:val="single" w:sz="4" w:space="0" w:color="FFFFFF" w:themeColor="background1"/>
            </w:tcBorders>
            <w:shd w:val="clear" w:color="auto" w:fill="E2E2E2"/>
          </w:tcPr>
          <w:p w:rsidR="00A70D39" w:rsidRPr="00F66921" w:rsidRDefault="00A70D39" w:rsidP="002151A5">
            <w:pPr>
              <w:pStyle w:val="Odsekzoznamu"/>
              <w:ind w:left="142"/>
              <w:rPr>
                <w:rFonts w:ascii="Times New Roman" w:hAnsi="Times New Roman"/>
                <w:b/>
              </w:rPr>
            </w:pPr>
            <w:r w:rsidRPr="00F66921">
              <w:rPr>
                <w:rFonts w:ascii="Times New Roman" w:hAnsi="Times New Roman"/>
                <w:b/>
              </w:rPr>
              <w:t>Názov materiálu</w:t>
            </w:r>
          </w:p>
        </w:tc>
      </w:tr>
      <w:tr w:rsidR="00A70D39" w:rsidRPr="00F66921" w:rsidTr="002151A5">
        <w:tc>
          <w:tcPr>
            <w:tcW w:w="9181" w:type="dxa"/>
            <w:gridSpan w:val="10"/>
            <w:tcBorders>
              <w:top w:val="single" w:sz="4" w:space="0" w:color="FFFFFF" w:themeColor="background1"/>
            </w:tcBorders>
          </w:tcPr>
          <w:p w:rsidR="00A70D39" w:rsidRPr="00F66921" w:rsidRDefault="00A70D39" w:rsidP="002151A5">
            <w:pPr>
              <w:pStyle w:val="Zkladntext0"/>
              <w:jc w:val="both"/>
              <w:rPr>
                <w:sz w:val="20"/>
                <w:szCs w:val="20"/>
              </w:rPr>
            </w:pPr>
            <w:r w:rsidRPr="00F66921">
              <w:rPr>
                <w:sz w:val="20"/>
                <w:szCs w:val="20"/>
              </w:rPr>
              <w:t>Návrh zákona, ktorým sa mení a dopĺňa zákon č. 530/2011 Z. z. o spotrebnej dani z alkoholických nápojov v znení neskorších predpisov</w:t>
            </w:r>
            <w:r w:rsidRPr="00F66921">
              <w:rPr>
                <w:bCs/>
                <w:sz w:val="20"/>
                <w:szCs w:val="20"/>
              </w:rPr>
              <w:t xml:space="preserve"> a ktorým sa mení zákon č. 467/2002 Z. z. o výrobe a uvádzaní liehu na trh v znení neskorších predpisov</w:t>
            </w:r>
            <w:r w:rsidRPr="00F66921">
              <w:rPr>
                <w:sz w:val="20"/>
                <w:szCs w:val="20"/>
              </w:rPr>
              <w:t>.</w:t>
            </w:r>
          </w:p>
        </w:tc>
      </w:tr>
      <w:tr w:rsidR="00A70D39" w:rsidRPr="00F66921" w:rsidTr="002151A5">
        <w:tc>
          <w:tcPr>
            <w:tcW w:w="9181" w:type="dxa"/>
            <w:gridSpan w:val="10"/>
            <w:tcBorders>
              <w:bottom w:val="single" w:sz="4" w:space="0" w:color="FFFFFF" w:themeColor="background1"/>
            </w:tcBorders>
            <w:shd w:val="clear" w:color="auto" w:fill="E2E2E2"/>
          </w:tcPr>
          <w:p w:rsidR="00A70D39" w:rsidRPr="00F66921" w:rsidRDefault="00A70D39" w:rsidP="002151A5">
            <w:pPr>
              <w:pStyle w:val="Odsekzoznamu"/>
              <w:ind w:left="142"/>
              <w:rPr>
                <w:rFonts w:ascii="Times New Roman" w:hAnsi="Times New Roman"/>
                <w:b/>
              </w:rPr>
            </w:pPr>
            <w:r w:rsidRPr="00F66921">
              <w:rPr>
                <w:rFonts w:ascii="Times New Roman" w:hAnsi="Times New Roman"/>
                <w:b/>
              </w:rPr>
              <w:t>Predkladateľ (a spolupredkladateľ)</w:t>
            </w:r>
          </w:p>
        </w:tc>
      </w:tr>
      <w:tr w:rsidR="00A70D39" w:rsidRPr="00F66921" w:rsidTr="002151A5">
        <w:tc>
          <w:tcPr>
            <w:tcW w:w="9181" w:type="dxa"/>
            <w:gridSpan w:val="10"/>
            <w:tcBorders>
              <w:top w:val="single" w:sz="4" w:space="0" w:color="FFFFFF" w:themeColor="background1"/>
            </w:tcBorders>
            <w:shd w:val="clear" w:color="auto" w:fill="FFFFFF" w:themeFill="background1"/>
          </w:tcPr>
          <w:p w:rsidR="00A70D39" w:rsidRPr="00F66921" w:rsidRDefault="00A70D39" w:rsidP="002151A5">
            <w:r w:rsidRPr="00F66921">
              <w:t>Ministerstvo financií Slovenskej republiky</w:t>
            </w:r>
          </w:p>
          <w:p w:rsidR="00A70D39" w:rsidRPr="00F66921" w:rsidRDefault="00A70D39" w:rsidP="002151A5"/>
        </w:tc>
      </w:tr>
      <w:tr w:rsidR="00A70D39" w:rsidRPr="00F66921" w:rsidTr="002151A5">
        <w:tc>
          <w:tcPr>
            <w:tcW w:w="4212" w:type="dxa"/>
            <w:gridSpan w:val="2"/>
            <w:vMerge w:val="restart"/>
            <w:tcBorders>
              <w:bottom w:val="single" w:sz="4" w:space="0" w:color="FFFFFF" w:themeColor="background1"/>
            </w:tcBorders>
            <w:shd w:val="clear" w:color="auto" w:fill="E2E2E2"/>
            <w:vAlign w:val="center"/>
          </w:tcPr>
          <w:p w:rsidR="00A70D39" w:rsidRPr="00F66921" w:rsidRDefault="00A70D39" w:rsidP="002151A5">
            <w:pPr>
              <w:pStyle w:val="Odsekzoznamu"/>
              <w:ind w:left="142"/>
              <w:rPr>
                <w:rFonts w:ascii="Times New Roman" w:hAnsi="Times New Roman"/>
                <w:b/>
              </w:rPr>
            </w:pPr>
            <w:r w:rsidRPr="00F66921">
              <w:rPr>
                <w:rFonts w:ascii="Times New Roman" w:hAnsi="Times New Roman"/>
                <w:b/>
              </w:rPr>
              <w:t>Charakter predkladaného materiálu</w:t>
            </w:r>
          </w:p>
        </w:tc>
        <w:tc>
          <w:tcPr>
            <w:tcW w:w="705" w:type="dxa"/>
            <w:gridSpan w:val="2"/>
            <w:tcBorders>
              <w:right w:val="nil"/>
            </w:tcBorders>
            <w:shd w:val="clear" w:color="auto" w:fill="FFFFFF" w:themeFill="background1"/>
          </w:tcPr>
          <w:p w:rsidR="00A70D39" w:rsidRPr="00F66921" w:rsidRDefault="00A70D39" w:rsidP="002151A5">
            <w:pPr>
              <w:jc w:val="center"/>
            </w:pPr>
            <w:r w:rsidRPr="00F66921">
              <w:rPr>
                <w:rFonts w:ascii="MS Mincho" w:eastAsia="MS Mincho" w:hAnsi="MS Mincho" w:cs="MS Mincho" w:hint="eastAsia"/>
              </w:rPr>
              <w:t>☐</w:t>
            </w:r>
          </w:p>
        </w:tc>
        <w:tc>
          <w:tcPr>
            <w:tcW w:w="4264" w:type="dxa"/>
            <w:gridSpan w:val="6"/>
            <w:tcBorders>
              <w:left w:val="nil"/>
            </w:tcBorders>
            <w:shd w:val="clear" w:color="auto" w:fill="FFFFFF" w:themeFill="background1"/>
          </w:tcPr>
          <w:p w:rsidR="00A70D39" w:rsidRPr="00F66921" w:rsidRDefault="00A70D39" w:rsidP="002151A5">
            <w:r w:rsidRPr="00F66921">
              <w:t>Materiál nelegislatívnej povahy</w:t>
            </w:r>
          </w:p>
        </w:tc>
      </w:tr>
      <w:tr w:rsidR="00A70D39" w:rsidRPr="00F66921" w:rsidTr="002151A5">
        <w:tc>
          <w:tcPr>
            <w:tcW w:w="4212" w:type="dxa"/>
            <w:gridSpan w:val="2"/>
            <w:vMerge/>
            <w:tcBorders>
              <w:top w:val="nil"/>
              <w:bottom w:val="single" w:sz="4" w:space="0" w:color="FFFFFF" w:themeColor="background1"/>
            </w:tcBorders>
            <w:shd w:val="clear" w:color="auto" w:fill="E2E2E2"/>
          </w:tcPr>
          <w:p w:rsidR="00A70D39" w:rsidRPr="00F66921" w:rsidRDefault="00A70D39" w:rsidP="002151A5"/>
        </w:tc>
        <w:tc>
          <w:tcPr>
            <w:tcW w:w="705" w:type="dxa"/>
            <w:gridSpan w:val="2"/>
            <w:tcBorders>
              <w:right w:val="nil"/>
            </w:tcBorders>
            <w:shd w:val="clear" w:color="auto" w:fill="FFFFFF" w:themeFill="background1"/>
          </w:tcPr>
          <w:p w:rsidR="00A70D39" w:rsidRPr="00F66921" w:rsidRDefault="00A70D39" w:rsidP="002151A5">
            <w:pPr>
              <w:jc w:val="center"/>
            </w:pPr>
            <w:r w:rsidRPr="00F66921">
              <w:rPr>
                <w:rFonts w:ascii="MS Gothic" w:eastAsia="MS Gothic" w:hAnsi="MS Gothic" w:hint="eastAsia"/>
              </w:rPr>
              <w:t>☒</w:t>
            </w:r>
          </w:p>
        </w:tc>
        <w:tc>
          <w:tcPr>
            <w:tcW w:w="4264" w:type="dxa"/>
            <w:gridSpan w:val="6"/>
            <w:tcBorders>
              <w:left w:val="nil"/>
            </w:tcBorders>
            <w:shd w:val="clear" w:color="auto" w:fill="FFFFFF" w:themeFill="background1"/>
          </w:tcPr>
          <w:p w:rsidR="00A70D39" w:rsidRPr="00F66921" w:rsidRDefault="00A70D39" w:rsidP="002151A5">
            <w:pPr>
              <w:ind w:left="175" w:hanging="175"/>
            </w:pPr>
            <w:r w:rsidRPr="00F66921">
              <w:t>Materiál legislatívnej povahy</w:t>
            </w:r>
          </w:p>
        </w:tc>
      </w:tr>
      <w:tr w:rsidR="00A70D39" w:rsidRPr="00F66921" w:rsidTr="002151A5">
        <w:tc>
          <w:tcPr>
            <w:tcW w:w="4212" w:type="dxa"/>
            <w:gridSpan w:val="2"/>
            <w:vMerge/>
            <w:tcBorders>
              <w:top w:val="nil"/>
            </w:tcBorders>
            <w:shd w:val="clear" w:color="auto" w:fill="E2E2E2"/>
          </w:tcPr>
          <w:p w:rsidR="00A70D39" w:rsidRPr="00F66921" w:rsidRDefault="00A70D39" w:rsidP="002151A5"/>
        </w:tc>
        <w:tc>
          <w:tcPr>
            <w:tcW w:w="705" w:type="dxa"/>
            <w:gridSpan w:val="2"/>
            <w:tcBorders>
              <w:right w:val="nil"/>
            </w:tcBorders>
            <w:shd w:val="clear" w:color="auto" w:fill="FFFFFF" w:themeFill="background1"/>
          </w:tcPr>
          <w:p w:rsidR="00A70D39" w:rsidRPr="00F66921" w:rsidRDefault="00A70D39" w:rsidP="002151A5">
            <w:pPr>
              <w:jc w:val="center"/>
            </w:pPr>
            <w:r w:rsidRPr="00F66921">
              <w:rPr>
                <w:rFonts w:ascii="MS Gothic" w:eastAsia="MS Gothic" w:hAnsi="MS Gothic" w:hint="eastAsia"/>
              </w:rPr>
              <w:t>☒</w:t>
            </w:r>
          </w:p>
        </w:tc>
        <w:tc>
          <w:tcPr>
            <w:tcW w:w="4264" w:type="dxa"/>
            <w:gridSpan w:val="6"/>
            <w:tcBorders>
              <w:left w:val="nil"/>
            </w:tcBorders>
            <w:shd w:val="clear" w:color="auto" w:fill="FFFFFF" w:themeFill="background1"/>
          </w:tcPr>
          <w:p w:rsidR="00A70D39" w:rsidRPr="00F66921" w:rsidRDefault="00A70D39" w:rsidP="002151A5">
            <w:r w:rsidRPr="00F66921">
              <w:t>Transpozícia práva EÚ</w:t>
            </w:r>
          </w:p>
        </w:tc>
      </w:tr>
      <w:tr w:rsidR="00A70D39" w:rsidRPr="00F66921" w:rsidTr="002151A5">
        <w:tc>
          <w:tcPr>
            <w:tcW w:w="9181" w:type="dxa"/>
            <w:gridSpan w:val="10"/>
            <w:tcBorders>
              <w:bottom w:val="single" w:sz="4" w:space="0" w:color="FFFFFF" w:themeColor="background1"/>
            </w:tcBorders>
            <w:shd w:val="clear" w:color="auto" w:fill="FFFFFF" w:themeFill="background1"/>
          </w:tcPr>
          <w:p w:rsidR="00A70D39" w:rsidRPr="00F66921" w:rsidRDefault="00A70D39" w:rsidP="002151A5">
            <w:pPr>
              <w:rPr>
                <w:i/>
              </w:rPr>
            </w:pPr>
            <w:r w:rsidRPr="00F66921">
              <w:rPr>
                <w:i/>
              </w:rPr>
              <w:t>V prípade transpozície uveďte zoznam transponovaných predpisov:</w:t>
            </w:r>
          </w:p>
          <w:p w:rsidR="00A70D39" w:rsidRPr="00F66921" w:rsidRDefault="00A70D39" w:rsidP="00A70D39">
            <w:pPr>
              <w:pStyle w:val="Odsekzoznamu"/>
              <w:numPr>
                <w:ilvl w:val="0"/>
                <w:numId w:val="17"/>
              </w:numPr>
            </w:pPr>
            <w:r w:rsidRPr="00F66921">
              <w:rPr>
                <w:rFonts w:ascii="Times New Roman" w:hAnsi="Times New Roman"/>
                <w:sz w:val="20"/>
                <w:szCs w:val="20"/>
              </w:rPr>
              <w:t>Smernica Rady (EÚ) 2020/262 z 19. decembra 2019, ktorou sa ustanovuje všeobecný systém spotrebných daní (prepracované znenie) (Ú. V. EÚ L58, 27.2.2020).</w:t>
            </w:r>
          </w:p>
          <w:p w:rsidR="00A70D39" w:rsidRPr="00F66921" w:rsidRDefault="00A70D39" w:rsidP="00A70D39">
            <w:pPr>
              <w:pStyle w:val="Odsekzoznamu"/>
              <w:numPr>
                <w:ilvl w:val="0"/>
                <w:numId w:val="17"/>
              </w:numPr>
              <w:ind w:left="284" w:firstLine="0"/>
              <w:jc w:val="both"/>
              <w:rPr>
                <w:rFonts w:ascii="Times New Roman" w:hAnsi="Times New Roman"/>
                <w:sz w:val="20"/>
                <w:szCs w:val="20"/>
              </w:rPr>
            </w:pPr>
            <w:r w:rsidRPr="00F66921">
              <w:rPr>
                <w:rFonts w:ascii="Times New Roman" w:hAnsi="Times New Roman"/>
                <w:sz w:val="20"/>
                <w:szCs w:val="20"/>
              </w:rPr>
              <w:t xml:space="preserve">Smernica Rady (EÚ) 2019/475 z 18. februára 2019, ktorou sa menia smernice 2006/112/ES a 2008/118/ES, pokiaľ ide o začlenenie talianskej obce </w:t>
            </w:r>
            <w:proofErr w:type="spellStart"/>
            <w:r w:rsidRPr="00F66921">
              <w:rPr>
                <w:rFonts w:ascii="Times New Roman" w:hAnsi="Times New Roman"/>
                <w:sz w:val="20"/>
                <w:szCs w:val="20"/>
              </w:rPr>
              <w:t>Campione</w:t>
            </w:r>
            <w:proofErr w:type="spellEnd"/>
            <w:r w:rsidRPr="00F66921">
              <w:rPr>
                <w:rFonts w:ascii="Times New Roman" w:hAnsi="Times New Roman"/>
                <w:sz w:val="20"/>
                <w:szCs w:val="20"/>
              </w:rPr>
              <w:t xml:space="preserve"> </w:t>
            </w:r>
            <w:proofErr w:type="spellStart"/>
            <w:r w:rsidRPr="00F66921">
              <w:rPr>
                <w:rFonts w:ascii="Times New Roman" w:hAnsi="Times New Roman"/>
                <w:sz w:val="20"/>
                <w:szCs w:val="20"/>
              </w:rPr>
              <w:t>ďItalia</w:t>
            </w:r>
            <w:proofErr w:type="spellEnd"/>
            <w:r w:rsidRPr="00F66921">
              <w:rPr>
                <w:rFonts w:ascii="Times New Roman" w:hAnsi="Times New Roman"/>
                <w:sz w:val="20"/>
                <w:szCs w:val="20"/>
              </w:rPr>
              <w:t xml:space="preserve"> a talianskych vôd jazera </w:t>
            </w:r>
            <w:proofErr w:type="spellStart"/>
            <w:r w:rsidRPr="00F66921">
              <w:rPr>
                <w:rFonts w:ascii="Times New Roman" w:hAnsi="Times New Roman"/>
                <w:sz w:val="20"/>
                <w:szCs w:val="20"/>
              </w:rPr>
              <w:t>Lugano</w:t>
            </w:r>
            <w:proofErr w:type="spellEnd"/>
            <w:r w:rsidRPr="00F66921">
              <w:rPr>
                <w:rFonts w:ascii="Times New Roman" w:hAnsi="Times New Roman"/>
                <w:sz w:val="20"/>
                <w:szCs w:val="20"/>
              </w:rPr>
              <w:t xml:space="preserve"> do colného územia Únie a do územnej pôsobnosti smernice 2008/118/ES (Ú. V. EÚ L 83, 25.3.2019).</w:t>
            </w:r>
          </w:p>
          <w:p w:rsidR="00A70D39" w:rsidRPr="00F66921" w:rsidRDefault="00A70D39" w:rsidP="00A70D39">
            <w:pPr>
              <w:pStyle w:val="Odsekzoznamu"/>
              <w:numPr>
                <w:ilvl w:val="0"/>
                <w:numId w:val="17"/>
              </w:numPr>
              <w:ind w:left="284" w:firstLine="0"/>
              <w:jc w:val="both"/>
              <w:rPr>
                <w:i/>
              </w:rPr>
            </w:pPr>
            <w:r w:rsidRPr="00F66921">
              <w:rPr>
                <w:rFonts w:ascii="Times New Roman" w:hAnsi="Times New Roman"/>
                <w:sz w:val="20"/>
                <w:szCs w:val="20"/>
              </w:rPr>
              <w:t>Smernica Rady (EÚ) 2019/2235 zo 16. decembra 2019, ktorou sa mení smernica 2006/112/ES o spoločnom systéme dane z pridanej hodnoty a smernica 2008/118/ES o všeobecnom systéme spotrebných daní, pokiaľ ide o obranné úsilie v rámci Únie (Ú. V. EÚ L336, 30.12.2019).</w:t>
            </w:r>
          </w:p>
          <w:p w:rsidR="00A70D39" w:rsidRPr="00F66921" w:rsidRDefault="00A70D39" w:rsidP="00A70D39">
            <w:pPr>
              <w:pStyle w:val="Odsekzoznamu"/>
              <w:numPr>
                <w:ilvl w:val="0"/>
                <w:numId w:val="17"/>
              </w:numPr>
              <w:jc w:val="both"/>
              <w:rPr>
                <w:rFonts w:ascii="Times New Roman" w:hAnsi="Times New Roman"/>
                <w:sz w:val="20"/>
                <w:szCs w:val="20"/>
              </w:rPr>
            </w:pPr>
            <w:r w:rsidRPr="00F66921">
              <w:rPr>
                <w:rFonts w:ascii="Times New Roman" w:hAnsi="Times New Roman"/>
                <w:sz w:val="20"/>
                <w:szCs w:val="20"/>
              </w:rPr>
              <w:t>Smernica Rady (EÚ) 2020/1151 z 29. júla 2020, ktorou sa mení smernica 92/83/EHS o zosúladení štruktúr spotrebných daní pre etanol a alkoholické nápoje.</w:t>
            </w:r>
          </w:p>
        </w:tc>
      </w:tr>
      <w:tr w:rsidR="00A70D39" w:rsidRPr="00F66921" w:rsidTr="002151A5">
        <w:tc>
          <w:tcPr>
            <w:tcW w:w="5634" w:type="dxa"/>
            <w:gridSpan w:val="5"/>
            <w:tcBorders>
              <w:top w:val="single" w:sz="4" w:space="0" w:color="000000" w:themeColor="text1"/>
              <w:bottom w:val="single" w:sz="4" w:space="0" w:color="FFFFFF" w:themeColor="background1"/>
            </w:tcBorders>
            <w:shd w:val="clear" w:color="auto" w:fill="E2E2E2"/>
          </w:tcPr>
          <w:p w:rsidR="00A70D39" w:rsidRPr="00F66921" w:rsidRDefault="00A70D39" w:rsidP="002151A5">
            <w:pPr>
              <w:pStyle w:val="Odsekzoznamu"/>
              <w:ind w:left="142"/>
              <w:rPr>
                <w:rFonts w:ascii="Times New Roman" w:hAnsi="Times New Roman"/>
                <w:b/>
              </w:rPr>
            </w:pPr>
            <w:r w:rsidRPr="00F66921">
              <w:rPr>
                <w:rFonts w:ascii="Times New Roman" w:hAnsi="Times New Roman"/>
                <w:b/>
              </w:rPr>
              <w:t>Termín začiatku a ukončenia PPK</w:t>
            </w:r>
          </w:p>
        </w:tc>
        <w:tc>
          <w:tcPr>
            <w:tcW w:w="3547" w:type="dxa"/>
            <w:gridSpan w:val="5"/>
            <w:tcBorders>
              <w:top w:val="single" w:sz="4" w:space="0" w:color="000000" w:themeColor="text1"/>
            </w:tcBorders>
          </w:tcPr>
          <w:p w:rsidR="00A70D39" w:rsidRPr="00F66921" w:rsidRDefault="00A70D39" w:rsidP="002151A5">
            <w:r w:rsidRPr="00F66921">
              <w:rPr>
                <w:b/>
              </w:rPr>
              <w:t>jún 2020</w:t>
            </w:r>
          </w:p>
        </w:tc>
      </w:tr>
      <w:tr w:rsidR="00A70D39" w:rsidRPr="00F66921" w:rsidTr="002151A5">
        <w:tc>
          <w:tcPr>
            <w:tcW w:w="5634" w:type="dxa"/>
            <w:gridSpan w:val="5"/>
            <w:tcBorders>
              <w:bottom w:val="single" w:sz="4" w:space="0" w:color="FFFFFF" w:themeColor="background1"/>
            </w:tcBorders>
            <w:shd w:val="clear" w:color="auto" w:fill="E2E2E2"/>
          </w:tcPr>
          <w:p w:rsidR="00A70D39" w:rsidRPr="00F66921" w:rsidRDefault="00A70D39" w:rsidP="002151A5">
            <w:pPr>
              <w:pStyle w:val="Odsekzoznamu"/>
              <w:ind w:left="142"/>
              <w:rPr>
                <w:rFonts w:ascii="Times New Roman" w:hAnsi="Times New Roman"/>
                <w:b/>
              </w:rPr>
            </w:pPr>
            <w:r w:rsidRPr="00F66921">
              <w:rPr>
                <w:rFonts w:ascii="Times New Roman" w:hAnsi="Times New Roman"/>
                <w:b/>
              </w:rPr>
              <w:t>Predpokladaný termín predloženia na MPK*</w:t>
            </w:r>
          </w:p>
        </w:tc>
        <w:tc>
          <w:tcPr>
            <w:tcW w:w="3547" w:type="dxa"/>
            <w:gridSpan w:val="5"/>
          </w:tcPr>
          <w:p w:rsidR="00A70D39" w:rsidRPr="00F66921" w:rsidRDefault="00A70D39" w:rsidP="002151A5">
            <w:pPr>
              <w:rPr>
                <w:b/>
              </w:rPr>
            </w:pPr>
            <w:r w:rsidRPr="00F66921">
              <w:rPr>
                <w:b/>
              </w:rPr>
              <w:t>júl 2020</w:t>
            </w:r>
          </w:p>
        </w:tc>
      </w:tr>
      <w:tr w:rsidR="00A70D39" w:rsidRPr="00F66921" w:rsidTr="002151A5">
        <w:tc>
          <w:tcPr>
            <w:tcW w:w="5634" w:type="dxa"/>
            <w:gridSpan w:val="5"/>
            <w:tcBorders>
              <w:bottom w:val="single" w:sz="4" w:space="0" w:color="FFFFFF" w:themeColor="background1"/>
            </w:tcBorders>
            <w:shd w:val="clear" w:color="auto" w:fill="E2E2E2"/>
          </w:tcPr>
          <w:p w:rsidR="00A70D39" w:rsidRPr="00F66921" w:rsidRDefault="00A70D39" w:rsidP="002151A5">
            <w:pPr>
              <w:pStyle w:val="Odsekzoznamu"/>
              <w:ind w:left="142"/>
              <w:rPr>
                <w:rFonts w:ascii="Times New Roman" w:hAnsi="Times New Roman"/>
                <w:b/>
              </w:rPr>
            </w:pPr>
            <w:r w:rsidRPr="00F66921">
              <w:rPr>
                <w:rFonts w:ascii="Times New Roman" w:hAnsi="Times New Roman"/>
                <w:b/>
              </w:rPr>
              <w:t>Predpokladaný termín predloženia na Rokovanie vlády SR*</w:t>
            </w:r>
          </w:p>
        </w:tc>
        <w:tc>
          <w:tcPr>
            <w:tcW w:w="3547" w:type="dxa"/>
            <w:gridSpan w:val="5"/>
          </w:tcPr>
          <w:p w:rsidR="00A70D39" w:rsidRPr="00F66921" w:rsidRDefault="00A70D39" w:rsidP="002151A5">
            <w:pPr>
              <w:rPr>
                <w:b/>
              </w:rPr>
            </w:pPr>
            <w:r w:rsidRPr="00F66921">
              <w:rPr>
                <w:b/>
              </w:rPr>
              <w:t>september 2020</w:t>
            </w:r>
          </w:p>
        </w:tc>
      </w:tr>
      <w:tr w:rsidR="00A70D39" w:rsidRPr="00F66921" w:rsidTr="002151A5">
        <w:trPr>
          <w:trHeight w:val="94"/>
        </w:trPr>
        <w:tc>
          <w:tcPr>
            <w:tcW w:w="9181" w:type="dxa"/>
            <w:gridSpan w:val="10"/>
            <w:tcBorders>
              <w:left w:val="nil"/>
              <w:right w:val="nil"/>
            </w:tcBorders>
            <w:shd w:val="clear" w:color="auto" w:fill="FFFFFF" w:themeFill="background1"/>
          </w:tcPr>
          <w:p w:rsidR="00A70D39" w:rsidRPr="00F66921" w:rsidRDefault="00A70D39" w:rsidP="002151A5"/>
        </w:tc>
      </w:tr>
      <w:tr w:rsidR="00A70D39" w:rsidRPr="00F66921" w:rsidTr="002151A5">
        <w:tc>
          <w:tcPr>
            <w:tcW w:w="9181" w:type="dxa"/>
            <w:gridSpan w:val="10"/>
            <w:tcBorders>
              <w:bottom w:val="single" w:sz="4" w:space="0" w:color="FFFFFF" w:themeColor="background1"/>
            </w:tcBorders>
            <w:shd w:val="clear" w:color="auto" w:fill="E2E2E2"/>
          </w:tcPr>
          <w:p w:rsidR="00A70D39" w:rsidRPr="00F66921" w:rsidRDefault="00A70D39" w:rsidP="00A70D39">
            <w:pPr>
              <w:pStyle w:val="Odsekzoznamu"/>
              <w:numPr>
                <w:ilvl w:val="0"/>
                <w:numId w:val="15"/>
              </w:numPr>
              <w:spacing w:after="0" w:line="240" w:lineRule="auto"/>
              <w:ind w:left="426"/>
              <w:rPr>
                <w:rFonts w:ascii="Times New Roman" w:hAnsi="Times New Roman"/>
                <w:b/>
              </w:rPr>
            </w:pPr>
            <w:r w:rsidRPr="00F66921">
              <w:rPr>
                <w:rFonts w:ascii="Times New Roman" w:hAnsi="Times New Roman"/>
                <w:b/>
              </w:rPr>
              <w:t>Definovanie problému</w:t>
            </w:r>
          </w:p>
        </w:tc>
      </w:tr>
      <w:tr w:rsidR="00A70D39" w:rsidRPr="00F66921" w:rsidTr="002151A5">
        <w:trPr>
          <w:trHeight w:val="718"/>
        </w:trPr>
        <w:tc>
          <w:tcPr>
            <w:tcW w:w="9181" w:type="dxa"/>
            <w:gridSpan w:val="10"/>
            <w:tcBorders>
              <w:top w:val="single" w:sz="4" w:space="0" w:color="FFFFFF" w:themeColor="background1"/>
            </w:tcBorders>
            <w:shd w:val="clear" w:color="auto" w:fill="FFFFFF" w:themeFill="background1"/>
          </w:tcPr>
          <w:p w:rsidR="00A70D39" w:rsidRPr="00F66921" w:rsidRDefault="00A70D39" w:rsidP="002151A5">
            <w:pPr>
              <w:rPr>
                <w:b/>
              </w:rPr>
            </w:pPr>
            <w:r w:rsidRPr="00F66921">
              <w:rPr>
                <w:b/>
              </w:rPr>
              <w:t>Povinnosť transponovať smernice EÚ:</w:t>
            </w:r>
          </w:p>
          <w:p w:rsidR="00A70D39" w:rsidRPr="00F66921" w:rsidRDefault="00A70D39" w:rsidP="00A70D39">
            <w:pPr>
              <w:pStyle w:val="Odsekzoznamu"/>
              <w:numPr>
                <w:ilvl w:val="0"/>
                <w:numId w:val="17"/>
              </w:numPr>
              <w:ind w:left="284" w:firstLine="0"/>
              <w:rPr>
                <w:rFonts w:ascii="Times New Roman" w:hAnsi="Times New Roman"/>
                <w:sz w:val="20"/>
                <w:szCs w:val="20"/>
              </w:rPr>
            </w:pPr>
            <w:r w:rsidRPr="00F66921">
              <w:rPr>
                <w:rFonts w:ascii="Times New Roman" w:hAnsi="Times New Roman"/>
                <w:sz w:val="20"/>
                <w:szCs w:val="20"/>
              </w:rPr>
              <w:t>Smernica Rady (EÚ) 2020/262 z 19. decembra 2019, ktorou sa ustanovuje všeobecný systém spotrebných daní (prepracované znenie) (Ú. V. EÚ L58, 27.2.2020).</w:t>
            </w:r>
          </w:p>
          <w:p w:rsidR="00A70D39" w:rsidRPr="00F66921" w:rsidRDefault="00A70D39" w:rsidP="00A70D39">
            <w:pPr>
              <w:pStyle w:val="Odsekzoznamu"/>
              <w:numPr>
                <w:ilvl w:val="0"/>
                <w:numId w:val="17"/>
              </w:numPr>
              <w:ind w:left="284" w:firstLine="0"/>
              <w:jc w:val="both"/>
              <w:rPr>
                <w:rFonts w:ascii="Times New Roman" w:hAnsi="Times New Roman"/>
                <w:sz w:val="20"/>
                <w:szCs w:val="20"/>
              </w:rPr>
            </w:pPr>
            <w:r w:rsidRPr="00F66921">
              <w:rPr>
                <w:rFonts w:ascii="Times New Roman" w:hAnsi="Times New Roman"/>
                <w:sz w:val="20"/>
                <w:szCs w:val="20"/>
              </w:rPr>
              <w:lastRenderedPageBreak/>
              <w:t xml:space="preserve">Smernica Rady (EÚ) 2019/475 z 18. februára 2019, ktorou sa menia smernice 2006/112/ES a 2008/118/ES, pokiaľ ide o začlenenie talianskej obce </w:t>
            </w:r>
            <w:proofErr w:type="spellStart"/>
            <w:r w:rsidRPr="00F66921">
              <w:rPr>
                <w:rFonts w:ascii="Times New Roman" w:hAnsi="Times New Roman"/>
                <w:sz w:val="20"/>
                <w:szCs w:val="20"/>
              </w:rPr>
              <w:t>Campione</w:t>
            </w:r>
            <w:proofErr w:type="spellEnd"/>
            <w:r w:rsidRPr="00F66921">
              <w:rPr>
                <w:rFonts w:ascii="Times New Roman" w:hAnsi="Times New Roman"/>
                <w:sz w:val="20"/>
                <w:szCs w:val="20"/>
              </w:rPr>
              <w:t xml:space="preserve"> </w:t>
            </w:r>
            <w:proofErr w:type="spellStart"/>
            <w:r w:rsidRPr="00F66921">
              <w:rPr>
                <w:rFonts w:ascii="Times New Roman" w:hAnsi="Times New Roman"/>
                <w:sz w:val="20"/>
                <w:szCs w:val="20"/>
              </w:rPr>
              <w:t>ďItalia</w:t>
            </w:r>
            <w:proofErr w:type="spellEnd"/>
            <w:r w:rsidRPr="00F66921">
              <w:rPr>
                <w:rFonts w:ascii="Times New Roman" w:hAnsi="Times New Roman"/>
                <w:sz w:val="20"/>
                <w:szCs w:val="20"/>
              </w:rPr>
              <w:t xml:space="preserve"> a talianskych vôd jazera </w:t>
            </w:r>
            <w:proofErr w:type="spellStart"/>
            <w:r w:rsidRPr="00F66921">
              <w:rPr>
                <w:rFonts w:ascii="Times New Roman" w:hAnsi="Times New Roman"/>
                <w:sz w:val="20"/>
                <w:szCs w:val="20"/>
              </w:rPr>
              <w:t>Lugano</w:t>
            </w:r>
            <w:proofErr w:type="spellEnd"/>
            <w:r w:rsidRPr="00F66921">
              <w:rPr>
                <w:rFonts w:ascii="Times New Roman" w:hAnsi="Times New Roman"/>
                <w:sz w:val="20"/>
                <w:szCs w:val="20"/>
              </w:rPr>
              <w:t xml:space="preserve"> do colného územia Únie a do územnej pôsobnosti smernice 2008/118/ES (Ú. V. EÚ L 83, 25.3.2019).</w:t>
            </w:r>
          </w:p>
          <w:p w:rsidR="00A70D39" w:rsidRPr="00F66921" w:rsidRDefault="00A70D39" w:rsidP="00A70D39">
            <w:pPr>
              <w:pStyle w:val="Odsekzoznamu"/>
              <w:numPr>
                <w:ilvl w:val="0"/>
                <w:numId w:val="17"/>
              </w:numPr>
              <w:ind w:left="284" w:firstLine="0"/>
              <w:jc w:val="both"/>
              <w:rPr>
                <w:rFonts w:ascii="Times New Roman" w:hAnsi="Times New Roman"/>
                <w:sz w:val="20"/>
                <w:szCs w:val="20"/>
              </w:rPr>
            </w:pPr>
            <w:r w:rsidRPr="00F66921">
              <w:rPr>
                <w:rFonts w:ascii="Times New Roman" w:hAnsi="Times New Roman"/>
                <w:sz w:val="20"/>
                <w:szCs w:val="20"/>
              </w:rPr>
              <w:t>Smernica Rady (EÚ) 2019/2235 zo 16. decembra 2019, ktorou sa mení smernica 2006/112/ES o spoločnom systéme dane z pridanej hodnoty a smernica 2008/118/ES o všeobecnom systéme spotrebných daní, pokiaľ ide o obranné úsilie v rámci Únie (Ú. V. EÚ L336, 30.12.2019).</w:t>
            </w:r>
          </w:p>
          <w:p w:rsidR="00A70D39" w:rsidRPr="00F66921" w:rsidRDefault="00A70D39" w:rsidP="00A70D39">
            <w:pPr>
              <w:pStyle w:val="Odsekzoznamu"/>
              <w:numPr>
                <w:ilvl w:val="0"/>
                <w:numId w:val="17"/>
              </w:numPr>
              <w:ind w:left="284" w:firstLine="0"/>
              <w:jc w:val="both"/>
            </w:pPr>
            <w:r w:rsidRPr="00F66921">
              <w:rPr>
                <w:rFonts w:ascii="Times New Roman" w:hAnsi="Times New Roman"/>
                <w:sz w:val="20"/>
                <w:szCs w:val="20"/>
              </w:rPr>
              <w:t>Smernica Rady (EÚ) 2020/1151 z 29. júla 2020, ktorou sa mení smernica 92/83/EHS o zosúladení štruktúr spotrebných daní pre etanol a alkoholické nápoje.</w:t>
            </w:r>
          </w:p>
        </w:tc>
      </w:tr>
      <w:tr w:rsidR="00A70D39" w:rsidRPr="00F66921" w:rsidTr="002151A5">
        <w:tc>
          <w:tcPr>
            <w:tcW w:w="9181" w:type="dxa"/>
            <w:gridSpan w:val="10"/>
            <w:tcBorders>
              <w:bottom w:val="nil"/>
            </w:tcBorders>
            <w:shd w:val="clear" w:color="auto" w:fill="E2E2E2"/>
          </w:tcPr>
          <w:p w:rsidR="00A70D39" w:rsidRPr="00F66921" w:rsidRDefault="00A70D39" w:rsidP="00A70D39">
            <w:pPr>
              <w:pStyle w:val="Odsekzoznamu"/>
              <w:numPr>
                <w:ilvl w:val="0"/>
                <w:numId w:val="15"/>
              </w:numPr>
              <w:spacing w:after="0" w:line="240" w:lineRule="auto"/>
              <w:ind w:left="426"/>
              <w:rPr>
                <w:rFonts w:ascii="Times New Roman" w:hAnsi="Times New Roman"/>
                <w:b/>
              </w:rPr>
            </w:pPr>
            <w:r w:rsidRPr="00F66921">
              <w:rPr>
                <w:rFonts w:ascii="Times New Roman" w:hAnsi="Times New Roman"/>
                <w:b/>
              </w:rPr>
              <w:lastRenderedPageBreak/>
              <w:t>Ciele a výsledný stav</w:t>
            </w:r>
          </w:p>
        </w:tc>
      </w:tr>
      <w:tr w:rsidR="00A70D39" w:rsidRPr="00F66921" w:rsidTr="002151A5">
        <w:trPr>
          <w:trHeight w:val="741"/>
        </w:trPr>
        <w:tc>
          <w:tcPr>
            <w:tcW w:w="9181" w:type="dxa"/>
            <w:gridSpan w:val="10"/>
            <w:tcBorders>
              <w:top w:val="nil"/>
            </w:tcBorders>
            <w:shd w:val="clear" w:color="auto" w:fill="FFFFFF" w:themeFill="background1"/>
          </w:tcPr>
          <w:p w:rsidR="00A70D39" w:rsidRPr="00F66921" w:rsidRDefault="00A70D39" w:rsidP="002151A5">
            <w:pPr>
              <w:rPr>
                <w:rFonts w:ascii="Arial Narrow" w:hAnsi="Arial Narrow"/>
                <w:sz w:val="10"/>
                <w:szCs w:val="10"/>
              </w:rPr>
            </w:pPr>
          </w:p>
          <w:p w:rsidR="00A70D39" w:rsidRPr="00F66921" w:rsidRDefault="00A70D39" w:rsidP="00A70D39">
            <w:pPr>
              <w:pStyle w:val="Odsekzoznamu"/>
              <w:numPr>
                <w:ilvl w:val="0"/>
                <w:numId w:val="18"/>
              </w:numPr>
              <w:tabs>
                <w:tab w:val="left" w:pos="284"/>
              </w:tabs>
              <w:spacing w:after="0" w:line="240" w:lineRule="auto"/>
              <w:ind w:left="284" w:hanging="284"/>
              <w:jc w:val="both"/>
              <w:rPr>
                <w:rFonts w:ascii="Times New Roman" w:hAnsi="Times New Roman"/>
                <w:sz w:val="20"/>
                <w:szCs w:val="20"/>
              </w:rPr>
            </w:pPr>
            <w:r w:rsidRPr="00F66921">
              <w:rPr>
                <w:rFonts w:ascii="Times New Roman" w:hAnsi="Times New Roman"/>
                <w:sz w:val="20"/>
                <w:szCs w:val="20"/>
              </w:rPr>
              <w:t>Transpozícia smernice Rady (EÚ) 2020/262 z 19. decembra 2019, ktorou sa stanovuje všeobecný systém spotrebných daní do zákona č. 530/2011 Z. z. o spotrebnej dani z alkoholických nápojov v znení neskorších predpisov</w:t>
            </w:r>
          </w:p>
          <w:p w:rsidR="00A70D39" w:rsidRPr="00F66921" w:rsidRDefault="00A70D39" w:rsidP="00A70D39">
            <w:pPr>
              <w:pStyle w:val="Odsekzoznamu"/>
              <w:numPr>
                <w:ilvl w:val="1"/>
                <w:numId w:val="19"/>
              </w:numPr>
              <w:tabs>
                <w:tab w:val="left" w:pos="284"/>
              </w:tabs>
              <w:spacing w:after="0" w:line="240" w:lineRule="auto"/>
              <w:ind w:left="567" w:hanging="283"/>
              <w:jc w:val="both"/>
              <w:rPr>
                <w:rFonts w:ascii="Times New Roman" w:hAnsi="Times New Roman"/>
                <w:sz w:val="20"/>
                <w:szCs w:val="20"/>
              </w:rPr>
            </w:pPr>
            <w:r w:rsidRPr="00F66921">
              <w:rPr>
                <w:rFonts w:ascii="Times New Roman" w:hAnsi="Times New Roman"/>
                <w:sz w:val="20"/>
                <w:szCs w:val="20"/>
              </w:rPr>
              <w:t>zavedenie elektronického systému prepráv alkoholických nápojov v daňovom voľnom obehu.</w:t>
            </w:r>
          </w:p>
          <w:p w:rsidR="00A70D39" w:rsidRPr="00F66921" w:rsidRDefault="00A70D39" w:rsidP="00A70D39">
            <w:pPr>
              <w:pStyle w:val="Odsekzoznamu"/>
              <w:numPr>
                <w:ilvl w:val="0"/>
                <w:numId w:val="18"/>
              </w:numPr>
              <w:tabs>
                <w:tab w:val="left" w:pos="284"/>
              </w:tabs>
              <w:spacing w:after="0" w:line="240" w:lineRule="auto"/>
              <w:ind w:left="284" w:hanging="284"/>
              <w:jc w:val="both"/>
              <w:rPr>
                <w:rFonts w:ascii="Times New Roman" w:hAnsi="Times New Roman"/>
                <w:sz w:val="20"/>
                <w:szCs w:val="20"/>
              </w:rPr>
            </w:pPr>
            <w:r w:rsidRPr="00F66921">
              <w:rPr>
                <w:rFonts w:ascii="Times New Roman" w:hAnsi="Times New Roman"/>
                <w:sz w:val="20"/>
                <w:szCs w:val="20"/>
              </w:rPr>
              <w:t xml:space="preserve">Transpozícia smernice Rady (EÚ) 2019/475 z 18. februára 2019, ktorou sa menia smernice 2006/112/ES a 2008/118/ES, pokiaľ ide o začlenenie talianskej obce </w:t>
            </w:r>
            <w:proofErr w:type="spellStart"/>
            <w:r w:rsidRPr="00F66921">
              <w:rPr>
                <w:rFonts w:ascii="Times New Roman" w:hAnsi="Times New Roman"/>
                <w:sz w:val="20"/>
                <w:szCs w:val="20"/>
              </w:rPr>
              <w:t>Campione</w:t>
            </w:r>
            <w:proofErr w:type="spellEnd"/>
            <w:r w:rsidRPr="00F66921">
              <w:rPr>
                <w:rFonts w:ascii="Times New Roman" w:hAnsi="Times New Roman"/>
                <w:sz w:val="20"/>
                <w:szCs w:val="20"/>
              </w:rPr>
              <w:t xml:space="preserve"> </w:t>
            </w:r>
            <w:proofErr w:type="spellStart"/>
            <w:r w:rsidRPr="00F66921">
              <w:rPr>
                <w:rFonts w:ascii="Times New Roman" w:hAnsi="Times New Roman"/>
                <w:sz w:val="20"/>
                <w:szCs w:val="20"/>
              </w:rPr>
              <w:t>ďItalia</w:t>
            </w:r>
            <w:proofErr w:type="spellEnd"/>
            <w:r w:rsidRPr="00F66921">
              <w:rPr>
                <w:rFonts w:ascii="Times New Roman" w:hAnsi="Times New Roman"/>
                <w:sz w:val="20"/>
                <w:szCs w:val="20"/>
              </w:rPr>
              <w:t xml:space="preserve"> a talianskych vôd jazera </w:t>
            </w:r>
            <w:proofErr w:type="spellStart"/>
            <w:r w:rsidRPr="00F66921">
              <w:rPr>
                <w:rFonts w:ascii="Times New Roman" w:hAnsi="Times New Roman"/>
                <w:sz w:val="20"/>
                <w:szCs w:val="20"/>
              </w:rPr>
              <w:t>Lugano</w:t>
            </w:r>
            <w:proofErr w:type="spellEnd"/>
            <w:r w:rsidRPr="00F66921">
              <w:rPr>
                <w:rFonts w:ascii="Times New Roman" w:hAnsi="Times New Roman"/>
                <w:sz w:val="20"/>
                <w:szCs w:val="20"/>
              </w:rPr>
              <w:t xml:space="preserve"> do colného územia Únie a do územnej pôsobnosti smernice 2008/118/ES (Ú. V. EÚ L 83, 25.3.2019) do zákona č. 530/2011 Z. z. o spotrebnej dani z alkoholických nápojov v znení neskorších predpisov.</w:t>
            </w:r>
          </w:p>
          <w:p w:rsidR="00A70D39" w:rsidRPr="00F66921" w:rsidRDefault="00A70D39" w:rsidP="00A70D39">
            <w:pPr>
              <w:pStyle w:val="Odsekzoznamu"/>
              <w:numPr>
                <w:ilvl w:val="0"/>
                <w:numId w:val="18"/>
              </w:numPr>
              <w:tabs>
                <w:tab w:val="left" w:pos="284"/>
              </w:tabs>
              <w:spacing w:after="0" w:line="240" w:lineRule="auto"/>
              <w:ind w:left="284" w:hanging="284"/>
              <w:jc w:val="both"/>
              <w:rPr>
                <w:rFonts w:ascii="Times New Roman" w:hAnsi="Times New Roman"/>
                <w:sz w:val="20"/>
                <w:szCs w:val="20"/>
              </w:rPr>
            </w:pPr>
            <w:r w:rsidRPr="00F66921">
              <w:rPr>
                <w:rFonts w:ascii="Times New Roman" w:hAnsi="Times New Roman"/>
                <w:sz w:val="20"/>
                <w:szCs w:val="20"/>
              </w:rPr>
              <w:t>Transpozícia smernice Rady (EÚ) 2019/2235 zo 16. decembra 2019, ktorou sa mení smernica 2006/112/ES o spoločnom systéme dane z pridanej hodnoty a smernica 2008/118/ES o všeobecnom systéme spotrebných daní, pokiaľ ide o obranné úsilie v rámci Únie (Ú. V. EÚ L336, 30.12.2019) do zákona č. 530/2011 Z. z. o spotrebnej dani z alkoholických nápojov v znení neskorších predpisov.</w:t>
            </w:r>
          </w:p>
          <w:p w:rsidR="00A70D39" w:rsidRPr="00F66921" w:rsidRDefault="00A70D39" w:rsidP="00A70D39">
            <w:pPr>
              <w:pStyle w:val="Odsekzoznamu"/>
              <w:numPr>
                <w:ilvl w:val="0"/>
                <w:numId w:val="18"/>
              </w:numPr>
              <w:tabs>
                <w:tab w:val="left" w:pos="284"/>
              </w:tabs>
              <w:spacing w:after="0" w:line="240" w:lineRule="auto"/>
              <w:ind w:left="284" w:hanging="284"/>
              <w:jc w:val="both"/>
              <w:rPr>
                <w:rFonts w:ascii="Times New Roman" w:hAnsi="Times New Roman"/>
                <w:sz w:val="20"/>
                <w:szCs w:val="20"/>
              </w:rPr>
            </w:pPr>
            <w:r w:rsidRPr="00F66921">
              <w:rPr>
                <w:rFonts w:ascii="Times New Roman" w:hAnsi="Times New Roman"/>
                <w:sz w:val="20"/>
                <w:szCs w:val="20"/>
              </w:rPr>
              <w:t>Transpozícia smernice Rady (EÚ) 2020/1151 z 29. júla 2020, ktorou sa mení smernica 92/83/EHS o zosúladení štruktúr spotrebných daní pre etanol a alkoholické nápoje.</w:t>
            </w:r>
          </w:p>
          <w:p w:rsidR="00A70D39" w:rsidRPr="00F66921" w:rsidRDefault="00A70D39" w:rsidP="00A70D39">
            <w:pPr>
              <w:pStyle w:val="Odsekzoznamu"/>
              <w:numPr>
                <w:ilvl w:val="1"/>
                <w:numId w:val="18"/>
              </w:numPr>
              <w:tabs>
                <w:tab w:val="left" w:pos="284"/>
              </w:tabs>
              <w:spacing w:after="0" w:line="240" w:lineRule="auto"/>
              <w:jc w:val="both"/>
              <w:rPr>
                <w:rFonts w:ascii="Times New Roman" w:hAnsi="Times New Roman"/>
                <w:sz w:val="20"/>
                <w:szCs w:val="20"/>
              </w:rPr>
            </w:pPr>
            <w:r w:rsidRPr="00F66921">
              <w:rPr>
                <w:rFonts w:ascii="Times New Roman" w:hAnsi="Times New Roman"/>
                <w:sz w:val="20"/>
                <w:szCs w:val="20"/>
              </w:rPr>
              <w:t>Ukončenie súkromnej výroby destilátu.</w:t>
            </w:r>
          </w:p>
          <w:p w:rsidR="00A70D39" w:rsidRPr="00F66921" w:rsidRDefault="00A70D39" w:rsidP="00A70D39">
            <w:pPr>
              <w:pStyle w:val="Odsekzoznamu"/>
              <w:numPr>
                <w:ilvl w:val="1"/>
                <w:numId w:val="18"/>
              </w:numPr>
              <w:tabs>
                <w:tab w:val="left" w:pos="284"/>
              </w:tabs>
              <w:spacing w:after="0" w:line="240" w:lineRule="auto"/>
              <w:jc w:val="both"/>
              <w:rPr>
                <w:rFonts w:ascii="Times New Roman" w:hAnsi="Times New Roman"/>
                <w:sz w:val="20"/>
                <w:szCs w:val="20"/>
              </w:rPr>
            </w:pPr>
            <w:r w:rsidRPr="00F66921">
              <w:rPr>
                <w:rFonts w:ascii="Times New Roman" w:hAnsi="Times New Roman"/>
                <w:sz w:val="20"/>
                <w:szCs w:val="20"/>
              </w:rPr>
              <w:t>Zavedenie oslobodenia od spotrebnej dane z liehu pre výživové doplnky.</w:t>
            </w:r>
          </w:p>
          <w:p w:rsidR="00A70D39" w:rsidRPr="00F66921" w:rsidRDefault="00A70D39" w:rsidP="00A70D39">
            <w:pPr>
              <w:pStyle w:val="Odsekzoznamu"/>
              <w:numPr>
                <w:ilvl w:val="0"/>
                <w:numId w:val="18"/>
              </w:numPr>
              <w:tabs>
                <w:tab w:val="left" w:pos="284"/>
              </w:tabs>
              <w:spacing w:after="0" w:line="240" w:lineRule="auto"/>
              <w:ind w:left="284" w:hanging="284"/>
              <w:jc w:val="both"/>
              <w:rPr>
                <w:rFonts w:ascii="Times New Roman" w:hAnsi="Times New Roman"/>
                <w:sz w:val="20"/>
                <w:szCs w:val="20"/>
              </w:rPr>
            </w:pPr>
            <w:r w:rsidRPr="00F66921">
              <w:rPr>
                <w:rFonts w:ascii="Times New Roman" w:hAnsi="Times New Roman"/>
                <w:sz w:val="20"/>
                <w:szCs w:val="20"/>
              </w:rPr>
              <w:t>Legislatívno-technické úpravy v zákone č. 530/2011 Z. z. o spotrebnej dani z alkoholických nápojov v znení neskorších predpisov vyplývajúce z poznatkov aplikačnej praxe.</w:t>
            </w:r>
          </w:p>
        </w:tc>
      </w:tr>
      <w:tr w:rsidR="00A70D39" w:rsidRPr="00F66921" w:rsidTr="002151A5">
        <w:tc>
          <w:tcPr>
            <w:tcW w:w="9181" w:type="dxa"/>
            <w:gridSpan w:val="10"/>
            <w:tcBorders>
              <w:bottom w:val="nil"/>
            </w:tcBorders>
            <w:shd w:val="clear" w:color="auto" w:fill="E2E2E2"/>
          </w:tcPr>
          <w:p w:rsidR="00A70D39" w:rsidRPr="00F66921" w:rsidRDefault="00A70D39" w:rsidP="00A70D39">
            <w:pPr>
              <w:pStyle w:val="Odsekzoznamu"/>
              <w:numPr>
                <w:ilvl w:val="0"/>
                <w:numId w:val="15"/>
              </w:numPr>
              <w:spacing w:after="0" w:line="240" w:lineRule="auto"/>
              <w:ind w:left="426"/>
              <w:rPr>
                <w:rFonts w:ascii="Times New Roman" w:hAnsi="Times New Roman"/>
                <w:b/>
              </w:rPr>
            </w:pPr>
            <w:r w:rsidRPr="00F66921">
              <w:rPr>
                <w:rFonts w:ascii="Times New Roman" w:hAnsi="Times New Roman"/>
                <w:b/>
              </w:rPr>
              <w:t>Dotknuté subjekty</w:t>
            </w:r>
          </w:p>
        </w:tc>
      </w:tr>
      <w:tr w:rsidR="00A70D39" w:rsidRPr="00F66921" w:rsidTr="002151A5">
        <w:tc>
          <w:tcPr>
            <w:tcW w:w="9181" w:type="dxa"/>
            <w:gridSpan w:val="10"/>
            <w:tcBorders>
              <w:top w:val="nil"/>
            </w:tcBorders>
            <w:shd w:val="clear" w:color="auto" w:fill="FFFFFF" w:themeFill="background1"/>
          </w:tcPr>
          <w:p w:rsidR="00A70D39" w:rsidRPr="00F66921" w:rsidRDefault="00A70D39" w:rsidP="002151A5">
            <w:pPr>
              <w:tabs>
                <w:tab w:val="left" w:pos="284"/>
              </w:tabs>
              <w:jc w:val="both"/>
              <w:rPr>
                <w:i/>
              </w:rPr>
            </w:pPr>
            <w:r w:rsidRPr="00F66921">
              <w:t>Podnikateľské subjekty, ktoré podnikajú s alkoholickými nápojmi podľa  zákona č. 530/2011 Z. z. o spotrebnej dani z alkoholických nápojov v znení neskorších predpisov.</w:t>
            </w:r>
          </w:p>
        </w:tc>
      </w:tr>
      <w:tr w:rsidR="00A70D39" w:rsidRPr="00F66921" w:rsidTr="002151A5">
        <w:tc>
          <w:tcPr>
            <w:tcW w:w="9181" w:type="dxa"/>
            <w:gridSpan w:val="10"/>
            <w:tcBorders>
              <w:bottom w:val="nil"/>
            </w:tcBorders>
            <w:shd w:val="clear" w:color="auto" w:fill="E2E2E2"/>
          </w:tcPr>
          <w:p w:rsidR="00A70D39" w:rsidRPr="00F66921" w:rsidRDefault="00A70D39" w:rsidP="00A70D39">
            <w:pPr>
              <w:pStyle w:val="Odsekzoznamu"/>
              <w:numPr>
                <w:ilvl w:val="0"/>
                <w:numId w:val="15"/>
              </w:numPr>
              <w:spacing w:after="0" w:line="240" w:lineRule="auto"/>
              <w:ind w:left="426"/>
              <w:rPr>
                <w:rFonts w:ascii="Times New Roman" w:hAnsi="Times New Roman"/>
                <w:b/>
              </w:rPr>
            </w:pPr>
            <w:r w:rsidRPr="00F66921">
              <w:rPr>
                <w:rFonts w:ascii="Times New Roman" w:hAnsi="Times New Roman"/>
                <w:b/>
              </w:rPr>
              <w:t>Alternatívne riešenia</w:t>
            </w:r>
          </w:p>
        </w:tc>
      </w:tr>
      <w:tr w:rsidR="00A70D39" w:rsidRPr="00F66921" w:rsidTr="002151A5">
        <w:trPr>
          <w:trHeight w:val="709"/>
        </w:trPr>
        <w:tc>
          <w:tcPr>
            <w:tcW w:w="9181" w:type="dxa"/>
            <w:gridSpan w:val="10"/>
            <w:tcBorders>
              <w:top w:val="nil"/>
            </w:tcBorders>
            <w:shd w:val="clear" w:color="auto" w:fill="FFFFFF" w:themeFill="background1"/>
          </w:tcPr>
          <w:p w:rsidR="00A70D39" w:rsidRPr="00F66921" w:rsidRDefault="00A70D39" w:rsidP="002151A5">
            <w:pPr>
              <w:jc w:val="both"/>
            </w:pPr>
            <w:r w:rsidRPr="00F66921">
              <w:t>Nie je alternatívne riešenie. Slovenská republika je povinná transponovať smernicu Rady (EÚ) 2020/262 z 19. decembra 2019, ktorou sa stanovuje všeobecný systém spotrebných daní do legislatívy Slovenskej republiky najneskôr do 13. februára 2023.</w:t>
            </w:r>
          </w:p>
        </w:tc>
      </w:tr>
      <w:tr w:rsidR="00A70D39" w:rsidRPr="00F66921" w:rsidTr="002151A5">
        <w:tc>
          <w:tcPr>
            <w:tcW w:w="9181" w:type="dxa"/>
            <w:gridSpan w:val="10"/>
            <w:tcBorders>
              <w:bottom w:val="single" w:sz="4" w:space="0" w:color="FFFFFF" w:themeColor="background1"/>
            </w:tcBorders>
            <w:shd w:val="clear" w:color="auto" w:fill="E2E2E2"/>
          </w:tcPr>
          <w:p w:rsidR="00A70D39" w:rsidRPr="00F66921" w:rsidRDefault="00A70D39" w:rsidP="00A70D39">
            <w:pPr>
              <w:pStyle w:val="Odsekzoznamu"/>
              <w:numPr>
                <w:ilvl w:val="0"/>
                <w:numId w:val="15"/>
              </w:numPr>
              <w:spacing w:after="0" w:line="240" w:lineRule="auto"/>
              <w:ind w:left="426"/>
              <w:rPr>
                <w:rFonts w:ascii="Times New Roman" w:hAnsi="Times New Roman"/>
                <w:b/>
              </w:rPr>
            </w:pPr>
            <w:r w:rsidRPr="00F66921">
              <w:rPr>
                <w:rFonts w:ascii="Times New Roman" w:hAnsi="Times New Roman"/>
                <w:b/>
              </w:rPr>
              <w:t>Vykonávacie predpisy</w:t>
            </w:r>
          </w:p>
        </w:tc>
      </w:tr>
      <w:tr w:rsidR="00A70D39" w:rsidRPr="00F66921" w:rsidTr="002151A5">
        <w:tc>
          <w:tcPr>
            <w:tcW w:w="6204" w:type="dxa"/>
            <w:gridSpan w:val="6"/>
            <w:tcBorders>
              <w:top w:val="single" w:sz="4" w:space="0" w:color="FFFFFF" w:themeColor="background1"/>
              <w:bottom w:val="nil"/>
              <w:right w:val="nil"/>
            </w:tcBorders>
            <w:shd w:val="clear" w:color="auto" w:fill="FFFFFF" w:themeFill="background1"/>
          </w:tcPr>
          <w:p w:rsidR="00A70D39" w:rsidRPr="00F66921" w:rsidRDefault="00A70D39" w:rsidP="002151A5">
            <w:pPr>
              <w:rPr>
                <w:i/>
              </w:rPr>
            </w:pPr>
            <w:r w:rsidRPr="00F66921">
              <w:rPr>
                <w:i/>
              </w:rPr>
              <w:t>Predpokladá sa prijatie/zmena vykonávacích predpisov?</w:t>
            </w:r>
          </w:p>
          <w:p w:rsidR="00A70D39" w:rsidRPr="00F66921" w:rsidRDefault="00A70D39" w:rsidP="002151A5">
            <w:pPr>
              <w:jc w:val="both"/>
              <w:rPr>
                <w:i/>
                <w:szCs w:val="22"/>
              </w:rPr>
            </w:pPr>
            <w:r w:rsidRPr="002151A5">
              <w:rPr>
                <w:rFonts w:ascii="Times New Roman" w:hAnsi="Times New Roman"/>
                <w:sz w:val="24"/>
                <w:szCs w:val="24"/>
              </w:rPr>
              <w:t xml:space="preserve">Návrh </w:t>
            </w:r>
            <w:hyperlink r:id="rId7" w:tooltip="Vyhláška [nové okno] (Odkaz sa otvorí v novom okne)" w:history="1">
              <w:r w:rsidRPr="002151A5">
                <w:rPr>
                  <w:rStyle w:val="Hypertextovprepojenie"/>
                  <w:rFonts w:ascii="Times New Roman" w:hAnsi="Times New Roman"/>
                  <w:color w:val="auto"/>
                  <w:sz w:val="24"/>
                  <w:szCs w:val="24"/>
                  <w:u w:val="none"/>
                  <w:shd w:val="clear" w:color="auto" w:fill="FFFFFF"/>
                </w:rPr>
                <w:t>vyhlášky Ministerstva financií Slovenskej republiky, ktorou sa ustanovujú vzory daňových priznaní, dodatočných daňových priznaní k spotrebnej dani z alkoholických nápojov</w:t>
              </w:r>
            </w:hyperlink>
            <w:r w:rsidRPr="00F66921">
              <w:rPr>
                <w:szCs w:val="22"/>
              </w:rPr>
              <w:t>.</w:t>
            </w:r>
          </w:p>
        </w:tc>
        <w:tc>
          <w:tcPr>
            <w:tcW w:w="1417" w:type="dxa"/>
            <w:gridSpan w:val="2"/>
            <w:tcBorders>
              <w:top w:val="single" w:sz="4" w:space="0" w:color="FFFFFF" w:themeColor="background1"/>
              <w:left w:val="nil"/>
              <w:bottom w:val="nil"/>
              <w:right w:val="nil"/>
            </w:tcBorders>
            <w:shd w:val="clear" w:color="auto" w:fill="FFFFFF" w:themeFill="background1"/>
          </w:tcPr>
          <w:p w:rsidR="00A70D39" w:rsidRPr="00F66921" w:rsidRDefault="00A70D39" w:rsidP="002151A5">
            <w:pPr>
              <w:jc w:val="center"/>
            </w:pPr>
            <w:r w:rsidRPr="00F66921">
              <w:rPr>
                <w:rFonts w:ascii="MS Gothic" w:eastAsia="MS Gothic" w:hAnsi="MS Gothic" w:hint="eastAsia"/>
              </w:rPr>
              <w:t>☒</w:t>
            </w:r>
            <w:r w:rsidRPr="00F66921">
              <w:t xml:space="preserve">  Áno</w:t>
            </w:r>
          </w:p>
        </w:tc>
        <w:tc>
          <w:tcPr>
            <w:tcW w:w="1560" w:type="dxa"/>
            <w:gridSpan w:val="2"/>
            <w:tcBorders>
              <w:top w:val="single" w:sz="4" w:space="0" w:color="FFFFFF" w:themeColor="background1"/>
              <w:left w:val="nil"/>
              <w:bottom w:val="nil"/>
            </w:tcBorders>
            <w:shd w:val="clear" w:color="auto" w:fill="FFFFFF" w:themeFill="background1"/>
          </w:tcPr>
          <w:p w:rsidR="00A70D39" w:rsidRPr="00F66921" w:rsidRDefault="00A70D39" w:rsidP="002151A5">
            <w:pPr>
              <w:jc w:val="center"/>
            </w:pPr>
            <w:r w:rsidRPr="00F66921">
              <w:rPr>
                <w:rFonts w:ascii="MS Gothic" w:eastAsia="MS Gothic" w:hAnsi="MS Gothic" w:hint="eastAsia"/>
                <w:b/>
              </w:rPr>
              <w:t>☐</w:t>
            </w:r>
            <w:r w:rsidRPr="00F66921">
              <w:t xml:space="preserve">  </w:t>
            </w:r>
            <w:r w:rsidRPr="00F66921">
              <w:rPr>
                <w:b/>
              </w:rPr>
              <w:t>Nie</w:t>
            </w:r>
          </w:p>
        </w:tc>
      </w:tr>
      <w:tr w:rsidR="00A70D39" w:rsidRPr="00F66921" w:rsidTr="002151A5">
        <w:tc>
          <w:tcPr>
            <w:tcW w:w="9181" w:type="dxa"/>
            <w:gridSpan w:val="10"/>
            <w:tcBorders>
              <w:top w:val="nil"/>
            </w:tcBorders>
            <w:shd w:val="clear" w:color="auto" w:fill="FFFFFF" w:themeFill="background1"/>
          </w:tcPr>
          <w:p w:rsidR="00A70D39" w:rsidRPr="00F66921" w:rsidRDefault="00A70D39" w:rsidP="002151A5"/>
        </w:tc>
      </w:tr>
      <w:tr w:rsidR="00A70D39" w:rsidRPr="00F66921" w:rsidTr="002151A5">
        <w:tc>
          <w:tcPr>
            <w:tcW w:w="9181" w:type="dxa"/>
            <w:gridSpan w:val="10"/>
            <w:tcBorders>
              <w:bottom w:val="single" w:sz="4" w:space="0" w:color="FFFFFF" w:themeColor="background1"/>
            </w:tcBorders>
            <w:shd w:val="clear" w:color="auto" w:fill="E2E2E2"/>
          </w:tcPr>
          <w:p w:rsidR="00A70D39" w:rsidRPr="00F66921" w:rsidRDefault="00A70D39" w:rsidP="00A70D39">
            <w:pPr>
              <w:pStyle w:val="Odsekzoznamu"/>
              <w:numPr>
                <w:ilvl w:val="0"/>
                <w:numId w:val="15"/>
              </w:numPr>
              <w:spacing w:after="0" w:line="240" w:lineRule="auto"/>
              <w:ind w:left="426"/>
              <w:rPr>
                <w:rFonts w:ascii="Times New Roman" w:hAnsi="Times New Roman"/>
                <w:b/>
              </w:rPr>
            </w:pPr>
            <w:r w:rsidRPr="00F66921">
              <w:rPr>
                <w:rFonts w:ascii="Times New Roman" w:hAnsi="Times New Roman"/>
                <w:b/>
              </w:rPr>
              <w:t xml:space="preserve">Transpozícia práva EÚ </w:t>
            </w:r>
          </w:p>
        </w:tc>
      </w:tr>
      <w:tr w:rsidR="00A70D39" w:rsidRPr="00F66921" w:rsidTr="002151A5">
        <w:trPr>
          <w:trHeight w:val="157"/>
        </w:trPr>
        <w:tc>
          <w:tcPr>
            <w:tcW w:w="9181" w:type="dxa"/>
            <w:gridSpan w:val="10"/>
            <w:tcBorders>
              <w:top w:val="nil"/>
              <w:left w:val="single" w:sz="4" w:space="0" w:color="000000" w:themeColor="text1"/>
              <w:bottom w:val="nil"/>
            </w:tcBorders>
            <w:shd w:val="clear" w:color="auto" w:fill="FFFFFF" w:themeFill="background1"/>
          </w:tcPr>
          <w:p w:rsidR="00A70D39" w:rsidRPr="00F66921" w:rsidRDefault="00A70D39" w:rsidP="002151A5">
            <w:pPr>
              <w:jc w:val="both"/>
            </w:pPr>
            <w:r w:rsidRPr="00F66921">
              <w:t>Áno.</w:t>
            </w:r>
          </w:p>
          <w:p w:rsidR="00A70D39" w:rsidRPr="00F66921" w:rsidRDefault="00A70D39" w:rsidP="00A70D39">
            <w:pPr>
              <w:pStyle w:val="Odsekzoznamu"/>
              <w:numPr>
                <w:ilvl w:val="0"/>
                <w:numId w:val="17"/>
              </w:numPr>
              <w:ind w:left="284" w:firstLine="0"/>
              <w:rPr>
                <w:rFonts w:ascii="Times New Roman" w:hAnsi="Times New Roman"/>
                <w:sz w:val="20"/>
                <w:szCs w:val="20"/>
              </w:rPr>
            </w:pPr>
            <w:r w:rsidRPr="00F66921">
              <w:rPr>
                <w:rFonts w:ascii="Times New Roman" w:hAnsi="Times New Roman"/>
                <w:sz w:val="20"/>
                <w:szCs w:val="20"/>
              </w:rPr>
              <w:t>Smernica Rady (EÚ) 2020/262 z 19. decembra 2019, ktorou sa ustanovuje všeobecný systém spotrebných daní (prepracované znenie) (Ú. V. EÚ L58, 27.2.2020).</w:t>
            </w:r>
          </w:p>
          <w:p w:rsidR="00A70D39" w:rsidRPr="00F66921" w:rsidRDefault="00A70D39" w:rsidP="00A70D39">
            <w:pPr>
              <w:pStyle w:val="Odsekzoznamu"/>
              <w:numPr>
                <w:ilvl w:val="0"/>
                <w:numId w:val="17"/>
              </w:numPr>
              <w:ind w:left="284" w:firstLine="0"/>
              <w:jc w:val="both"/>
              <w:rPr>
                <w:rFonts w:ascii="Times New Roman" w:hAnsi="Times New Roman"/>
                <w:sz w:val="20"/>
                <w:szCs w:val="20"/>
              </w:rPr>
            </w:pPr>
            <w:r w:rsidRPr="00F66921">
              <w:rPr>
                <w:rFonts w:ascii="Times New Roman" w:hAnsi="Times New Roman"/>
                <w:sz w:val="20"/>
                <w:szCs w:val="20"/>
              </w:rPr>
              <w:t xml:space="preserve">Smernica Rady (EÚ) 2019/475 z 18. februára 2019, ktorou sa menia smernice 2006/112/ES a 2008/118/ES, pokiaľ ide o začlenenie talianskej obce </w:t>
            </w:r>
            <w:proofErr w:type="spellStart"/>
            <w:r w:rsidRPr="00F66921">
              <w:rPr>
                <w:rFonts w:ascii="Times New Roman" w:hAnsi="Times New Roman"/>
                <w:sz w:val="20"/>
                <w:szCs w:val="20"/>
              </w:rPr>
              <w:t>Campione</w:t>
            </w:r>
            <w:proofErr w:type="spellEnd"/>
            <w:r w:rsidRPr="00F66921">
              <w:rPr>
                <w:rFonts w:ascii="Times New Roman" w:hAnsi="Times New Roman"/>
                <w:sz w:val="20"/>
                <w:szCs w:val="20"/>
              </w:rPr>
              <w:t xml:space="preserve"> </w:t>
            </w:r>
            <w:proofErr w:type="spellStart"/>
            <w:r w:rsidRPr="00F66921">
              <w:rPr>
                <w:rFonts w:ascii="Times New Roman" w:hAnsi="Times New Roman"/>
                <w:sz w:val="20"/>
                <w:szCs w:val="20"/>
              </w:rPr>
              <w:t>ďItalia</w:t>
            </w:r>
            <w:proofErr w:type="spellEnd"/>
            <w:r w:rsidRPr="00F66921">
              <w:rPr>
                <w:rFonts w:ascii="Times New Roman" w:hAnsi="Times New Roman"/>
                <w:sz w:val="20"/>
                <w:szCs w:val="20"/>
              </w:rPr>
              <w:t xml:space="preserve"> a talianskych vôd jazera </w:t>
            </w:r>
            <w:proofErr w:type="spellStart"/>
            <w:r w:rsidRPr="00F66921">
              <w:rPr>
                <w:rFonts w:ascii="Times New Roman" w:hAnsi="Times New Roman"/>
                <w:sz w:val="20"/>
                <w:szCs w:val="20"/>
              </w:rPr>
              <w:t>Lugano</w:t>
            </w:r>
            <w:proofErr w:type="spellEnd"/>
            <w:r w:rsidRPr="00F66921">
              <w:rPr>
                <w:rFonts w:ascii="Times New Roman" w:hAnsi="Times New Roman"/>
                <w:sz w:val="20"/>
                <w:szCs w:val="20"/>
              </w:rPr>
              <w:t xml:space="preserve"> do colného územia Únie a do územnej pôsobnosti smernice 2008/118/ES (Ú. V. EÚ L 83, 25.3.2019).</w:t>
            </w:r>
          </w:p>
          <w:p w:rsidR="00A70D39" w:rsidRPr="00F66921" w:rsidRDefault="00A70D39" w:rsidP="00A70D39">
            <w:pPr>
              <w:pStyle w:val="Odsekzoznamu"/>
              <w:numPr>
                <w:ilvl w:val="0"/>
                <w:numId w:val="17"/>
              </w:numPr>
              <w:ind w:left="284" w:firstLine="0"/>
              <w:jc w:val="both"/>
              <w:rPr>
                <w:rFonts w:ascii="Times New Roman" w:hAnsi="Times New Roman"/>
                <w:sz w:val="20"/>
                <w:szCs w:val="20"/>
              </w:rPr>
            </w:pPr>
            <w:r w:rsidRPr="00F66921">
              <w:rPr>
                <w:rFonts w:ascii="Times New Roman" w:hAnsi="Times New Roman"/>
                <w:sz w:val="20"/>
                <w:szCs w:val="20"/>
              </w:rPr>
              <w:t>Smernica Rady (EÚ) 2019/2235 zo 16. decembra 2019, ktorou sa mení smernica 2006/112/ES o spoločnom systéme dane z pridanej hodnoty a smernica 2008/118/ES o všeobecnom systéme spotrebných daní, pokiaľ ide o obranné úsilie v rámci Únie (Ú. V. EÚ L336, 30.12.2019).</w:t>
            </w:r>
          </w:p>
          <w:p w:rsidR="00A70D39" w:rsidRPr="00F66921" w:rsidRDefault="00A70D39" w:rsidP="00A70D39">
            <w:pPr>
              <w:pStyle w:val="Odsekzoznamu"/>
              <w:numPr>
                <w:ilvl w:val="0"/>
                <w:numId w:val="17"/>
              </w:numPr>
              <w:ind w:left="284" w:firstLine="0"/>
              <w:jc w:val="both"/>
              <w:rPr>
                <w:rFonts w:ascii="Times New Roman" w:hAnsi="Times New Roman"/>
                <w:sz w:val="20"/>
                <w:szCs w:val="20"/>
              </w:rPr>
            </w:pPr>
            <w:r w:rsidRPr="00F66921">
              <w:rPr>
                <w:rFonts w:ascii="Times New Roman" w:hAnsi="Times New Roman"/>
                <w:sz w:val="20"/>
                <w:szCs w:val="20"/>
              </w:rPr>
              <w:t>Smernica Rady (EÚ) 2020/1151 z 29. júla 2020, ktorou sa mení smernica 92/83/EHS o zosúladení štruktúr spotrebných daní pre etanol a alkoholické nápoje.</w:t>
            </w:r>
          </w:p>
        </w:tc>
      </w:tr>
      <w:tr w:rsidR="00A70D39" w:rsidRPr="00F66921" w:rsidTr="002151A5">
        <w:trPr>
          <w:trHeight w:val="70"/>
        </w:trPr>
        <w:tc>
          <w:tcPr>
            <w:tcW w:w="9181" w:type="dxa"/>
            <w:gridSpan w:val="10"/>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A70D39" w:rsidRPr="00F66921" w:rsidRDefault="00A70D39" w:rsidP="002151A5"/>
        </w:tc>
      </w:tr>
      <w:tr w:rsidR="00A70D39" w:rsidRPr="00F66921" w:rsidTr="002151A5">
        <w:tc>
          <w:tcPr>
            <w:tcW w:w="9181" w:type="dxa"/>
            <w:gridSpan w:val="10"/>
            <w:tcBorders>
              <w:bottom w:val="single" w:sz="4" w:space="0" w:color="FFFFFF" w:themeColor="background1"/>
            </w:tcBorders>
            <w:shd w:val="clear" w:color="auto" w:fill="E2E2E2"/>
          </w:tcPr>
          <w:p w:rsidR="00A70D39" w:rsidRPr="00F66921" w:rsidRDefault="00A70D39" w:rsidP="00A70D39">
            <w:pPr>
              <w:pStyle w:val="Odsekzoznamu"/>
              <w:numPr>
                <w:ilvl w:val="0"/>
                <w:numId w:val="15"/>
              </w:numPr>
              <w:spacing w:after="0" w:line="240" w:lineRule="auto"/>
              <w:ind w:left="426"/>
              <w:rPr>
                <w:rFonts w:ascii="Times New Roman" w:hAnsi="Times New Roman"/>
                <w:b/>
              </w:rPr>
            </w:pPr>
            <w:r w:rsidRPr="00F66921">
              <w:rPr>
                <w:rFonts w:ascii="Times New Roman" w:hAnsi="Times New Roman"/>
                <w:b/>
              </w:rPr>
              <w:t>Preskúmanie účelnosti**</w:t>
            </w:r>
          </w:p>
        </w:tc>
      </w:tr>
      <w:tr w:rsidR="00A70D39" w:rsidRPr="00F66921" w:rsidTr="002151A5">
        <w:tc>
          <w:tcPr>
            <w:tcW w:w="9181" w:type="dxa"/>
            <w:gridSpan w:val="10"/>
            <w:tcBorders>
              <w:top w:val="single" w:sz="4" w:space="0" w:color="FFFFFF" w:themeColor="background1"/>
            </w:tcBorders>
            <w:shd w:val="clear" w:color="auto" w:fill="FFFFFF" w:themeFill="background1"/>
          </w:tcPr>
          <w:p w:rsidR="00A70D39" w:rsidRPr="00F66921" w:rsidRDefault="00A70D39" w:rsidP="002151A5">
            <w:r w:rsidRPr="00F66921">
              <w:t>Bezpredmetné.</w:t>
            </w:r>
          </w:p>
          <w:p w:rsidR="00A70D39" w:rsidRPr="00F66921" w:rsidRDefault="00A70D39" w:rsidP="002151A5">
            <w:pPr>
              <w:rPr>
                <w:i/>
              </w:rPr>
            </w:pPr>
          </w:p>
        </w:tc>
      </w:tr>
      <w:tr w:rsidR="00A70D39" w:rsidRPr="00F66921" w:rsidTr="002151A5">
        <w:trPr>
          <w:trHeight w:val="715"/>
        </w:trPr>
        <w:tc>
          <w:tcPr>
            <w:tcW w:w="9181" w:type="dxa"/>
            <w:gridSpan w:val="10"/>
            <w:tcBorders>
              <w:left w:val="nil"/>
              <w:bottom w:val="nil"/>
              <w:right w:val="nil"/>
            </w:tcBorders>
            <w:shd w:val="clear" w:color="auto" w:fill="FFFFFF" w:themeFill="background1"/>
          </w:tcPr>
          <w:p w:rsidR="00A70D39" w:rsidRPr="00F66921" w:rsidRDefault="00A70D39" w:rsidP="002151A5">
            <w:pPr>
              <w:ind w:left="142" w:hanging="142"/>
            </w:pPr>
            <w:r w:rsidRPr="00F66921">
              <w:t>* vyplniť iba v prípade, ak materiál nie je zahrnutý do Plánu práce vlády Slovenskej republiky alebo Plánu        legislatívnych úloh vlády Slovenskej republiky.</w:t>
            </w:r>
          </w:p>
          <w:p w:rsidR="00A70D39" w:rsidRPr="00F66921" w:rsidRDefault="00A70D39" w:rsidP="002151A5">
            <w:r w:rsidRPr="00F66921">
              <w:t>** nepovinné</w:t>
            </w:r>
          </w:p>
        </w:tc>
      </w:tr>
      <w:tr w:rsidR="00A70D39" w:rsidRPr="00F66921" w:rsidTr="002151A5">
        <w:tc>
          <w:tcPr>
            <w:tcW w:w="9181" w:type="dxa"/>
            <w:gridSpan w:val="10"/>
            <w:tcBorders>
              <w:top w:val="nil"/>
              <w:left w:val="nil"/>
              <w:right w:val="nil"/>
            </w:tcBorders>
            <w:shd w:val="clear" w:color="auto" w:fill="FFFFFF" w:themeFill="background1"/>
          </w:tcPr>
          <w:p w:rsidR="00A70D39" w:rsidRPr="00F66921" w:rsidRDefault="00A70D39" w:rsidP="002151A5">
            <w:pPr>
              <w:rPr>
                <w:b/>
              </w:rPr>
            </w:pPr>
          </w:p>
        </w:tc>
      </w:tr>
      <w:tr w:rsidR="00A70D39" w:rsidRPr="00F66921" w:rsidTr="002151A5">
        <w:trPr>
          <w:trHeight w:val="577"/>
        </w:trPr>
        <w:tc>
          <w:tcPr>
            <w:tcW w:w="9181" w:type="dxa"/>
            <w:gridSpan w:val="10"/>
            <w:tcBorders>
              <w:bottom w:val="single" w:sz="4" w:space="0" w:color="FFFFFF" w:themeColor="background1"/>
            </w:tcBorders>
            <w:shd w:val="clear" w:color="auto" w:fill="E2E2E2"/>
            <w:vAlign w:val="center"/>
          </w:tcPr>
          <w:p w:rsidR="00A70D39" w:rsidRPr="00F66921" w:rsidRDefault="00A70D39" w:rsidP="00A70D39">
            <w:pPr>
              <w:pStyle w:val="Odsekzoznamu"/>
              <w:numPr>
                <w:ilvl w:val="0"/>
                <w:numId w:val="15"/>
              </w:numPr>
              <w:spacing w:after="0" w:line="240" w:lineRule="auto"/>
              <w:ind w:left="426"/>
              <w:rPr>
                <w:rFonts w:ascii="Times New Roman" w:hAnsi="Times New Roman"/>
                <w:b/>
              </w:rPr>
            </w:pPr>
            <w:r w:rsidRPr="00F66921">
              <w:rPr>
                <w:rFonts w:ascii="Times New Roman" w:hAnsi="Times New Roman"/>
                <w:b/>
              </w:rPr>
              <w:t>Vplyvy navrhovaného materiálu</w:t>
            </w:r>
          </w:p>
        </w:tc>
      </w:tr>
      <w:tr w:rsidR="00A70D39" w:rsidRPr="00F66921" w:rsidTr="002151A5">
        <w:tc>
          <w:tcPr>
            <w:tcW w:w="3812" w:type="dxa"/>
            <w:tcBorders>
              <w:bottom w:val="nil"/>
            </w:tcBorders>
            <w:shd w:val="clear" w:color="auto" w:fill="E2E2E2"/>
          </w:tcPr>
          <w:p w:rsidR="00A70D39" w:rsidRPr="00F66921" w:rsidRDefault="00A70D39" w:rsidP="002151A5">
            <w:pPr>
              <w:rPr>
                <w:b/>
              </w:rPr>
            </w:pPr>
            <w:r w:rsidRPr="00F66921">
              <w:rPr>
                <w:b/>
              </w:rPr>
              <w:t>Vplyvy na rozpočet verejnej správy</w:t>
            </w:r>
          </w:p>
        </w:tc>
        <w:tc>
          <w:tcPr>
            <w:tcW w:w="541" w:type="dxa"/>
            <w:gridSpan w:val="2"/>
            <w:tcBorders>
              <w:right w:val="nil"/>
            </w:tcBorders>
          </w:tcPr>
          <w:p w:rsidR="00A70D39" w:rsidRPr="00F66921" w:rsidRDefault="00A70D39" w:rsidP="002151A5">
            <w:pPr>
              <w:jc w:val="center"/>
              <w:rPr>
                <w:b/>
              </w:rPr>
            </w:pPr>
            <w:r w:rsidRPr="00F66921">
              <w:rPr>
                <w:rFonts w:ascii="MS Mincho" w:eastAsia="MS Mincho" w:hAnsi="MS Mincho" w:cs="MS Mincho" w:hint="eastAsia"/>
                <w:b/>
              </w:rPr>
              <w:t>☐</w:t>
            </w:r>
          </w:p>
        </w:tc>
        <w:tc>
          <w:tcPr>
            <w:tcW w:w="1281" w:type="dxa"/>
            <w:gridSpan w:val="2"/>
            <w:tcBorders>
              <w:left w:val="nil"/>
              <w:right w:val="nil"/>
            </w:tcBorders>
          </w:tcPr>
          <w:p w:rsidR="00A70D39" w:rsidRPr="00F66921" w:rsidRDefault="00A70D39" w:rsidP="002151A5">
            <w:pPr>
              <w:rPr>
                <w:b/>
              </w:rPr>
            </w:pPr>
            <w:r w:rsidRPr="00F66921">
              <w:rPr>
                <w:b/>
              </w:rPr>
              <w:t>Pozitívne</w:t>
            </w:r>
          </w:p>
        </w:tc>
        <w:tc>
          <w:tcPr>
            <w:tcW w:w="570" w:type="dxa"/>
            <w:tcBorders>
              <w:left w:val="nil"/>
              <w:right w:val="nil"/>
            </w:tcBorders>
          </w:tcPr>
          <w:p w:rsidR="00A70D39" w:rsidRPr="00F66921" w:rsidRDefault="00A70D39" w:rsidP="002151A5">
            <w:pPr>
              <w:jc w:val="center"/>
              <w:rPr>
                <w:b/>
              </w:rPr>
            </w:pPr>
            <w:r w:rsidRPr="00F66921">
              <w:rPr>
                <w:rFonts w:ascii="MS Mincho" w:eastAsia="MS Mincho" w:hAnsi="MS Mincho" w:cs="MS Mincho" w:hint="eastAsia"/>
                <w:b/>
              </w:rPr>
              <w:t>☐</w:t>
            </w:r>
          </w:p>
        </w:tc>
        <w:tc>
          <w:tcPr>
            <w:tcW w:w="1133" w:type="dxa"/>
            <w:tcBorders>
              <w:left w:val="nil"/>
              <w:right w:val="nil"/>
            </w:tcBorders>
          </w:tcPr>
          <w:p w:rsidR="00A70D39" w:rsidRPr="00F66921" w:rsidRDefault="00A70D39" w:rsidP="002151A5">
            <w:pPr>
              <w:rPr>
                <w:b/>
              </w:rPr>
            </w:pPr>
            <w:r w:rsidRPr="00F66921">
              <w:rPr>
                <w:b/>
              </w:rPr>
              <w:t>Žiadne</w:t>
            </w:r>
          </w:p>
        </w:tc>
        <w:tc>
          <w:tcPr>
            <w:tcW w:w="547" w:type="dxa"/>
            <w:gridSpan w:val="2"/>
            <w:tcBorders>
              <w:left w:val="nil"/>
              <w:right w:val="nil"/>
            </w:tcBorders>
          </w:tcPr>
          <w:p w:rsidR="00A70D39" w:rsidRPr="00F66921" w:rsidRDefault="00A70D39" w:rsidP="002151A5">
            <w:pPr>
              <w:ind w:left="-107" w:right="-108"/>
              <w:jc w:val="center"/>
              <w:rPr>
                <w:b/>
              </w:rPr>
            </w:pPr>
            <w:r w:rsidRPr="00F66921">
              <w:rPr>
                <w:rFonts w:ascii="MS Gothic" w:eastAsia="MS Gothic" w:hAnsi="MS Gothic" w:hint="eastAsia"/>
                <w:b/>
              </w:rPr>
              <w:t>☒</w:t>
            </w:r>
          </w:p>
        </w:tc>
        <w:tc>
          <w:tcPr>
            <w:tcW w:w="1297" w:type="dxa"/>
            <w:tcBorders>
              <w:left w:val="nil"/>
            </w:tcBorders>
          </w:tcPr>
          <w:p w:rsidR="00A70D39" w:rsidRPr="00F66921" w:rsidRDefault="00A70D39" w:rsidP="002151A5">
            <w:pPr>
              <w:ind w:left="34"/>
              <w:rPr>
                <w:b/>
              </w:rPr>
            </w:pPr>
            <w:r w:rsidRPr="00F66921">
              <w:rPr>
                <w:b/>
              </w:rPr>
              <w:t>Negatívne</w:t>
            </w:r>
          </w:p>
        </w:tc>
      </w:tr>
      <w:tr w:rsidR="00A70D39" w:rsidRPr="00F66921" w:rsidTr="002151A5">
        <w:tc>
          <w:tcPr>
            <w:tcW w:w="3812" w:type="dxa"/>
            <w:tcBorders>
              <w:top w:val="nil"/>
              <w:bottom w:val="single" w:sz="4" w:space="0" w:color="000000" w:themeColor="text1"/>
            </w:tcBorders>
            <w:shd w:val="clear" w:color="auto" w:fill="E2E2E2"/>
          </w:tcPr>
          <w:p w:rsidR="00A70D39" w:rsidRPr="00F66921" w:rsidRDefault="00A70D39" w:rsidP="002151A5">
            <w:r w:rsidRPr="00F66921">
              <w:t xml:space="preserve">    z toho rozpočtovo zabezpečené vplyvy</w:t>
            </w:r>
          </w:p>
        </w:tc>
        <w:tc>
          <w:tcPr>
            <w:tcW w:w="541" w:type="dxa"/>
            <w:gridSpan w:val="2"/>
            <w:tcBorders>
              <w:right w:val="nil"/>
            </w:tcBorders>
          </w:tcPr>
          <w:p w:rsidR="00A70D39" w:rsidRPr="00F66921" w:rsidRDefault="00A70D39" w:rsidP="002151A5">
            <w:pPr>
              <w:jc w:val="center"/>
            </w:pPr>
            <w:r w:rsidRPr="00F66921">
              <w:rPr>
                <w:rFonts w:ascii="MS Gothic" w:eastAsia="MS Gothic" w:hAnsi="MS Gothic" w:hint="eastAsia"/>
                <w:b/>
              </w:rPr>
              <w:t>☒</w:t>
            </w:r>
          </w:p>
        </w:tc>
        <w:tc>
          <w:tcPr>
            <w:tcW w:w="1281" w:type="dxa"/>
            <w:gridSpan w:val="2"/>
            <w:tcBorders>
              <w:left w:val="nil"/>
              <w:right w:val="nil"/>
            </w:tcBorders>
          </w:tcPr>
          <w:p w:rsidR="00A70D39" w:rsidRPr="00F66921" w:rsidRDefault="00A70D39" w:rsidP="002151A5">
            <w:r w:rsidRPr="00F66921">
              <w:t>Áno</w:t>
            </w:r>
          </w:p>
        </w:tc>
        <w:tc>
          <w:tcPr>
            <w:tcW w:w="570" w:type="dxa"/>
            <w:tcBorders>
              <w:left w:val="nil"/>
              <w:right w:val="nil"/>
            </w:tcBorders>
          </w:tcPr>
          <w:p w:rsidR="00A70D39" w:rsidRPr="00F66921" w:rsidRDefault="00A70D39" w:rsidP="002151A5">
            <w:pPr>
              <w:jc w:val="center"/>
            </w:pPr>
            <w:r w:rsidRPr="00F66921">
              <w:rPr>
                <w:rFonts w:ascii="MS Mincho" w:eastAsia="MS Mincho" w:hAnsi="MS Mincho" w:cs="MS Mincho" w:hint="eastAsia"/>
              </w:rPr>
              <w:t>☐</w:t>
            </w:r>
          </w:p>
        </w:tc>
        <w:tc>
          <w:tcPr>
            <w:tcW w:w="1133" w:type="dxa"/>
            <w:tcBorders>
              <w:left w:val="nil"/>
              <w:right w:val="nil"/>
            </w:tcBorders>
          </w:tcPr>
          <w:p w:rsidR="00A70D39" w:rsidRPr="00F66921" w:rsidRDefault="00A70D39" w:rsidP="002151A5">
            <w:r w:rsidRPr="00F66921">
              <w:t>Nie</w:t>
            </w:r>
          </w:p>
        </w:tc>
        <w:tc>
          <w:tcPr>
            <w:tcW w:w="547" w:type="dxa"/>
            <w:gridSpan w:val="2"/>
            <w:tcBorders>
              <w:left w:val="nil"/>
              <w:right w:val="nil"/>
            </w:tcBorders>
          </w:tcPr>
          <w:p w:rsidR="00A70D39" w:rsidRPr="00F66921" w:rsidRDefault="00A70D39" w:rsidP="002151A5">
            <w:pPr>
              <w:ind w:left="-107" w:right="-108"/>
              <w:jc w:val="center"/>
            </w:pPr>
            <w:r w:rsidRPr="00F66921">
              <w:rPr>
                <w:rFonts w:ascii="MS Mincho" w:eastAsia="MS Mincho" w:hAnsi="MS Mincho" w:cs="MS Mincho" w:hint="eastAsia"/>
              </w:rPr>
              <w:t>☐</w:t>
            </w:r>
          </w:p>
        </w:tc>
        <w:tc>
          <w:tcPr>
            <w:tcW w:w="1297" w:type="dxa"/>
            <w:tcBorders>
              <w:left w:val="nil"/>
            </w:tcBorders>
          </w:tcPr>
          <w:p w:rsidR="00A70D39" w:rsidRPr="00F66921" w:rsidRDefault="00A70D39" w:rsidP="002151A5">
            <w:pPr>
              <w:ind w:left="34"/>
            </w:pPr>
            <w:r w:rsidRPr="00F66921">
              <w:t>Čiastočne</w:t>
            </w:r>
          </w:p>
        </w:tc>
      </w:tr>
      <w:tr w:rsidR="00A70D39" w:rsidRPr="00F66921" w:rsidTr="002151A5">
        <w:tc>
          <w:tcPr>
            <w:tcW w:w="3812" w:type="dxa"/>
            <w:tcBorders>
              <w:top w:val="single" w:sz="4" w:space="0" w:color="000000" w:themeColor="text1"/>
              <w:bottom w:val="nil"/>
            </w:tcBorders>
            <w:shd w:val="clear" w:color="auto" w:fill="E2E2E2"/>
          </w:tcPr>
          <w:p w:rsidR="00A70D39" w:rsidRPr="00F66921" w:rsidRDefault="00A70D39" w:rsidP="002151A5">
            <w:pPr>
              <w:rPr>
                <w:b/>
              </w:rPr>
            </w:pPr>
            <w:r w:rsidRPr="00F66921">
              <w:rPr>
                <w:b/>
              </w:rPr>
              <w:t>Vplyvy na podnikateľské prostredie</w:t>
            </w:r>
          </w:p>
        </w:tc>
        <w:tc>
          <w:tcPr>
            <w:tcW w:w="541" w:type="dxa"/>
            <w:gridSpan w:val="2"/>
            <w:tcBorders>
              <w:right w:val="nil"/>
            </w:tcBorders>
          </w:tcPr>
          <w:p w:rsidR="00A70D39" w:rsidRPr="00F66921" w:rsidRDefault="00A70D39" w:rsidP="002151A5">
            <w:pPr>
              <w:jc w:val="center"/>
              <w:rPr>
                <w:b/>
              </w:rPr>
            </w:pPr>
            <w:r w:rsidRPr="00F66921">
              <w:rPr>
                <w:rFonts w:ascii="MS Mincho" w:eastAsia="MS Mincho" w:hAnsi="MS Mincho" w:cs="MS Mincho" w:hint="eastAsia"/>
                <w:b/>
              </w:rPr>
              <w:t>☐</w:t>
            </w:r>
          </w:p>
        </w:tc>
        <w:tc>
          <w:tcPr>
            <w:tcW w:w="1281" w:type="dxa"/>
            <w:gridSpan w:val="2"/>
            <w:tcBorders>
              <w:left w:val="nil"/>
              <w:right w:val="nil"/>
            </w:tcBorders>
          </w:tcPr>
          <w:p w:rsidR="00A70D39" w:rsidRPr="00F66921" w:rsidRDefault="00A70D39" w:rsidP="002151A5">
            <w:pPr>
              <w:ind w:right="-108"/>
              <w:rPr>
                <w:b/>
              </w:rPr>
            </w:pPr>
            <w:r w:rsidRPr="00F66921">
              <w:rPr>
                <w:b/>
              </w:rPr>
              <w:t>Pozitívne</w:t>
            </w:r>
          </w:p>
        </w:tc>
        <w:tc>
          <w:tcPr>
            <w:tcW w:w="570" w:type="dxa"/>
            <w:tcBorders>
              <w:left w:val="nil"/>
              <w:right w:val="nil"/>
            </w:tcBorders>
          </w:tcPr>
          <w:p w:rsidR="00A70D39" w:rsidRPr="00F66921" w:rsidRDefault="00A70D39" w:rsidP="002151A5">
            <w:pPr>
              <w:jc w:val="center"/>
              <w:rPr>
                <w:b/>
              </w:rPr>
            </w:pPr>
            <w:r w:rsidRPr="00F66921">
              <w:rPr>
                <w:rFonts w:ascii="MS Mincho" w:eastAsia="MS Mincho" w:hAnsi="MS Mincho" w:cs="MS Mincho" w:hint="eastAsia"/>
                <w:b/>
              </w:rPr>
              <w:t>☐</w:t>
            </w:r>
          </w:p>
        </w:tc>
        <w:tc>
          <w:tcPr>
            <w:tcW w:w="1133" w:type="dxa"/>
            <w:tcBorders>
              <w:left w:val="nil"/>
              <w:right w:val="nil"/>
            </w:tcBorders>
          </w:tcPr>
          <w:p w:rsidR="00A70D39" w:rsidRPr="00F66921" w:rsidRDefault="00A70D39" w:rsidP="002151A5">
            <w:pPr>
              <w:rPr>
                <w:b/>
              </w:rPr>
            </w:pPr>
            <w:r w:rsidRPr="00F66921">
              <w:rPr>
                <w:b/>
              </w:rPr>
              <w:t>Žiadne</w:t>
            </w:r>
          </w:p>
        </w:tc>
        <w:tc>
          <w:tcPr>
            <w:tcW w:w="547" w:type="dxa"/>
            <w:gridSpan w:val="2"/>
            <w:tcBorders>
              <w:left w:val="nil"/>
              <w:right w:val="nil"/>
            </w:tcBorders>
          </w:tcPr>
          <w:p w:rsidR="00A70D39" w:rsidRPr="00F66921" w:rsidRDefault="00A70D39" w:rsidP="002151A5">
            <w:pPr>
              <w:jc w:val="center"/>
              <w:rPr>
                <w:b/>
              </w:rPr>
            </w:pPr>
            <w:r w:rsidRPr="00F66921">
              <w:rPr>
                <w:rFonts w:ascii="MS Gothic" w:eastAsia="MS Gothic" w:hAnsi="MS Gothic" w:hint="eastAsia"/>
                <w:b/>
              </w:rPr>
              <w:t>☒</w:t>
            </w:r>
          </w:p>
        </w:tc>
        <w:tc>
          <w:tcPr>
            <w:tcW w:w="1297" w:type="dxa"/>
            <w:tcBorders>
              <w:left w:val="nil"/>
            </w:tcBorders>
          </w:tcPr>
          <w:p w:rsidR="00A70D39" w:rsidRPr="00F66921" w:rsidRDefault="00A70D39" w:rsidP="002151A5">
            <w:pPr>
              <w:ind w:left="54"/>
              <w:rPr>
                <w:b/>
              </w:rPr>
            </w:pPr>
            <w:r w:rsidRPr="00F66921">
              <w:rPr>
                <w:b/>
              </w:rPr>
              <w:t>Negatívne</w:t>
            </w:r>
          </w:p>
        </w:tc>
      </w:tr>
      <w:tr w:rsidR="00A70D39" w:rsidRPr="00F66921" w:rsidTr="002151A5">
        <w:tc>
          <w:tcPr>
            <w:tcW w:w="3812" w:type="dxa"/>
            <w:tcBorders>
              <w:top w:val="nil"/>
              <w:left w:val="single" w:sz="4" w:space="0" w:color="000000" w:themeColor="text1"/>
              <w:bottom w:val="single" w:sz="4" w:space="0" w:color="000000" w:themeColor="text1"/>
              <w:right w:val="single" w:sz="4" w:space="0" w:color="000000" w:themeColor="text1"/>
            </w:tcBorders>
            <w:shd w:val="clear" w:color="auto" w:fill="E2E2E2"/>
          </w:tcPr>
          <w:p w:rsidR="00A70D39" w:rsidRPr="00F66921" w:rsidRDefault="00A70D39" w:rsidP="002151A5">
            <w:r w:rsidRPr="00F66921">
              <w:t xml:space="preserve">    z toho vplyvy na MSP</w:t>
            </w:r>
          </w:p>
        </w:tc>
        <w:tc>
          <w:tcPr>
            <w:tcW w:w="541" w:type="dxa"/>
            <w:gridSpan w:val="2"/>
            <w:tcBorders>
              <w:left w:val="single" w:sz="4" w:space="0" w:color="000000" w:themeColor="text1"/>
              <w:right w:val="nil"/>
            </w:tcBorders>
          </w:tcPr>
          <w:p w:rsidR="00A70D39" w:rsidRPr="00F66921" w:rsidRDefault="00A70D39" w:rsidP="002151A5">
            <w:pPr>
              <w:jc w:val="center"/>
            </w:pPr>
            <w:r w:rsidRPr="00F66921">
              <w:rPr>
                <w:rFonts w:ascii="MS Mincho" w:eastAsia="MS Mincho" w:hAnsi="MS Mincho" w:cs="MS Mincho" w:hint="eastAsia"/>
              </w:rPr>
              <w:t>☐</w:t>
            </w:r>
          </w:p>
        </w:tc>
        <w:tc>
          <w:tcPr>
            <w:tcW w:w="1281" w:type="dxa"/>
            <w:gridSpan w:val="2"/>
            <w:tcBorders>
              <w:left w:val="nil"/>
              <w:right w:val="nil"/>
            </w:tcBorders>
          </w:tcPr>
          <w:p w:rsidR="00A70D39" w:rsidRPr="00F66921" w:rsidRDefault="00A70D39" w:rsidP="002151A5">
            <w:pPr>
              <w:ind w:right="-108"/>
            </w:pPr>
            <w:r w:rsidRPr="00F66921">
              <w:t>Pozitívne</w:t>
            </w:r>
          </w:p>
        </w:tc>
        <w:tc>
          <w:tcPr>
            <w:tcW w:w="570" w:type="dxa"/>
            <w:tcBorders>
              <w:left w:val="nil"/>
              <w:right w:val="nil"/>
            </w:tcBorders>
          </w:tcPr>
          <w:p w:rsidR="00A70D39" w:rsidRPr="00F66921" w:rsidRDefault="00A70D39" w:rsidP="002151A5">
            <w:pPr>
              <w:jc w:val="center"/>
            </w:pPr>
            <w:r w:rsidRPr="00F66921">
              <w:rPr>
                <w:rFonts w:ascii="MS Mincho" w:eastAsia="MS Mincho" w:hAnsi="MS Mincho" w:cs="MS Mincho" w:hint="eastAsia"/>
              </w:rPr>
              <w:t>☐</w:t>
            </w:r>
          </w:p>
        </w:tc>
        <w:tc>
          <w:tcPr>
            <w:tcW w:w="1133" w:type="dxa"/>
            <w:tcBorders>
              <w:left w:val="nil"/>
              <w:right w:val="nil"/>
            </w:tcBorders>
          </w:tcPr>
          <w:p w:rsidR="00A70D39" w:rsidRPr="00F66921" w:rsidRDefault="00A70D39" w:rsidP="002151A5">
            <w:r w:rsidRPr="00F66921">
              <w:t>Žiadne</w:t>
            </w:r>
          </w:p>
        </w:tc>
        <w:tc>
          <w:tcPr>
            <w:tcW w:w="547" w:type="dxa"/>
            <w:gridSpan w:val="2"/>
            <w:tcBorders>
              <w:left w:val="nil"/>
              <w:right w:val="nil"/>
            </w:tcBorders>
          </w:tcPr>
          <w:p w:rsidR="00A70D39" w:rsidRPr="00F66921" w:rsidRDefault="00A70D39" w:rsidP="002151A5">
            <w:pPr>
              <w:jc w:val="center"/>
            </w:pPr>
            <w:r w:rsidRPr="00F66921">
              <w:rPr>
                <w:rFonts w:ascii="MS Gothic" w:eastAsia="MS Gothic" w:hAnsi="MS Gothic" w:hint="eastAsia"/>
                <w:b/>
              </w:rPr>
              <w:t>☒</w:t>
            </w:r>
          </w:p>
        </w:tc>
        <w:tc>
          <w:tcPr>
            <w:tcW w:w="1297" w:type="dxa"/>
            <w:tcBorders>
              <w:left w:val="nil"/>
            </w:tcBorders>
          </w:tcPr>
          <w:p w:rsidR="00A70D39" w:rsidRPr="00F66921" w:rsidRDefault="00A70D39" w:rsidP="002151A5">
            <w:pPr>
              <w:ind w:left="54"/>
            </w:pPr>
            <w:r w:rsidRPr="00F66921">
              <w:t>Negatívne</w:t>
            </w:r>
          </w:p>
        </w:tc>
      </w:tr>
      <w:tr w:rsidR="00A70D39" w:rsidRPr="00F66921" w:rsidTr="002151A5">
        <w:tc>
          <w:tcPr>
            <w:tcW w:w="3812" w:type="dxa"/>
            <w:tcBorders>
              <w:top w:val="single" w:sz="4" w:space="0" w:color="000000" w:themeColor="text1"/>
            </w:tcBorders>
            <w:shd w:val="clear" w:color="auto" w:fill="E2E2E2"/>
          </w:tcPr>
          <w:p w:rsidR="00A70D39" w:rsidRPr="00F66921" w:rsidRDefault="00A70D39" w:rsidP="002151A5">
            <w:pPr>
              <w:rPr>
                <w:b/>
              </w:rPr>
            </w:pPr>
            <w:r w:rsidRPr="00F66921">
              <w:rPr>
                <w:b/>
              </w:rPr>
              <w:t>Sociálne vplyvy</w:t>
            </w:r>
          </w:p>
        </w:tc>
        <w:tc>
          <w:tcPr>
            <w:tcW w:w="541" w:type="dxa"/>
            <w:gridSpan w:val="2"/>
            <w:tcBorders>
              <w:right w:val="nil"/>
            </w:tcBorders>
          </w:tcPr>
          <w:p w:rsidR="00A70D39" w:rsidRPr="00F66921" w:rsidRDefault="00A70D39" w:rsidP="002151A5">
            <w:pPr>
              <w:jc w:val="center"/>
              <w:rPr>
                <w:b/>
              </w:rPr>
            </w:pPr>
            <w:r w:rsidRPr="00F66921">
              <w:rPr>
                <w:rFonts w:ascii="MS Mincho" w:eastAsia="MS Mincho" w:hAnsi="MS Mincho" w:cs="MS Mincho" w:hint="eastAsia"/>
                <w:b/>
              </w:rPr>
              <w:t>☐</w:t>
            </w:r>
          </w:p>
        </w:tc>
        <w:tc>
          <w:tcPr>
            <w:tcW w:w="1281" w:type="dxa"/>
            <w:gridSpan w:val="2"/>
            <w:tcBorders>
              <w:left w:val="nil"/>
              <w:right w:val="nil"/>
            </w:tcBorders>
          </w:tcPr>
          <w:p w:rsidR="00A70D39" w:rsidRPr="00F66921" w:rsidRDefault="00A70D39" w:rsidP="002151A5">
            <w:pPr>
              <w:ind w:right="-108"/>
              <w:rPr>
                <w:b/>
              </w:rPr>
            </w:pPr>
            <w:r w:rsidRPr="00F66921">
              <w:rPr>
                <w:b/>
              </w:rPr>
              <w:t>Pozitívne</w:t>
            </w:r>
          </w:p>
        </w:tc>
        <w:tc>
          <w:tcPr>
            <w:tcW w:w="570" w:type="dxa"/>
            <w:tcBorders>
              <w:left w:val="nil"/>
              <w:right w:val="nil"/>
            </w:tcBorders>
          </w:tcPr>
          <w:p w:rsidR="00A70D39" w:rsidRPr="00F66921" w:rsidRDefault="00A70D39" w:rsidP="002151A5">
            <w:pPr>
              <w:jc w:val="center"/>
              <w:rPr>
                <w:b/>
              </w:rPr>
            </w:pPr>
            <w:r w:rsidRPr="00F66921">
              <w:rPr>
                <w:rFonts w:ascii="MS Gothic" w:eastAsia="MS Gothic" w:hAnsi="MS Gothic" w:hint="eastAsia"/>
                <w:b/>
              </w:rPr>
              <w:t>☒</w:t>
            </w:r>
          </w:p>
        </w:tc>
        <w:tc>
          <w:tcPr>
            <w:tcW w:w="1133" w:type="dxa"/>
            <w:tcBorders>
              <w:left w:val="nil"/>
              <w:right w:val="nil"/>
            </w:tcBorders>
          </w:tcPr>
          <w:p w:rsidR="00A70D39" w:rsidRPr="00F66921" w:rsidRDefault="00A70D39" w:rsidP="002151A5">
            <w:pPr>
              <w:rPr>
                <w:b/>
              </w:rPr>
            </w:pPr>
            <w:r w:rsidRPr="00F66921">
              <w:rPr>
                <w:b/>
              </w:rPr>
              <w:t>Žiadne</w:t>
            </w:r>
          </w:p>
        </w:tc>
        <w:tc>
          <w:tcPr>
            <w:tcW w:w="547" w:type="dxa"/>
            <w:gridSpan w:val="2"/>
            <w:tcBorders>
              <w:left w:val="nil"/>
              <w:right w:val="nil"/>
            </w:tcBorders>
          </w:tcPr>
          <w:p w:rsidR="00A70D39" w:rsidRPr="00F66921" w:rsidRDefault="00A70D39" w:rsidP="002151A5">
            <w:pPr>
              <w:jc w:val="center"/>
              <w:rPr>
                <w:b/>
              </w:rPr>
            </w:pPr>
            <w:r w:rsidRPr="00F66921">
              <w:rPr>
                <w:rFonts w:ascii="MS Mincho" w:eastAsia="MS Mincho" w:hAnsi="MS Mincho" w:cs="MS Mincho" w:hint="eastAsia"/>
                <w:b/>
              </w:rPr>
              <w:t>☐</w:t>
            </w:r>
          </w:p>
        </w:tc>
        <w:tc>
          <w:tcPr>
            <w:tcW w:w="1297" w:type="dxa"/>
            <w:tcBorders>
              <w:left w:val="nil"/>
            </w:tcBorders>
          </w:tcPr>
          <w:p w:rsidR="00A70D39" w:rsidRPr="00F66921" w:rsidRDefault="00A70D39" w:rsidP="002151A5">
            <w:pPr>
              <w:ind w:left="54"/>
              <w:rPr>
                <w:b/>
              </w:rPr>
            </w:pPr>
            <w:r w:rsidRPr="00F66921">
              <w:rPr>
                <w:b/>
              </w:rPr>
              <w:t>Negatívne</w:t>
            </w:r>
          </w:p>
        </w:tc>
      </w:tr>
      <w:tr w:rsidR="00A70D39" w:rsidRPr="00F66921" w:rsidTr="002151A5">
        <w:tc>
          <w:tcPr>
            <w:tcW w:w="3812" w:type="dxa"/>
            <w:shd w:val="clear" w:color="auto" w:fill="E2E2E2"/>
          </w:tcPr>
          <w:p w:rsidR="00A70D39" w:rsidRPr="00F66921" w:rsidRDefault="00A70D39" w:rsidP="002151A5">
            <w:pPr>
              <w:rPr>
                <w:b/>
              </w:rPr>
            </w:pPr>
            <w:r w:rsidRPr="00F66921">
              <w:rPr>
                <w:b/>
              </w:rPr>
              <w:t>Vplyvy na životné prostredie</w:t>
            </w:r>
          </w:p>
        </w:tc>
        <w:tc>
          <w:tcPr>
            <w:tcW w:w="541" w:type="dxa"/>
            <w:gridSpan w:val="2"/>
            <w:tcBorders>
              <w:right w:val="nil"/>
            </w:tcBorders>
          </w:tcPr>
          <w:p w:rsidR="00A70D39" w:rsidRPr="00F66921" w:rsidRDefault="00A70D39" w:rsidP="002151A5">
            <w:pPr>
              <w:jc w:val="center"/>
              <w:rPr>
                <w:b/>
              </w:rPr>
            </w:pPr>
            <w:r w:rsidRPr="00F66921">
              <w:rPr>
                <w:rFonts w:ascii="MS Mincho" w:eastAsia="MS Mincho" w:hAnsi="MS Mincho" w:cs="MS Mincho" w:hint="eastAsia"/>
                <w:b/>
              </w:rPr>
              <w:t>☐</w:t>
            </w:r>
          </w:p>
        </w:tc>
        <w:tc>
          <w:tcPr>
            <w:tcW w:w="1281" w:type="dxa"/>
            <w:gridSpan w:val="2"/>
            <w:tcBorders>
              <w:left w:val="nil"/>
              <w:right w:val="nil"/>
            </w:tcBorders>
          </w:tcPr>
          <w:p w:rsidR="00A70D39" w:rsidRPr="00F66921" w:rsidRDefault="00A70D39" w:rsidP="002151A5">
            <w:pPr>
              <w:ind w:right="-108"/>
              <w:rPr>
                <w:b/>
              </w:rPr>
            </w:pPr>
            <w:r w:rsidRPr="00F66921">
              <w:rPr>
                <w:b/>
              </w:rPr>
              <w:t>Pozitívne</w:t>
            </w:r>
          </w:p>
        </w:tc>
        <w:tc>
          <w:tcPr>
            <w:tcW w:w="570" w:type="dxa"/>
            <w:tcBorders>
              <w:left w:val="nil"/>
              <w:right w:val="nil"/>
            </w:tcBorders>
          </w:tcPr>
          <w:p w:rsidR="00A70D39" w:rsidRPr="00F66921" w:rsidRDefault="00A70D39" w:rsidP="002151A5">
            <w:pPr>
              <w:jc w:val="center"/>
              <w:rPr>
                <w:b/>
              </w:rPr>
            </w:pPr>
            <w:r w:rsidRPr="00F66921">
              <w:rPr>
                <w:rFonts w:ascii="MS Gothic" w:eastAsia="MS Gothic" w:hAnsi="MS Gothic" w:hint="eastAsia"/>
                <w:b/>
              </w:rPr>
              <w:t>☒</w:t>
            </w:r>
          </w:p>
        </w:tc>
        <w:tc>
          <w:tcPr>
            <w:tcW w:w="1133" w:type="dxa"/>
            <w:tcBorders>
              <w:left w:val="nil"/>
              <w:right w:val="nil"/>
            </w:tcBorders>
          </w:tcPr>
          <w:p w:rsidR="00A70D39" w:rsidRPr="00F66921" w:rsidRDefault="00A70D39" w:rsidP="002151A5">
            <w:pPr>
              <w:rPr>
                <w:b/>
              </w:rPr>
            </w:pPr>
            <w:r w:rsidRPr="00F66921">
              <w:rPr>
                <w:b/>
              </w:rPr>
              <w:t>Žiadne</w:t>
            </w:r>
          </w:p>
        </w:tc>
        <w:tc>
          <w:tcPr>
            <w:tcW w:w="547" w:type="dxa"/>
            <w:gridSpan w:val="2"/>
            <w:tcBorders>
              <w:left w:val="nil"/>
              <w:right w:val="nil"/>
            </w:tcBorders>
          </w:tcPr>
          <w:p w:rsidR="00A70D39" w:rsidRPr="00F66921" w:rsidRDefault="00A70D39" w:rsidP="002151A5">
            <w:pPr>
              <w:jc w:val="center"/>
              <w:rPr>
                <w:b/>
              </w:rPr>
            </w:pPr>
            <w:r w:rsidRPr="00F66921">
              <w:rPr>
                <w:rFonts w:ascii="MS Mincho" w:eastAsia="MS Mincho" w:hAnsi="MS Mincho" w:cs="MS Mincho" w:hint="eastAsia"/>
                <w:b/>
              </w:rPr>
              <w:t>☐</w:t>
            </w:r>
          </w:p>
        </w:tc>
        <w:tc>
          <w:tcPr>
            <w:tcW w:w="1297" w:type="dxa"/>
            <w:tcBorders>
              <w:left w:val="nil"/>
            </w:tcBorders>
          </w:tcPr>
          <w:p w:rsidR="00A70D39" w:rsidRPr="00F66921" w:rsidRDefault="00A70D39" w:rsidP="002151A5">
            <w:pPr>
              <w:ind w:left="54"/>
              <w:rPr>
                <w:b/>
              </w:rPr>
            </w:pPr>
            <w:r w:rsidRPr="00F66921">
              <w:rPr>
                <w:b/>
              </w:rPr>
              <w:t>Negatívne</w:t>
            </w:r>
          </w:p>
        </w:tc>
      </w:tr>
      <w:tr w:rsidR="00A70D39" w:rsidRPr="00F66921" w:rsidTr="002151A5">
        <w:tc>
          <w:tcPr>
            <w:tcW w:w="3812" w:type="dxa"/>
            <w:shd w:val="clear" w:color="auto" w:fill="E2E2E2"/>
          </w:tcPr>
          <w:p w:rsidR="00A70D39" w:rsidRPr="00F66921" w:rsidRDefault="00A70D39" w:rsidP="002151A5">
            <w:pPr>
              <w:rPr>
                <w:b/>
              </w:rPr>
            </w:pPr>
            <w:r w:rsidRPr="00F66921">
              <w:rPr>
                <w:b/>
              </w:rPr>
              <w:t>Vplyvy na informatizáciu</w:t>
            </w:r>
          </w:p>
        </w:tc>
        <w:tc>
          <w:tcPr>
            <w:tcW w:w="541" w:type="dxa"/>
            <w:gridSpan w:val="2"/>
            <w:tcBorders>
              <w:right w:val="nil"/>
            </w:tcBorders>
          </w:tcPr>
          <w:p w:rsidR="00A70D39" w:rsidRPr="00F66921" w:rsidRDefault="00A70D39" w:rsidP="002151A5">
            <w:pPr>
              <w:jc w:val="center"/>
              <w:rPr>
                <w:b/>
              </w:rPr>
            </w:pPr>
            <w:r w:rsidRPr="00F66921">
              <w:rPr>
                <w:rFonts w:ascii="MS Gothic" w:eastAsia="MS Gothic" w:hAnsi="MS Gothic" w:hint="eastAsia"/>
                <w:b/>
              </w:rPr>
              <w:t>☒</w:t>
            </w:r>
          </w:p>
        </w:tc>
        <w:tc>
          <w:tcPr>
            <w:tcW w:w="1281" w:type="dxa"/>
            <w:gridSpan w:val="2"/>
            <w:tcBorders>
              <w:left w:val="nil"/>
              <w:right w:val="nil"/>
            </w:tcBorders>
          </w:tcPr>
          <w:p w:rsidR="00A70D39" w:rsidRPr="00F66921" w:rsidRDefault="00A70D39" w:rsidP="002151A5">
            <w:pPr>
              <w:ind w:right="-108"/>
              <w:rPr>
                <w:b/>
              </w:rPr>
            </w:pPr>
            <w:r w:rsidRPr="00F66921">
              <w:rPr>
                <w:b/>
              </w:rPr>
              <w:t>Pozitívne</w:t>
            </w:r>
          </w:p>
        </w:tc>
        <w:tc>
          <w:tcPr>
            <w:tcW w:w="570" w:type="dxa"/>
            <w:tcBorders>
              <w:left w:val="nil"/>
              <w:right w:val="nil"/>
            </w:tcBorders>
          </w:tcPr>
          <w:p w:rsidR="00A70D39" w:rsidRPr="00F66921" w:rsidRDefault="00A70D39" w:rsidP="002151A5">
            <w:pPr>
              <w:jc w:val="center"/>
              <w:rPr>
                <w:b/>
              </w:rPr>
            </w:pPr>
            <w:r w:rsidRPr="00F66921">
              <w:rPr>
                <w:rFonts w:ascii="MS Mincho" w:eastAsia="MS Mincho" w:hAnsi="MS Mincho" w:cs="MS Mincho" w:hint="eastAsia"/>
                <w:b/>
              </w:rPr>
              <w:t>☐</w:t>
            </w:r>
          </w:p>
        </w:tc>
        <w:tc>
          <w:tcPr>
            <w:tcW w:w="1133" w:type="dxa"/>
            <w:tcBorders>
              <w:left w:val="nil"/>
              <w:right w:val="nil"/>
            </w:tcBorders>
          </w:tcPr>
          <w:p w:rsidR="00A70D39" w:rsidRPr="00F66921" w:rsidRDefault="00A70D39" w:rsidP="002151A5">
            <w:pPr>
              <w:rPr>
                <w:b/>
              </w:rPr>
            </w:pPr>
            <w:r w:rsidRPr="00F66921">
              <w:rPr>
                <w:b/>
              </w:rPr>
              <w:t>Žiadne</w:t>
            </w:r>
          </w:p>
        </w:tc>
        <w:tc>
          <w:tcPr>
            <w:tcW w:w="547" w:type="dxa"/>
            <w:gridSpan w:val="2"/>
            <w:tcBorders>
              <w:left w:val="nil"/>
              <w:right w:val="nil"/>
            </w:tcBorders>
          </w:tcPr>
          <w:p w:rsidR="00A70D39" w:rsidRPr="00F66921" w:rsidRDefault="00A70D39" w:rsidP="002151A5">
            <w:pPr>
              <w:jc w:val="center"/>
              <w:rPr>
                <w:b/>
              </w:rPr>
            </w:pPr>
            <w:r w:rsidRPr="00F66921">
              <w:rPr>
                <w:rFonts w:ascii="MS Mincho" w:eastAsia="MS Mincho" w:hAnsi="MS Mincho" w:cs="MS Mincho" w:hint="eastAsia"/>
                <w:b/>
              </w:rPr>
              <w:t>☐</w:t>
            </w:r>
          </w:p>
        </w:tc>
        <w:tc>
          <w:tcPr>
            <w:tcW w:w="1297" w:type="dxa"/>
            <w:tcBorders>
              <w:left w:val="nil"/>
            </w:tcBorders>
          </w:tcPr>
          <w:p w:rsidR="00A70D39" w:rsidRPr="00F66921" w:rsidRDefault="00A70D39" w:rsidP="002151A5">
            <w:pPr>
              <w:ind w:left="54"/>
              <w:rPr>
                <w:b/>
              </w:rPr>
            </w:pPr>
            <w:r w:rsidRPr="00F66921">
              <w:rPr>
                <w:b/>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A70D39" w:rsidRPr="00F66921" w:rsidTr="002151A5">
        <w:tc>
          <w:tcPr>
            <w:tcW w:w="3812" w:type="dxa"/>
            <w:tcBorders>
              <w:bottom w:val="nil"/>
            </w:tcBorders>
            <w:shd w:val="clear" w:color="auto" w:fill="E2E2E2"/>
          </w:tcPr>
          <w:p w:rsidR="00A70D39" w:rsidRPr="00F66921" w:rsidRDefault="00A70D39" w:rsidP="002151A5">
            <w:pPr>
              <w:rPr>
                <w:b/>
              </w:rPr>
            </w:pPr>
            <w:r w:rsidRPr="00F66921">
              <w:rPr>
                <w:b/>
              </w:rPr>
              <w:t>Vplyvy na služby verejnej správy pre občana, z toho</w:t>
            </w:r>
          </w:p>
        </w:tc>
        <w:tc>
          <w:tcPr>
            <w:tcW w:w="541" w:type="dxa"/>
            <w:tcBorders>
              <w:bottom w:val="nil"/>
              <w:right w:val="nil"/>
            </w:tcBorders>
          </w:tcPr>
          <w:p w:rsidR="00A70D39" w:rsidRPr="00F66921" w:rsidRDefault="00A70D39" w:rsidP="002151A5">
            <w:pPr>
              <w:jc w:val="center"/>
              <w:rPr>
                <w:rFonts w:eastAsia="MS Mincho"/>
                <w:b/>
              </w:rPr>
            </w:pPr>
          </w:p>
        </w:tc>
        <w:tc>
          <w:tcPr>
            <w:tcW w:w="1281" w:type="dxa"/>
            <w:tcBorders>
              <w:left w:val="nil"/>
              <w:bottom w:val="nil"/>
              <w:right w:val="nil"/>
            </w:tcBorders>
          </w:tcPr>
          <w:p w:rsidR="00A70D39" w:rsidRPr="00F66921" w:rsidRDefault="00A70D39" w:rsidP="002151A5">
            <w:pPr>
              <w:ind w:right="-108"/>
              <w:rPr>
                <w:b/>
              </w:rPr>
            </w:pPr>
          </w:p>
        </w:tc>
        <w:tc>
          <w:tcPr>
            <w:tcW w:w="569" w:type="dxa"/>
            <w:tcBorders>
              <w:left w:val="nil"/>
              <w:bottom w:val="nil"/>
              <w:right w:val="nil"/>
            </w:tcBorders>
          </w:tcPr>
          <w:p w:rsidR="00A70D39" w:rsidRPr="00F66921" w:rsidRDefault="00A70D39" w:rsidP="002151A5">
            <w:pPr>
              <w:jc w:val="center"/>
              <w:rPr>
                <w:rFonts w:eastAsia="MS Mincho"/>
                <w:b/>
              </w:rPr>
            </w:pPr>
          </w:p>
        </w:tc>
        <w:tc>
          <w:tcPr>
            <w:tcW w:w="1133" w:type="dxa"/>
            <w:tcBorders>
              <w:left w:val="nil"/>
              <w:bottom w:val="nil"/>
              <w:right w:val="nil"/>
            </w:tcBorders>
          </w:tcPr>
          <w:p w:rsidR="00A70D39" w:rsidRPr="00F66921" w:rsidRDefault="00A70D39" w:rsidP="002151A5">
            <w:pPr>
              <w:rPr>
                <w:b/>
              </w:rPr>
            </w:pPr>
          </w:p>
        </w:tc>
        <w:tc>
          <w:tcPr>
            <w:tcW w:w="547" w:type="dxa"/>
            <w:tcBorders>
              <w:left w:val="nil"/>
              <w:bottom w:val="nil"/>
              <w:right w:val="nil"/>
            </w:tcBorders>
          </w:tcPr>
          <w:p w:rsidR="00A70D39" w:rsidRPr="00F66921" w:rsidRDefault="00A70D39" w:rsidP="002151A5">
            <w:pPr>
              <w:jc w:val="center"/>
              <w:rPr>
                <w:rFonts w:eastAsia="MS Mincho"/>
                <w:b/>
              </w:rPr>
            </w:pPr>
          </w:p>
        </w:tc>
        <w:tc>
          <w:tcPr>
            <w:tcW w:w="1297" w:type="dxa"/>
            <w:tcBorders>
              <w:left w:val="nil"/>
              <w:bottom w:val="nil"/>
            </w:tcBorders>
          </w:tcPr>
          <w:p w:rsidR="00A70D39" w:rsidRPr="00F66921" w:rsidRDefault="00A70D39" w:rsidP="002151A5">
            <w:pPr>
              <w:ind w:left="54"/>
              <w:rPr>
                <w:b/>
              </w:rPr>
            </w:pPr>
          </w:p>
        </w:tc>
      </w:tr>
      <w:tr w:rsidR="00A70D39" w:rsidRPr="00F66921" w:rsidTr="002151A5">
        <w:tc>
          <w:tcPr>
            <w:tcW w:w="3812" w:type="dxa"/>
            <w:tcBorders>
              <w:top w:val="nil"/>
              <w:bottom w:val="nil"/>
            </w:tcBorders>
            <w:shd w:val="clear" w:color="auto" w:fill="E2E2E2"/>
          </w:tcPr>
          <w:p w:rsidR="00A70D39" w:rsidRPr="00F66921" w:rsidRDefault="00A70D39" w:rsidP="002151A5">
            <w:pPr>
              <w:ind w:left="196" w:hanging="196"/>
              <w:rPr>
                <w:b/>
              </w:rPr>
            </w:pPr>
            <w:r w:rsidRPr="00F66921">
              <w:rPr>
                <w:b/>
              </w:rPr>
              <w:t xml:space="preserve">    vplyvy služieb verejnej správy na občana</w:t>
            </w:r>
          </w:p>
        </w:tc>
        <w:tc>
          <w:tcPr>
            <w:tcW w:w="541" w:type="dxa"/>
            <w:tcBorders>
              <w:top w:val="nil"/>
              <w:bottom w:val="nil"/>
              <w:right w:val="nil"/>
            </w:tcBorders>
          </w:tcPr>
          <w:p w:rsidR="00A70D39" w:rsidRPr="00F66921" w:rsidRDefault="00A70D39" w:rsidP="002151A5">
            <w:pPr>
              <w:jc w:val="center"/>
              <w:rPr>
                <w:b/>
              </w:rPr>
            </w:pPr>
            <w:r w:rsidRPr="00F66921">
              <w:rPr>
                <w:rFonts w:ascii="MS Gothic" w:eastAsia="MS Gothic" w:hAnsi="MS Gothic" w:hint="eastAsia"/>
                <w:b/>
              </w:rPr>
              <w:t>☒</w:t>
            </w:r>
          </w:p>
        </w:tc>
        <w:tc>
          <w:tcPr>
            <w:tcW w:w="1281" w:type="dxa"/>
            <w:tcBorders>
              <w:top w:val="nil"/>
              <w:left w:val="nil"/>
              <w:bottom w:val="nil"/>
              <w:right w:val="nil"/>
            </w:tcBorders>
          </w:tcPr>
          <w:p w:rsidR="00A70D39" w:rsidRPr="00F66921" w:rsidRDefault="00A70D39" w:rsidP="002151A5">
            <w:pPr>
              <w:ind w:right="-108"/>
              <w:rPr>
                <w:b/>
              </w:rPr>
            </w:pPr>
            <w:r w:rsidRPr="00F66921">
              <w:rPr>
                <w:b/>
              </w:rPr>
              <w:t>Pozitívne</w:t>
            </w:r>
          </w:p>
        </w:tc>
        <w:tc>
          <w:tcPr>
            <w:tcW w:w="569" w:type="dxa"/>
            <w:tcBorders>
              <w:top w:val="nil"/>
              <w:left w:val="nil"/>
              <w:bottom w:val="nil"/>
              <w:right w:val="nil"/>
            </w:tcBorders>
          </w:tcPr>
          <w:p w:rsidR="00A70D39" w:rsidRPr="00F66921" w:rsidRDefault="00A70D39" w:rsidP="002151A5">
            <w:pPr>
              <w:jc w:val="center"/>
              <w:rPr>
                <w:b/>
              </w:rPr>
            </w:pPr>
            <w:r w:rsidRPr="00F66921">
              <w:rPr>
                <w:rFonts w:ascii="MS Mincho" w:eastAsia="MS Mincho" w:hAnsi="MS Mincho" w:cs="MS Mincho" w:hint="eastAsia"/>
                <w:b/>
              </w:rPr>
              <w:t>☐</w:t>
            </w:r>
          </w:p>
        </w:tc>
        <w:tc>
          <w:tcPr>
            <w:tcW w:w="1133" w:type="dxa"/>
            <w:tcBorders>
              <w:top w:val="nil"/>
              <w:left w:val="nil"/>
              <w:bottom w:val="nil"/>
              <w:right w:val="nil"/>
            </w:tcBorders>
          </w:tcPr>
          <w:p w:rsidR="00A70D39" w:rsidRPr="00F66921" w:rsidRDefault="00A70D39" w:rsidP="002151A5">
            <w:pPr>
              <w:rPr>
                <w:b/>
              </w:rPr>
            </w:pPr>
            <w:r w:rsidRPr="00F66921">
              <w:rPr>
                <w:b/>
              </w:rPr>
              <w:t>Žiadne</w:t>
            </w:r>
          </w:p>
        </w:tc>
        <w:tc>
          <w:tcPr>
            <w:tcW w:w="547" w:type="dxa"/>
            <w:tcBorders>
              <w:top w:val="nil"/>
              <w:left w:val="nil"/>
              <w:bottom w:val="nil"/>
              <w:right w:val="nil"/>
            </w:tcBorders>
          </w:tcPr>
          <w:p w:rsidR="00A70D39" w:rsidRPr="00F66921" w:rsidRDefault="00A70D39" w:rsidP="002151A5">
            <w:pPr>
              <w:jc w:val="center"/>
              <w:rPr>
                <w:b/>
              </w:rPr>
            </w:pPr>
            <w:r w:rsidRPr="00F66921">
              <w:rPr>
                <w:rFonts w:ascii="MS Mincho" w:eastAsia="MS Mincho" w:hAnsi="MS Mincho" w:cs="MS Mincho" w:hint="eastAsia"/>
                <w:b/>
              </w:rPr>
              <w:t>☐</w:t>
            </w:r>
          </w:p>
        </w:tc>
        <w:tc>
          <w:tcPr>
            <w:tcW w:w="1297" w:type="dxa"/>
            <w:tcBorders>
              <w:top w:val="nil"/>
              <w:left w:val="nil"/>
              <w:bottom w:val="nil"/>
            </w:tcBorders>
          </w:tcPr>
          <w:p w:rsidR="00A70D39" w:rsidRPr="00F66921" w:rsidRDefault="00A70D39" w:rsidP="002151A5">
            <w:pPr>
              <w:ind w:left="54"/>
              <w:rPr>
                <w:b/>
              </w:rPr>
            </w:pPr>
            <w:r w:rsidRPr="00F66921">
              <w:rPr>
                <w:b/>
              </w:rPr>
              <w:t>Negatívne</w:t>
            </w:r>
          </w:p>
        </w:tc>
      </w:tr>
      <w:tr w:rsidR="00A70D39" w:rsidRPr="00F66921" w:rsidTr="002151A5">
        <w:tc>
          <w:tcPr>
            <w:tcW w:w="3812" w:type="dxa"/>
            <w:tcBorders>
              <w:top w:val="nil"/>
              <w:bottom w:val="nil"/>
            </w:tcBorders>
            <w:shd w:val="clear" w:color="auto" w:fill="E2E2E2"/>
          </w:tcPr>
          <w:p w:rsidR="00A70D39" w:rsidRPr="00F66921" w:rsidRDefault="00A70D39" w:rsidP="002151A5">
            <w:pPr>
              <w:ind w:left="168" w:hanging="168"/>
              <w:rPr>
                <w:b/>
              </w:rPr>
            </w:pPr>
            <w:r w:rsidRPr="00F66921">
              <w:rPr>
                <w:b/>
              </w:rPr>
              <w:t xml:space="preserve">    vplyvy na procesy služieb vo verejnej správe</w:t>
            </w:r>
          </w:p>
        </w:tc>
        <w:tc>
          <w:tcPr>
            <w:tcW w:w="541" w:type="dxa"/>
            <w:tcBorders>
              <w:top w:val="nil"/>
              <w:bottom w:val="nil"/>
              <w:right w:val="nil"/>
            </w:tcBorders>
          </w:tcPr>
          <w:p w:rsidR="00A70D39" w:rsidRPr="00F66921" w:rsidRDefault="00A70D39" w:rsidP="002151A5">
            <w:pPr>
              <w:jc w:val="center"/>
              <w:rPr>
                <w:b/>
              </w:rPr>
            </w:pPr>
            <w:r w:rsidRPr="00F66921">
              <w:rPr>
                <w:rFonts w:ascii="MS Gothic" w:eastAsia="MS Gothic" w:hAnsi="MS Gothic" w:hint="eastAsia"/>
                <w:b/>
              </w:rPr>
              <w:t>☒</w:t>
            </w:r>
          </w:p>
        </w:tc>
        <w:tc>
          <w:tcPr>
            <w:tcW w:w="1281" w:type="dxa"/>
            <w:tcBorders>
              <w:top w:val="nil"/>
              <w:left w:val="nil"/>
              <w:bottom w:val="nil"/>
              <w:right w:val="nil"/>
            </w:tcBorders>
          </w:tcPr>
          <w:p w:rsidR="00A70D39" w:rsidRPr="00F66921" w:rsidRDefault="00A70D39" w:rsidP="002151A5">
            <w:pPr>
              <w:ind w:right="-108"/>
              <w:contextualSpacing/>
              <w:rPr>
                <w:b/>
              </w:rPr>
            </w:pPr>
            <w:r w:rsidRPr="00F66921">
              <w:rPr>
                <w:b/>
              </w:rPr>
              <w:t>Pozitívne</w:t>
            </w:r>
          </w:p>
        </w:tc>
        <w:tc>
          <w:tcPr>
            <w:tcW w:w="569" w:type="dxa"/>
            <w:tcBorders>
              <w:top w:val="nil"/>
              <w:left w:val="nil"/>
              <w:bottom w:val="nil"/>
              <w:right w:val="nil"/>
            </w:tcBorders>
          </w:tcPr>
          <w:p w:rsidR="00A70D39" w:rsidRPr="00F66921" w:rsidRDefault="00A70D39" w:rsidP="002151A5">
            <w:pPr>
              <w:contextualSpacing/>
              <w:jc w:val="center"/>
              <w:rPr>
                <w:b/>
              </w:rPr>
            </w:pPr>
            <w:r w:rsidRPr="00F66921">
              <w:rPr>
                <w:rFonts w:ascii="MS Mincho" w:eastAsia="MS Mincho" w:hAnsi="MS Mincho" w:cs="MS Mincho" w:hint="eastAsia"/>
                <w:b/>
              </w:rPr>
              <w:t>☐</w:t>
            </w:r>
          </w:p>
        </w:tc>
        <w:tc>
          <w:tcPr>
            <w:tcW w:w="1133" w:type="dxa"/>
            <w:tcBorders>
              <w:top w:val="nil"/>
              <w:left w:val="nil"/>
              <w:bottom w:val="nil"/>
              <w:right w:val="nil"/>
            </w:tcBorders>
          </w:tcPr>
          <w:p w:rsidR="00A70D39" w:rsidRPr="00F66921" w:rsidRDefault="00A70D39" w:rsidP="002151A5">
            <w:pPr>
              <w:contextualSpacing/>
              <w:rPr>
                <w:b/>
              </w:rPr>
            </w:pPr>
            <w:r w:rsidRPr="00F66921">
              <w:rPr>
                <w:b/>
              </w:rPr>
              <w:t>Žiadne</w:t>
            </w:r>
          </w:p>
        </w:tc>
        <w:tc>
          <w:tcPr>
            <w:tcW w:w="547" w:type="dxa"/>
            <w:tcBorders>
              <w:top w:val="nil"/>
              <w:left w:val="nil"/>
              <w:bottom w:val="nil"/>
              <w:right w:val="nil"/>
            </w:tcBorders>
          </w:tcPr>
          <w:p w:rsidR="00A70D39" w:rsidRPr="00F66921" w:rsidRDefault="00A70D39" w:rsidP="002151A5">
            <w:pPr>
              <w:contextualSpacing/>
              <w:jc w:val="center"/>
              <w:rPr>
                <w:b/>
              </w:rPr>
            </w:pPr>
            <w:r w:rsidRPr="00F66921">
              <w:rPr>
                <w:rFonts w:ascii="MS Mincho" w:eastAsia="MS Mincho" w:hAnsi="MS Mincho" w:cs="MS Mincho" w:hint="eastAsia"/>
                <w:b/>
              </w:rPr>
              <w:t>☐</w:t>
            </w:r>
          </w:p>
        </w:tc>
        <w:tc>
          <w:tcPr>
            <w:tcW w:w="1297" w:type="dxa"/>
            <w:tcBorders>
              <w:top w:val="nil"/>
              <w:left w:val="nil"/>
              <w:bottom w:val="nil"/>
            </w:tcBorders>
          </w:tcPr>
          <w:p w:rsidR="00A70D39" w:rsidRPr="00F66921" w:rsidRDefault="00A70D39" w:rsidP="002151A5">
            <w:pPr>
              <w:ind w:left="54"/>
              <w:contextualSpacing/>
              <w:rPr>
                <w:b/>
              </w:rPr>
            </w:pPr>
            <w:r w:rsidRPr="00F66921">
              <w:rPr>
                <w:b/>
              </w:rPr>
              <w:t>Negatívne</w:t>
            </w:r>
          </w:p>
        </w:tc>
      </w:tr>
      <w:tr w:rsidR="00A70D39" w:rsidRPr="00F66921" w:rsidTr="002151A5">
        <w:tc>
          <w:tcPr>
            <w:tcW w:w="3812" w:type="dxa"/>
            <w:tcBorders>
              <w:top w:val="nil"/>
            </w:tcBorders>
            <w:shd w:val="clear" w:color="auto" w:fill="E2E2E2"/>
          </w:tcPr>
          <w:p w:rsidR="00A70D39" w:rsidRPr="00F66921" w:rsidRDefault="00A70D39" w:rsidP="002151A5">
            <w:pPr>
              <w:ind w:left="168" w:hanging="168"/>
              <w:rPr>
                <w:b/>
              </w:rPr>
            </w:pPr>
            <w:r w:rsidRPr="00F66921">
              <w:rPr>
                <w:b/>
                <w:bCs/>
              </w:rPr>
              <w:t>Vplyvy na manželstvo, rodičovstvo a rodinu</w:t>
            </w:r>
          </w:p>
        </w:tc>
        <w:tc>
          <w:tcPr>
            <w:tcW w:w="1822" w:type="dxa"/>
            <w:gridSpan w:val="2"/>
            <w:tcBorders>
              <w:top w:val="nil"/>
              <w:right w:val="nil"/>
            </w:tcBorders>
            <w:vAlign w:val="center"/>
          </w:tcPr>
          <w:p w:rsidR="00A70D39" w:rsidRPr="00F66921" w:rsidRDefault="00A70D39" w:rsidP="002151A5">
            <w:pPr>
              <w:contextualSpacing/>
              <w:rPr>
                <w:b/>
              </w:rPr>
            </w:pPr>
            <w:r w:rsidRPr="00F66921">
              <w:rPr>
                <w:rFonts w:ascii="Segoe UI Symbol" w:eastAsia="MS Mincho" w:hAnsi="Segoe UI Symbol" w:cs="Segoe UI Symbol"/>
              </w:rPr>
              <w:t xml:space="preserve">  </w:t>
            </w:r>
            <w:r w:rsidRPr="00F66921">
              <w:rPr>
                <w:rFonts w:ascii="MS Mincho" w:eastAsia="MS Mincho" w:hAnsi="MS Mincho" w:cs="MS Mincho" w:hint="eastAsia"/>
                <w:b/>
              </w:rPr>
              <w:t>☐</w:t>
            </w:r>
            <w:r w:rsidRPr="00F66921">
              <w:rPr>
                <w:b/>
              </w:rPr>
              <w:t>     Pozitívne</w:t>
            </w:r>
          </w:p>
        </w:tc>
        <w:tc>
          <w:tcPr>
            <w:tcW w:w="569" w:type="dxa"/>
            <w:tcBorders>
              <w:top w:val="nil"/>
              <w:left w:val="nil"/>
              <w:right w:val="nil"/>
            </w:tcBorders>
            <w:vAlign w:val="center"/>
          </w:tcPr>
          <w:p w:rsidR="00A70D39" w:rsidRPr="00F66921" w:rsidRDefault="00A70D39" w:rsidP="002151A5">
            <w:pPr>
              <w:contextualSpacing/>
              <w:rPr>
                <w:b/>
              </w:rPr>
            </w:pPr>
            <w:r w:rsidRPr="00F66921">
              <w:rPr>
                <w:rFonts w:ascii="MS Gothic" w:eastAsia="MS Gothic" w:hAnsi="MS Gothic" w:hint="eastAsia"/>
                <w:b/>
              </w:rPr>
              <w:t>☒</w:t>
            </w:r>
          </w:p>
        </w:tc>
        <w:tc>
          <w:tcPr>
            <w:tcW w:w="1133" w:type="dxa"/>
            <w:tcBorders>
              <w:top w:val="nil"/>
              <w:left w:val="nil"/>
              <w:right w:val="nil"/>
            </w:tcBorders>
          </w:tcPr>
          <w:p w:rsidR="00A70D39" w:rsidRPr="00F66921" w:rsidRDefault="00A70D39" w:rsidP="002151A5">
            <w:pPr>
              <w:contextualSpacing/>
              <w:rPr>
                <w:b/>
              </w:rPr>
            </w:pPr>
            <w:r w:rsidRPr="00F66921">
              <w:rPr>
                <w:b/>
              </w:rPr>
              <w:t>Žiadne</w:t>
            </w:r>
          </w:p>
        </w:tc>
        <w:tc>
          <w:tcPr>
            <w:tcW w:w="547" w:type="dxa"/>
            <w:tcBorders>
              <w:top w:val="nil"/>
              <w:left w:val="nil"/>
              <w:right w:val="nil"/>
            </w:tcBorders>
          </w:tcPr>
          <w:p w:rsidR="00A70D39" w:rsidRPr="00F66921" w:rsidRDefault="00A70D39" w:rsidP="002151A5">
            <w:pPr>
              <w:contextualSpacing/>
              <w:rPr>
                <w:rFonts w:ascii="MS Mincho" w:eastAsia="MS Mincho" w:hAnsi="MS Mincho" w:cs="MS Mincho"/>
                <w:b/>
              </w:rPr>
            </w:pPr>
            <w:r w:rsidRPr="00F66921">
              <w:rPr>
                <w:rFonts w:ascii="MS Mincho" w:eastAsia="MS Mincho" w:hAnsi="MS Mincho" w:cs="MS Mincho" w:hint="eastAsia"/>
                <w:b/>
              </w:rPr>
              <w:t>☐</w:t>
            </w:r>
          </w:p>
        </w:tc>
        <w:tc>
          <w:tcPr>
            <w:tcW w:w="1297" w:type="dxa"/>
            <w:tcBorders>
              <w:top w:val="nil"/>
              <w:left w:val="nil"/>
            </w:tcBorders>
          </w:tcPr>
          <w:p w:rsidR="00A70D39" w:rsidRPr="00F66921" w:rsidRDefault="00A70D39" w:rsidP="002151A5">
            <w:pPr>
              <w:ind w:left="54"/>
              <w:contextualSpacing/>
              <w:rPr>
                <w:b/>
              </w:rPr>
            </w:pPr>
            <w:r w:rsidRPr="00F66921">
              <w:rPr>
                <w:b/>
              </w:rPr>
              <w:t>Negatívne</w:t>
            </w:r>
          </w:p>
        </w:tc>
      </w:tr>
    </w:tbl>
    <w:tbl>
      <w:tblPr>
        <w:tblStyle w:val="Mriekatabuky"/>
        <w:tblW w:w="9176" w:type="dxa"/>
        <w:tblLayout w:type="fixed"/>
        <w:tblLook w:val="04A0" w:firstRow="1" w:lastRow="0" w:firstColumn="1" w:lastColumn="0" w:noHBand="0" w:noVBand="1"/>
      </w:tblPr>
      <w:tblGrid>
        <w:gridCol w:w="9176"/>
      </w:tblGrid>
      <w:tr w:rsidR="00A70D39" w:rsidRPr="00F66921" w:rsidTr="002151A5">
        <w:tc>
          <w:tcPr>
            <w:tcW w:w="9176" w:type="dxa"/>
            <w:tcBorders>
              <w:bottom w:val="nil"/>
            </w:tcBorders>
            <w:shd w:val="clear" w:color="auto" w:fill="E2E2E2"/>
          </w:tcPr>
          <w:p w:rsidR="00A70D39" w:rsidRPr="00F66921" w:rsidRDefault="00A70D39" w:rsidP="00A70D39">
            <w:pPr>
              <w:pStyle w:val="Odsekzoznamu"/>
              <w:numPr>
                <w:ilvl w:val="0"/>
                <w:numId w:val="15"/>
              </w:numPr>
              <w:spacing w:after="0" w:line="240" w:lineRule="auto"/>
              <w:ind w:left="426"/>
              <w:rPr>
                <w:rFonts w:ascii="Times New Roman" w:hAnsi="Times New Roman"/>
                <w:b/>
              </w:rPr>
            </w:pPr>
            <w:r w:rsidRPr="00F66921">
              <w:rPr>
                <w:rFonts w:ascii="Times New Roman" w:hAnsi="Times New Roman"/>
                <w:b/>
              </w:rPr>
              <w:t>Poznámky</w:t>
            </w:r>
          </w:p>
        </w:tc>
      </w:tr>
      <w:tr w:rsidR="00A70D39" w:rsidRPr="00F66921" w:rsidTr="002151A5">
        <w:trPr>
          <w:trHeight w:val="507"/>
        </w:trPr>
        <w:tc>
          <w:tcPr>
            <w:tcW w:w="9176" w:type="dxa"/>
            <w:tcBorders>
              <w:top w:val="nil"/>
              <w:bottom w:val="single" w:sz="4" w:space="0" w:color="FFFFFF" w:themeColor="background1"/>
            </w:tcBorders>
          </w:tcPr>
          <w:p w:rsidR="00A70D39" w:rsidRPr="00F66921" w:rsidRDefault="00A70D39" w:rsidP="002151A5">
            <w:r w:rsidRPr="00F66921">
              <w:t>Financovanie predmetných výdavkov bude zabezpečené v rámci limitov rozpočtu verejnej správy na príslušné rozpočtové roky.</w:t>
            </w:r>
          </w:p>
        </w:tc>
      </w:tr>
      <w:tr w:rsidR="00A70D39" w:rsidRPr="00F66921" w:rsidTr="002151A5">
        <w:tc>
          <w:tcPr>
            <w:tcW w:w="9176" w:type="dxa"/>
            <w:tcBorders>
              <w:bottom w:val="single" w:sz="4" w:space="0" w:color="FFFFFF" w:themeColor="background1"/>
            </w:tcBorders>
            <w:shd w:val="clear" w:color="auto" w:fill="E2E2E2"/>
          </w:tcPr>
          <w:p w:rsidR="00A70D39" w:rsidRPr="00F66921" w:rsidRDefault="00A70D39" w:rsidP="00A70D39">
            <w:pPr>
              <w:pStyle w:val="Odsekzoznamu"/>
              <w:numPr>
                <w:ilvl w:val="0"/>
                <w:numId w:val="15"/>
              </w:numPr>
              <w:spacing w:after="0" w:line="240" w:lineRule="auto"/>
              <w:ind w:left="426"/>
              <w:rPr>
                <w:rFonts w:ascii="Times New Roman" w:hAnsi="Times New Roman"/>
                <w:b/>
              </w:rPr>
            </w:pPr>
            <w:r w:rsidRPr="00F66921">
              <w:rPr>
                <w:rFonts w:ascii="Times New Roman" w:hAnsi="Times New Roman"/>
                <w:b/>
              </w:rPr>
              <w:t>Kontakt na spracovateľa</w:t>
            </w:r>
          </w:p>
        </w:tc>
      </w:tr>
      <w:tr w:rsidR="00A70D39" w:rsidRPr="00F66921" w:rsidTr="002151A5">
        <w:trPr>
          <w:trHeight w:val="586"/>
        </w:trPr>
        <w:tc>
          <w:tcPr>
            <w:tcW w:w="9176" w:type="dxa"/>
            <w:tcBorders>
              <w:top w:val="single" w:sz="4" w:space="0" w:color="FFFFFF" w:themeColor="background1"/>
            </w:tcBorders>
            <w:shd w:val="clear" w:color="auto" w:fill="FFFFFF" w:themeFill="background1"/>
          </w:tcPr>
          <w:p w:rsidR="00A70D39" w:rsidRPr="00F66921" w:rsidRDefault="00A70D39" w:rsidP="002151A5">
            <w:r w:rsidRPr="00F66921">
              <w:t xml:space="preserve">Ing. Michaela </w:t>
            </w:r>
            <w:proofErr w:type="spellStart"/>
            <w:r w:rsidRPr="00F66921">
              <w:t>Jarošová</w:t>
            </w:r>
            <w:proofErr w:type="spellEnd"/>
            <w:r w:rsidRPr="00F66921">
              <w:t>, MF SR, sekcia daňová a colná, odbor nepriamych daní, oddelenie spotrebných daní</w:t>
            </w:r>
          </w:p>
          <w:p w:rsidR="00A70D39" w:rsidRPr="00F66921" w:rsidRDefault="00903595" w:rsidP="002151A5">
            <w:hyperlink r:id="rId8" w:history="1">
              <w:r w:rsidR="00A70D39" w:rsidRPr="00F66921">
                <w:rPr>
                  <w:rStyle w:val="Hypertextovprepojenie"/>
                </w:rPr>
                <w:t>michaela.jarosova@mfsr.sk</w:t>
              </w:r>
            </w:hyperlink>
          </w:p>
          <w:p w:rsidR="00A70D39" w:rsidRPr="00F66921" w:rsidRDefault="00A70D39" w:rsidP="002151A5">
            <w:pPr>
              <w:rPr>
                <w:i/>
                <w:u w:val="single"/>
              </w:rPr>
            </w:pPr>
            <w:r w:rsidRPr="00F66921">
              <w:t xml:space="preserve">Ing. Katarína </w:t>
            </w:r>
            <w:proofErr w:type="spellStart"/>
            <w:r w:rsidRPr="00F66921">
              <w:t>Slimáková</w:t>
            </w:r>
            <w:proofErr w:type="spellEnd"/>
            <w:r w:rsidRPr="00F66921">
              <w:t>, MF SR, sekcia daňová a colná, odbor nepriamych daní, oddelenie spotrebných daní katarina.slimakova@mfsr.sk</w:t>
            </w:r>
          </w:p>
        </w:tc>
      </w:tr>
      <w:tr w:rsidR="00A70D39" w:rsidRPr="00F66921" w:rsidTr="002151A5">
        <w:tc>
          <w:tcPr>
            <w:tcW w:w="9176" w:type="dxa"/>
            <w:tcBorders>
              <w:bottom w:val="single" w:sz="4" w:space="0" w:color="FFFFFF" w:themeColor="background1"/>
            </w:tcBorders>
            <w:shd w:val="clear" w:color="auto" w:fill="E2E2E2"/>
          </w:tcPr>
          <w:p w:rsidR="00A70D39" w:rsidRPr="00F66921" w:rsidRDefault="00A70D39" w:rsidP="00A70D39">
            <w:pPr>
              <w:pStyle w:val="Odsekzoznamu"/>
              <w:numPr>
                <w:ilvl w:val="0"/>
                <w:numId w:val="15"/>
              </w:numPr>
              <w:spacing w:after="0" w:line="240" w:lineRule="auto"/>
              <w:ind w:left="426"/>
              <w:rPr>
                <w:rFonts w:ascii="Times New Roman" w:hAnsi="Times New Roman"/>
                <w:b/>
              </w:rPr>
            </w:pPr>
            <w:r w:rsidRPr="00F66921">
              <w:rPr>
                <w:rFonts w:ascii="Times New Roman" w:hAnsi="Times New Roman"/>
                <w:b/>
              </w:rPr>
              <w:t>Zdroje</w:t>
            </w:r>
          </w:p>
        </w:tc>
      </w:tr>
      <w:tr w:rsidR="00A70D39" w:rsidRPr="00F66921" w:rsidTr="002151A5">
        <w:trPr>
          <w:trHeight w:val="401"/>
        </w:trPr>
        <w:tc>
          <w:tcPr>
            <w:tcW w:w="9176" w:type="dxa"/>
            <w:tcBorders>
              <w:top w:val="single" w:sz="4" w:space="0" w:color="FFFFFF" w:themeColor="background1"/>
            </w:tcBorders>
            <w:shd w:val="clear" w:color="auto" w:fill="FFFFFF" w:themeFill="background1"/>
          </w:tcPr>
          <w:p w:rsidR="00A70D39" w:rsidRPr="00F66921" w:rsidRDefault="00A70D39" w:rsidP="002151A5">
            <w:pPr>
              <w:rPr>
                <w:b/>
              </w:rPr>
            </w:pPr>
          </w:p>
        </w:tc>
      </w:tr>
      <w:tr w:rsidR="00A70D39" w:rsidRPr="00F66921" w:rsidTr="002151A5">
        <w:tc>
          <w:tcPr>
            <w:tcW w:w="9176" w:type="dxa"/>
            <w:tcBorders>
              <w:bottom w:val="single" w:sz="4" w:space="0" w:color="FFFFFF" w:themeColor="background1"/>
            </w:tcBorders>
            <w:shd w:val="clear" w:color="auto" w:fill="E2E2E2"/>
          </w:tcPr>
          <w:p w:rsidR="00A70D39" w:rsidRPr="00F66921" w:rsidRDefault="00A70D39" w:rsidP="00A70D39">
            <w:pPr>
              <w:pStyle w:val="Odsekzoznamu"/>
              <w:numPr>
                <w:ilvl w:val="0"/>
                <w:numId w:val="15"/>
              </w:numPr>
              <w:spacing w:after="0" w:line="240" w:lineRule="auto"/>
              <w:ind w:left="426"/>
              <w:rPr>
                <w:rFonts w:ascii="Times New Roman" w:hAnsi="Times New Roman"/>
                <w:b/>
              </w:rPr>
            </w:pPr>
            <w:r w:rsidRPr="00F66921">
              <w:rPr>
                <w:rFonts w:ascii="Times New Roman" w:hAnsi="Times New Roman"/>
                <w:b/>
              </w:rPr>
              <w:t>Stanovisko Komisie pre posudzovanie vybraných vplyvov z PPK</w:t>
            </w:r>
          </w:p>
        </w:tc>
      </w:tr>
      <w:tr w:rsidR="00A70D39" w:rsidRPr="00F66921" w:rsidTr="002151A5">
        <w:tc>
          <w:tcPr>
            <w:tcW w:w="9176" w:type="dxa"/>
            <w:tcBorders>
              <w:top w:val="single" w:sz="4" w:space="0" w:color="FFFFFF" w:themeColor="background1"/>
              <w:bottom w:val="single" w:sz="4" w:space="0" w:color="FFFFFF" w:themeColor="background1"/>
            </w:tcBorders>
            <w:shd w:val="clear" w:color="auto" w:fill="FFFFFF" w:themeFill="background1"/>
          </w:tcPr>
          <w:p w:rsidR="00A70D39" w:rsidRPr="00F66921" w:rsidRDefault="00A70D39" w:rsidP="002151A5">
            <w:pPr>
              <w:jc w:val="both"/>
              <w:rPr>
                <w:bCs/>
              </w:rPr>
            </w:pPr>
            <w:r w:rsidRPr="00F66921">
              <w:rPr>
                <w:bCs/>
              </w:rPr>
              <w:t xml:space="preserve">Stála pracovná komisia na posudzovanie vybraných vplyvov si uplatnila zásadné pripomienky a odporúčania a vyjadrila </w:t>
            </w:r>
            <w:r w:rsidRPr="00F66921">
              <w:rPr>
                <w:b/>
                <w:bCs/>
              </w:rPr>
              <w:t>nesúhlasné stanovisko</w:t>
            </w:r>
            <w:r w:rsidRPr="00F66921">
              <w:rPr>
                <w:bCs/>
              </w:rPr>
              <w:t xml:space="preserve"> s materiálom predloženým na predbežné pripomienkové konanie.</w:t>
            </w:r>
          </w:p>
          <w:p w:rsidR="00A70D39" w:rsidRPr="00F66921" w:rsidRDefault="00A70D39" w:rsidP="002151A5">
            <w:pPr>
              <w:overflowPunct w:val="0"/>
              <w:autoSpaceDE w:val="0"/>
              <w:autoSpaceDN w:val="0"/>
              <w:adjustRightInd w:val="0"/>
              <w:jc w:val="both"/>
              <w:textAlignment w:val="baseline"/>
              <w:outlineLvl w:val="1"/>
              <w:rPr>
                <w:b/>
                <w:i/>
                <w:lang w:val="nl-BE"/>
              </w:rPr>
            </w:pPr>
            <w:r w:rsidRPr="00F66921">
              <w:rPr>
                <w:b/>
                <w:i/>
                <w:lang w:val="nl-BE"/>
              </w:rPr>
              <w:t xml:space="preserve">Stanovisko predkladateľa návrhu zákona: </w:t>
            </w:r>
          </w:p>
          <w:p w:rsidR="00A70D39" w:rsidRPr="00F66921" w:rsidRDefault="00A70D39" w:rsidP="002151A5">
            <w:pPr>
              <w:jc w:val="both"/>
              <w:rPr>
                <w:b/>
                <w:bCs/>
              </w:rPr>
            </w:pPr>
            <w:r w:rsidRPr="00F66921">
              <w:rPr>
                <w:b/>
                <w:bCs/>
              </w:rPr>
              <w:t xml:space="preserve">K doložke vybraných vplyvov </w:t>
            </w:r>
          </w:p>
          <w:p w:rsidR="00A70D39" w:rsidRPr="00F66921" w:rsidRDefault="00A70D39" w:rsidP="002151A5">
            <w:pPr>
              <w:jc w:val="both"/>
              <w:rPr>
                <w:bCs/>
              </w:rPr>
            </w:pPr>
            <w:r w:rsidRPr="00F66921">
              <w:rPr>
                <w:bCs/>
              </w:rPr>
              <w:t>Komisia nesúhlasí s tým, že materiál nepredpokladá žiadny vplyv na informatizáciu. V predkladanom návrhu zákona sa zavádza elektronizácia procesov a napr. v bode 45. a 46. sa rozširuje elektronická báza údajov colných úradov a Finančnej správy. Z uvedeného dôvodu je nutné vyznačiť pozitívny vplyv na informatizáciu spoločnosti a vypracovať analýzu vplyvov.</w:t>
            </w:r>
          </w:p>
          <w:p w:rsidR="00A70D39" w:rsidRPr="00F66921" w:rsidRDefault="00A70D39" w:rsidP="00A70D39">
            <w:pPr>
              <w:pStyle w:val="Odsekzoznamu"/>
              <w:numPr>
                <w:ilvl w:val="0"/>
                <w:numId w:val="17"/>
              </w:numPr>
              <w:jc w:val="both"/>
              <w:rPr>
                <w:rFonts w:ascii="Times New Roman" w:hAnsi="Times New Roman"/>
                <w:bCs/>
                <w:sz w:val="20"/>
                <w:szCs w:val="20"/>
              </w:rPr>
            </w:pPr>
            <w:r w:rsidRPr="00F66921">
              <w:rPr>
                <w:rFonts w:ascii="Times New Roman" w:hAnsi="Times New Roman"/>
                <w:bCs/>
                <w:sz w:val="20"/>
                <w:szCs w:val="20"/>
              </w:rPr>
              <w:t>MF SR vyznačilo pozitívny vplyv na informatizáciu spoločnosti</w:t>
            </w:r>
          </w:p>
          <w:p w:rsidR="00A70D39" w:rsidRPr="00F66921" w:rsidRDefault="00A70D39" w:rsidP="002151A5">
            <w:pPr>
              <w:jc w:val="both"/>
              <w:rPr>
                <w:b/>
                <w:bCs/>
              </w:rPr>
            </w:pPr>
            <w:r w:rsidRPr="00F66921">
              <w:rPr>
                <w:b/>
                <w:bCs/>
              </w:rPr>
              <w:t>K analýze vplyvov na podnikateľské prostredie</w:t>
            </w:r>
          </w:p>
          <w:p w:rsidR="00A70D39" w:rsidRPr="00F66921" w:rsidRDefault="00A70D39" w:rsidP="002151A5">
            <w:pPr>
              <w:jc w:val="both"/>
              <w:rPr>
                <w:bCs/>
              </w:rPr>
            </w:pPr>
            <w:r w:rsidRPr="00F66921">
              <w:rPr>
                <w:bCs/>
              </w:rPr>
              <w:t xml:space="preserve">Komisia žiada predkladateľa o </w:t>
            </w:r>
            <w:r w:rsidRPr="00F66921">
              <w:rPr>
                <w:bCs/>
                <w:i/>
              </w:rPr>
              <w:t>vyčíslenie administratívnych nákladov</w:t>
            </w:r>
            <w:r w:rsidRPr="00F66921">
              <w:rPr>
                <w:bCs/>
              </w:rPr>
              <w:t xml:space="preserve"> spojených s povinnosťou požiadať colný úrad o registráciu schváleného odosielateľa a schváleného príjemcu. </w:t>
            </w:r>
          </w:p>
          <w:p w:rsidR="00A70D39" w:rsidRPr="00F66921" w:rsidRDefault="00A70D39" w:rsidP="002151A5">
            <w:pPr>
              <w:jc w:val="both"/>
              <w:rPr>
                <w:bCs/>
              </w:rPr>
            </w:pPr>
            <w:r w:rsidRPr="00F66921">
              <w:rPr>
                <w:bCs/>
              </w:rPr>
              <w:t xml:space="preserve">Takisto žiada predkladateľa </w:t>
            </w:r>
            <w:r w:rsidRPr="00F66921">
              <w:rPr>
                <w:bCs/>
                <w:i/>
              </w:rPr>
              <w:t>o vyčíslenie administratívnych nákladov</w:t>
            </w:r>
            <w:r w:rsidRPr="00F66921">
              <w:rPr>
                <w:bCs/>
              </w:rPr>
              <w:t xml:space="preserve"> spojených so zaradením do evidencie prevádzkovateľov samostatných pivovarov.</w:t>
            </w:r>
          </w:p>
          <w:p w:rsidR="00A70D39" w:rsidRPr="00F66921" w:rsidRDefault="00A70D39" w:rsidP="002151A5">
            <w:pPr>
              <w:jc w:val="both"/>
              <w:rPr>
                <w:bCs/>
              </w:rPr>
            </w:pPr>
            <w:r w:rsidRPr="00F66921">
              <w:rPr>
                <w:bCs/>
              </w:rPr>
              <w:t xml:space="preserve">Zároveň žiadame predkladateľa </w:t>
            </w:r>
            <w:r w:rsidRPr="00F66921">
              <w:rPr>
                <w:bCs/>
                <w:i/>
              </w:rPr>
              <w:t>o doplnenie popisu</w:t>
            </w:r>
            <w:r w:rsidRPr="00F66921">
              <w:rPr>
                <w:bCs/>
              </w:rPr>
              <w:t xml:space="preserve"> všetkých novelizovaných ustanovení, ktoré zakladajú vplyv na podnikateľské prostredie.</w:t>
            </w:r>
          </w:p>
          <w:p w:rsidR="00A70D39" w:rsidRPr="00F66921" w:rsidRDefault="00A70D39" w:rsidP="00A70D39">
            <w:pPr>
              <w:pStyle w:val="Odsekzoznamu"/>
              <w:numPr>
                <w:ilvl w:val="0"/>
                <w:numId w:val="17"/>
              </w:numPr>
              <w:spacing w:line="240" w:lineRule="auto"/>
              <w:jc w:val="both"/>
              <w:rPr>
                <w:rFonts w:ascii="Times New Roman" w:hAnsi="Times New Roman"/>
                <w:b/>
              </w:rPr>
            </w:pPr>
            <w:r w:rsidRPr="00F66921">
              <w:rPr>
                <w:rFonts w:ascii="Times New Roman" w:hAnsi="Times New Roman"/>
                <w:bCs/>
                <w:sz w:val="20"/>
                <w:szCs w:val="20"/>
              </w:rPr>
              <w:t>Vzhľadom na to, že zaradenie do evidencie prevádzkovateľov malých pivovarov alebo povinnosť požiadať o registráciu schváleného príjemcu alebo schváleného odosielateľa sa realizuje elektronicky prostredníctvom webovej stránky finančnej správy, predkladateľ nepredpokladá vznik dodatočných administratívnych nákladov pre daňové subjekty.</w:t>
            </w:r>
          </w:p>
        </w:tc>
      </w:tr>
      <w:tr w:rsidR="00A70D39" w:rsidRPr="00F66921" w:rsidTr="002151A5">
        <w:tc>
          <w:tcPr>
            <w:tcW w:w="9176" w:type="dxa"/>
            <w:tcBorders>
              <w:top w:val="single" w:sz="4" w:space="0" w:color="FFFFFF" w:themeColor="background1"/>
            </w:tcBorders>
            <w:shd w:val="clear" w:color="auto" w:fill="FFFFFF" w:themeFill="background1"/>
          </w:tcPr>
          <w:p w:rsidR="00A70D39" w:rsidRPr="00F66921" w:rsidRDefault="00A70D39" w:rsidP="002151A5">
            <w:pPr>
              <w:jc w:val="both"/>
              <w:rPr>
                <w:bCs/>
                <w:szCs w:val="22"/>
              </w:rPr>
            </w:pPr>
          </w:p>
        </w:tc>
      </w:tr>
    </w:tbl>
    <w:p w:rsidR="00A70D39" w:rsidRPr="00F66921" w:rsidRDefault="00A70D39" w:rsidP="00A70D39">
      <w:pPr>
        <w:rPr>
          <w:b/>
        </w:rPr>
      </w:pPr>
    </w:p>
    <w:p w:rsidR="00A70D39" w:rsidRPr="00F66921" w:rsidRDefault="00A70D39" w:rsidP="00A70D39">
      <w:pPr>
        <w:rPr>
          <w:b/>
        </w:rPr>
      </w:pPr>
      <w:r w:rsidRPr="00F66921">
        <w:rPr>
          <w:b/>
        </w:rPr>
        <w:br w:type="page"/>
      </w:r>
    </w:p>
    <w:p w:rsidR="00A70D39" w:rsidRPr="002151A5" w:rsidRDefault="00A70D39" w:rsidP="002151A5">
      <w:pPr>
        <w:spacing w:after="0" w:line="240" w:lineRule="auto"/>
        <w:rPr>
          <w:rFonts w:ascii="Times New Roman" w:hAnsi="Times New Roman"/>
          <w:b/>
        </w:rPr>
      </w:pPr>
    </w:p>
    <w:p w:rsidR="00A70D39" w:rsidRPr="002151A5" w:rsidRDefault="00A70D39" w:rsidP="002151A5">
      <w:pPr>
        <w:tabs>
          <w:tab w:val="left" w:pos="2592"/>
        </w:tabs>
        <w:spacing w:after="0" w:line="240" w:lineRule="auto"/>
        <w:jc w:val="center"/>
        <w:rPr>
          <w:rFonts w:ascii="Times New Roman" w:hAnsi="Times New Roman"/>
          <w:b/>
          <w:bCs/>
          <w:sz w:val="28"/>
          <w:szCs w:val="28"/>
        </w:rPr>
      </w:pPr>
      <w:r w:rsidRPr="002151A5">
        <w:rPr>
          <w:rFonts w:ascii="Times New Roman" w:hAnsi="Times New Roman"/>
          <w:b/>
          <w:bCs/>
          <w:sz w:val="28"/>
          <w:szCs w:val="28"/>
        </w:rPr>
        <w:t>Analýza vplyvov na rozpočet verejnej správy,</w:t>
      </w:r>
    </w:p>
    <w:p w:rsidR="00A70D39" w:rsidRPr="002151A5" w:rsidRDefault="00A70D39" w:rsidP="002151A5">
      <w:pPr>
        <w:spacing w:after="0" w:line="240" w:lineRule="auto"/>
        <w:jc w:val="center"/>
        <w:rPr>
          <w:rFonts w:ascii="Times New Roman" w:hAnsi="Times New Roman"/>
          <w:b/>
          <w:bCs/>
          <w:sz w:val="28"/>
          <w:szCs w:val="28"/>
        </w:rPr>
      </w:pPr>
      <w:r w:rsidRPr="002151A5">
        <w:rPr>
          <w:rFonts w:ascii="Times New Roman" w:hAnsi="Times New Roman"/>
          <w:b/>
          <w:bCs/>
          <w:sz w:val="28"/>
          <w:szCs w:val="28"/>
        </w:rPr>
        <w:t>na zamestnanosť vo verejnej správe a financovanie návrhu</w:t>
      </w:r>
    </w:p>
    <w:p w:rsidR="00A70D39" w:rsidRPr="00F66921" w:rsidRDefault="00A70D39" w:rsidP="00A70D39">
      <w:pPr>
        <w:rPr>
          <w:b/>
          <w:bCs/>
          <w:sz w:val="24"/>
          <w:szCs w:val="24"/>
        </w:rPr>
      </w:pPr>
    </w:p>
    <w:p w:rsidR="00A70D39" w:rsidRPr="00F66921" w:rsidRDefault="00A70D39" w:rsidP="00A70D39">
      <w:pPr>
        <w:rPr>
          <w:b/>
          <w:bCs/>
          <w:sz w:val="24"/>
          <w:szCs w:val="24"/>
        </w:rPr>
      </w:pPr>
      <w:r w:rsidRPr="00F66921">
        <w:rPr>
          <w:b/>
          <w:bCs/>
          <w:sz w:val="24"/>
          <w:szCs w:val="24"/>
        </w:rPr>
        <w:t>2.1 Zhrnutie vplyvov na rozpočet verejnej správy v návrhu</w:t>
      </w:r>
    </w:p>
    <w:p w:rsidR="00A70D39" w:rsidRPr="00F66921" w:rsidRDefault="00A70D39" w:rsidP="00A70D39">
      <w:pPr>
        <w:ind w:left="7080" w:firstLine="708"/>
        <w:rPr>
          <w:b/>
          <w:bCs/>
          <w:sz w:val="24"/>
          <w:szCs w:val="24"/>
        </w:rPr>
      </w:pPr>
      <w:r w:rsidRPr="00F66921">
        <w:t>Tabuľka č. 1</w:t>
      </w:r>
    </w:p>
    <w:tbl>
      <w:tblPr>
        <w:tblW w:w="5000" w:type="pct"/>
        <w:tblCellMar>
          <w:left w:w="70" w:type="dxa"/>
          <w:right w:w="70" w:type="dxa"/>
        </w:tblCellMar>
        <w:tblLook w:val="04A0" w:firstRow="1" w:lastRow="0" w:firstColumn="1" w:lastColumn="0" w:noHBand="0" w:noVBand="1"/>
      </w:tblPr>
      <w:tblGrid>
        <w:gridCol w:w="5307"/>
        <w:gridCol w:w="1178"/>
        <w:gridCol w:w="857"/>
        <w:gridCol w:w="857"/>
        <w:gridCol w:w="861"/>
      </w:tblGrid>
      <w:tr w:rsidR="00A70D39" w:rsidRPr="00F66921" w:rsidTr="002151A5">
        <w:trPr>
          <w:cantSplit/>
          <w:trHeight w:val="254"/>
          <w:tblHeader/>
        </w:trPr>
        <w:tc>
          <w:tcPr>
            <w:tcW w:w="2929"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A70D39" w:rsidRPr="00F66921" w:rsidRDefault="00A70D39" w:rsidP="002151A5">
            <w:pPr>
              <w:jc w:val="center"/>
              <w:rPr>
                <w:b/>
                <w:bCs/>
                <w:color w:val="000000"/>
                <w:sz w:val="16"/>
                <w:szCs w:val="16"/>
              </w:rPr>
            </w:pPr>
            <w:bookmarkStart w:id="0" w:name="RANGE!B3"/>
            <w:bookmarkEnd w:id="0"/>
            <w:r w:rsidRPr="00F66921">
              <w:rPr>
                <w:b/>
                <w:bCs/>
                <w:color w:val="000000"/>
                <w:sz w:val="16"/>
                <w:szCs w:val="16"/>
              </w:rPr>
              <w:t>Vplyvy na rozpočet verejnej správy</w:t>
            </w:r>
          </w:p>
        </w:tc>
        <w:tc>
          <w:tcPr>
            <w:tcW w:w="2071" w:type="pct"/>
            <w:gridSpan w:val="4"/>
            <w:tcBorders>
              <w:top w:val="single" w:sz="4" w:space="0" w:color="auto"/>
              <w:left w:val="nil"/>
              <w:bottom w:val="single" w:sz="4" w:space="0" w:color="auto"/>
              <w:right w:val="single" w:sz="4" w:space="0" w:color="000000"/>
            </w:tcBorders>
            <w:shd w:val="clear" w:color="000000" w:fill="BFBFBF"/>
            <w:vAlign w:val="center"/>
            <w:hideMark/>
          </w:tcPr>
          <w:p w:rsidR="00A70D39" w:rsidRPr="00F66921" w:rsidRDefault="00A70D39" w:rsidP="002151A5">
            <w:pPr>
              <w:jc w:val="center"/>
              <w:rPr>
                <w:b/>
                <w:bCs/>
                <w:color w:val="000000"/>
                <w:sz w:val="16"/>
                <w:szCs w:val="16"/>
              </w:rPr>
            </w:pPr>
            <w:r w:rsidRPr="00F66921">
              <w:rPr>
                <w:b/>
                <w:bCs/>
                <w:color w:val="000000"/>
                <w:sz w:val="16"/>
                <w:szCs w:val="16"/>
              </w:rPr>
              <w:t>Vplyv na rozpočet verejnej správy (v eurách)</w:t>
            </w:r>
          </w:p>
        </w:tc>
      </w:tr>
      <w:tr w:rsidR="00A70D39" w:rsidRPr="00F66921" w:rsidTr="002151A5">
        <w:trPr>
          <w:trHeight w:val="254"/>
          <w:tblHeader/>
        </w:trPr>
        <w:tc>
          <w:tcPr>
            <w:tcW w:w="2929" w:type="pct"/>
            <w:vMerge/>
            <w:tcBorders>
              <w:top w:val="single" w:sz="4" w:space="0" w:color="auto"/>
              <w:left w:val="single" w:sz="4" w:space="0" w:color="auto"/>
              <w:bottom w:val="single" w:sz="4" w:space="0" w:color="auto"/>
              <w:right w:val="single" w:sz="4" w:space="0" w:color="auto"/>
            </w:tcBorders>
            <w:vAlign w:val="center"/>
            <w:hideMark/>
          </w:tcPr>
          <w:p w:rsidR="00A70D39" w:rsidRPr="00F66921" w:rsidRDefault="00A70D39" w:rsidP="002151A5">
            <w:pPr>
              <w:rPr>
                <w:b/>
                <w:bCs/>
                <w:color w:val="000000"/>
                <w:sz w:val="16"/>
                <w:szCs w:val="16"/>
              </w:rPr>
            </w:pPr>
          </w:p>
        </w:tc>
        <w:tc>
          <w:tcPr>
            <w:tcW w:w="650" w:type="pct"/>
            <w:tcBorders>
              <w:top w:val="nil"/>
              <w:left w:val="nil"/>
              <w:bottom w:val="single" w:sz="4" w:space="0" w:color="auto"/>
              <w:right w:val="single" w:sz="4" w:space="0" w:color="auto"/>
            </w:tcBorders>
            <w:shd w:val="clear" w:color="000000" w:fill="BFBFBF"/>
            <w:vAlign w:val="center"/>
            <w:hideMark/>
          </w:tcPr>
          <w:p w:rsidR="00A70D39" w:rsidRPr="00F66921" w:rsidRDefault="00A70D39" w:rsidP="002151A5">
            <w:pPr>
              <w:jc w:val="center"/>
              <w:rPr>
                <w:b/>
                <w:bCs/>
                <w:color w:val="000000"/>
                <w:sz w:val="16"/>
                <w:szCs w:val="16"/>
              </w:rPr>
            </w:pPr>
            <w:r w:rsidRPr="00F66921">
              <w:rPr>
                <w:b/>
                <w:bCs/>
                <w:color w:val="000000"/>
                <w:sz w:val="16"/>
                <w:szCs w:val="16"/>
              </w:rPr>
              <w:t>2020</w:t>
            </w:r>
          </w:p>
        </w:tc>
        <w:tc>
          <w:tcPr>
            <w:tcW w:w="473" w:type="pct"/>
            <w:tcBorders>
              <w:top w:val="nil"/>
              <w:left w:val="nil"/>
              <w:bottom w:val="single" w:sz="4" w:space="0" w:color="auto"/>
              <w:right w:val="single" w:sz="4" w:space="0" w:color="auto"/>
            </w:tcBorders>
            <w:shd w:val="clear" w:color="000000" w:fill="BFBFBF"/>
            <w:vAlign w:val="center"/>
            <w:hideMark/>
          </w:tcPr>
          <w:p w:rsidR="00A70D39" w:rsidRPr="00F66921" w:rsidRDefault="00A70D39" w:rsidP="002151A5">
            <w:pPr>
              <w:jc w:val="center"/>
              <w:rPr>
                <w:b/>
                <w:bCs/>
                <w:color w:val="000000"/>
                <w:sz w:val="16"/>
                <w:szCs w:val="16"/>
              </w:rPr>
            </w:pPr>
            <w:r w:rsidRPr="00F66921">
              <w:rPr>
                <w:b/>
                <w:bCs/>
                <w:color w:val="000000"/>
                <w:sz w:val="16"/>
                <w:szCs w:val="16"/>
              </w:rPr>
              <w:t>2021</w:t>
            </w:r>
          </w:p>
        </w:tc>
        <w:tc>
          <w:tcPr>
            <w:tcW w:w="473" w:type="pct"/>
            <w:tcBorders>
              <w:top w:val="nil"/>
              <w:left w:val="nil"/>
              <w:bottom w:val="single" w:sz="4" w:space="0" w:color="auto"/>
              <w:right w:val="single" w:sz="4" w:space="0" w:color="auto"/>
            </w:tcBorders>
            <w:shd w:val="clear" w:color="000000" w:fill="BFBFBF"/>
            <w:vAlign w:val="center"/>
            <w:hideMark/>
          </w:tcPr>
          <w:p w:rsidR="00A70D39" w:rsidRPr="00F66921" w:rsidRDefault="00A70D39" w:rsidP="002151A5">
            <w:pPr>
              <w:jc w:val="center"/>
              <w:rPr>
                <w:b/>
                <w:bCs/>
                <w:color w:val="000000"/>
                <w:sz w:val="16"/>
                <w:szCs w:val="16"/>
              </w:rPr>
            </w:pPr>
            <w:r w:rsidRPr="00F66921">
              <w:rPr>
                <w:b/>
                <w:bCs/>
                <w:color w:val="000000"/>
                <w:sz w:val="16"/>
                <w:szCs w:val="16"/>
              </w:rPr>
              <w:t>2022</w:t>
            </w:r>
          </w:p>
        </w:tc>
        <w:tc>
          <w:tcPr>
            <w:tcW w:w="475" w:type="pct"/>
            <w:tcBorders>
              <w:top w:val="nil"/>
              <w:left w:val="nil"/>
              <w:bottom w:val="single" w:sz="4" w:space="0" w:color="auto"/>
              <w:right w:val="single" w:sz="4" w:space="0" w:color="auto"/>
            </w:tcBorders>
            <w:shd w:val="clear" w:color="000000" w:fill="BFBFBF"/>
            <w:vAlign w:val="center"/>
            <w:hideMark/>
          </w:tcPr>
          <w:p w:rsidR="00A70D39" w:rsidRPr="00F66921" w:rsidRDefault="00A70D39" w:rsidP="002151A5">
            <w:pPr>
              <w:jc w:val="center"/>
              <w:rPr>
                <w:b/>
                <w:bCs/>
                <w:color w:val="000000"/>
                <w:sz w:val="16"/>
                <w:szCs w:val="16"/>
              </w:rPr>
            </w:pPr>
            <w:r w:rsidRPr="00F66921">
              <w:rPr>
                <w:b/>
                <w:bCs/>
                <w:color w:val="000000"/>
                <w:sz w:val="16"/>
                <w:szCs w:val="16"/>
              </w:rPr>
              <w:t>2023</w:t>
            </w:r>
          </w:p>
        </w:tc>
      </w:tr>
      <w:tr w:rsidR="00A70D39" w:rsidRPr="00F66921" w:rsidTr="002151A5">
        <w:trPr>
          <w:trHeight w:val="254"/>
        </w:trPr>
        <w:tc>
          <w:tcPr>
            <w:tcW w:w="2929" w:type="pct"/>
            <w:tcBorders>
              <w:top w:val="nil"/>
              <w:left w:val="single" w:sz="4" w:space="0" w:color="auto"/>
              <w:bottom w:val="single" w:sz="4" w:space="0" w:color="auto"/>
              <w:right w:val="single" w:sz="4" w:space="0" w:color="auto"/>
            </w:tcBorders>
            <w:shd w:val="clear" w:color="000000" w:fill="C0C0C0"/>
            <w:noWrap/>
            <w:vAlign w:val="center"/>
          </w:tcPr>
          <w:p w:rsidR="00A70D39" w:rsidRPr="00F66921" w:rsidRDefault="00A70D39" w:rsidP="002151A5">
            <w:pPr>
              <w:rPr>
                <w:b/>
                <w:bCs/>
                <w:color w:val="000000"/>
                <w:sz w:val="16"/>
                <w:szCs w:val="16"/>
              </w:rPr>
            </w:pPr>
            <w:r w:rsidRPr="00F66921">
              <w:rPr>
                <w:b/>
                <w:bCs/>
                <w:color w:val="000000"/>
                <w:sz w:val="16"/>
                <w:szCs w:val="16"/>
              </w:rPr>
              <w:t>Príjmy verejnej správy celkom</w:t>
            </w:r>
          </w:p>
        </w:tc>
        <w:tc>
          <w:tcPr>
            <w:tcW w:w="650" w:type="pct"/>
            <w:tcBorders>
              <w:top w:val="nil"/>
              <w:left w:val="nil"/>
              <w:bottom w:val="single" w:sz="4" w:space="0" w:color="auto"/>
              <w:right w:val="single" w:sz="4" w:space="0" w:color="auto"/>
            </w:tcBorders>
            <w:shd w:val="clear" w:color="000000" w:fill="BFBFBF"/>
            <w:noWrap/>
            <w:vAlign w:val="center"/>
          </w:tcPr>
          <w:p w:rsidR="00A70D39" w:rsidRPr="00F66921" w:rsidRDefault="00A70D39" w:rsidP="002151A5">
            <w:pPr>
              <w:jc w:val="right"/>
              <w:rPr>
                <w:b/>
                <w:bCs/>
                <w:color w:val="000000"/>
                <w:sz w:val="16"/>
                <w:szCs w:val="16"/>
              </w:rPr>
            </w:pPr>
            <w:r w:rsidRPr="00F66921">
              <w:rPr>
                <w:b/>
                <w:bCs/>
                <w:color w:val="000000"/>
                <w:sz w:val="16"/>
                <w:szCs w:val="16"/>
              </w:rPr>
              <w:t>0</w:t>
            </w:r>
          </w:p>
        </w:tc>
        <w:tc>
          <w:tcPr>
            <w:tcW w:w="473" w:type="pct"/>
            <w:tcBorders>
              <w:top w:val="nil"/>
              <w:left w:val="nil"/>
              <w:bottom w:val="single" w:sz="4" w:space="0" w:color="auto"/>
              <w:right w:val="single" w:sz="4" w:space="0" w:color="auto"/>
            </w:tcBorders>
            <w:shd w:val="clear" w:color="000000" w:fill="BFBFBF"/>
            <w:noWrap/>
            <w:vAlign w:val="center"/>
          </w:tcPr>
          <w:p w:rsidR="00A70D39" w:rsidRPr="00F66921" w:rsidRDefault="00A70D39" w:rsidP="002151A5">
            <w:pPr>
              <w:jc w:val="right"/>
              <w:rPr>
                <w:b/>
                <w:bCs/>
                <w:color w:val="000000"/>
                <w:sz w:val="16"/>
                <w:szCs w:val="16"/>
              </w:rPr>
            </w:pPr>
            <w:r w:rsidRPr="00F66921">
              <w:rPr>
                <w:b/>
                <w:bCs/>
                <w:color w:val="000000"/>
                <w:sz w:val="16"/>
                <w:szCs w:val="16"/>
              </w:rPr>
              <w:t>0</w:t>
            </w:r>
          </w:p>
        </w:tc>
        <w:tc>
          <w:tcPr>
            <w:tcW w:w="473" w:type="pct"/>
            <w:tcBorders>
              <w:top w:val="nil"/>
              <w:left w:val="nil"/>
              <w:bottom w:val="single" w:sz="4" w:space="0" w:color="auto"/>
              <w:right w:val="single" w:sz="4" w:space="0" w:color="auto"/>
            </w:tcBorders>
            <w:shd w:val="clear" w:color="000000" w:fill="BFBFBF"/>
            <w:noWrap/>
            <w:vAlign w:val="center"/>
          </w:tcPr>
          <w:p w:rsidR="00A70D39" w:rsidRPr="00F66921" w:rsidRDefault="00A70D39" w:rsidP="002151A5">
            <w:pPr>
              <w:jc w:val="right"/>
              <w:rPr>
                <w:b/>
                <w:bCs/>
                <w:color w:val="000000"/>
                <w:sz w:val="16"/>
                <w:szCs w:val="16"/>
              </w:rPr>
            </w:pPr>
            <w:r w:rsidRPr="00F66921">
              <w:rPr>
                <w:b/>
                <w:bCs/>
                <w:color w:val="000000"/>
                <w:sz w:val="16"/>
                <w:szCs w:val="16"/>
              </w:rPr>
              <w:t>0</w:t>
            </w:r>
          </w:p>
        </w:tc>
        <w:tc>
          <w:tcPr>
            <w:tcW w:w="475" w:type="pct"/>
            <w:tcBorders>
              <w:top w:val="nil"/>
              <w:left w:val="nil"/>
              <w:bottom w:val="single" w:sz="4" w:space="0" w:color="auto"/>
              <w:right w:val="single" w:sz="4" w:space="0" w:color="auto"/>
            </w:tcBorders>
            <w:shd w:val="clear" w:color="000000" w:fill="BFBFBF"/>
            <w:noWrap/>
            <w:vAlign w:val="center"/>
          </w:tcPr>
          <w:p w:rsidR="00A70D39" w:rsidRPr="00F66921" w:rsidRDefault="00A70D39" w:rsidP="002151A5">
            <w:pPr>
              <w:jc w:val="right"/>
              <w:rPr>
                <w:b/>
                <w:bCs/>
                <w:color w:val="000000"/>
                <w:sz w:val="16"/>
                <w:szCs w:val="16"/>
              </w:rPr>
            </w:pPr>
            <w:r w:rsidRPr="00F66921">
              <w:rPr>
                <w:b/>
                <w:bCs/>
                <w:color w:val="000000"/>
                <w:sz w:val="16"/>
                <w:szCs w:val="16"/>
              </w:rPr>
              <w:t>0</w:t>
            </w:r>
          </w:p>
        </w:tc>
      </w:tr>
      <w:tr w:rsidR="00A70D39" w:rsidRPr="00F66921" w:rsidTr="002151A5">
        <w:trPr>
          <w:trHeight w:val="254"/>
        </w:trPr>
        <w:tc>
          <w:tcPr>
            <w:tcW w:w="29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70D39" w:rsidRPr="00F66921" w:rsidRDefault="00A70D39" w:rsidP="002151A5">
            <w:pPr>
              <w:rPr>
                <w:b/>
                <w:bCs/>
                <w:i/>
                <w:iCs/>
                <w:sz w:val="16"/>
                <w:szCs w:val="16"/>
              </w:rPr>
            </w:pPr>
            <w:r w:rsidRPr="00F66921">
              <w:rPr>
                <w:b/>
                <w:bCs/>
                <w:i/>
                <w:iCs/>
                <w:sz w:val="16"/>
                <w:szCs w:val="16"/>
              </w:rPr>
              <w:t>v tom: VPS</w:t>
            </w:r>
          </w:p>
        </w:tc>
        <w:tc>
          <w:tcPr>
            <w:tcW w:w="650" w:type="pct"/>
            <w:tcBorders>
              <w:top w:val="single" w:sz="4" w:space="0" w:color="auto"/>
              <w:left w:val="nil"/>
              <w:bottom w:val="single" w:sz="4" w:space="0" w:color="auto"/>
              <w:right w:val="single" w:sz="4" w:space="0" w:color="auto"/>
            </w:tcBorders>
            <w:shd w:val="clear" w:color="auto" w:fill="FFFFFF" w:themeFill="background1"/>
            <w:noWrap/>
            <w:vAlign w:val="center"/>
          </w:tcPr>
          <w:p w:rsidR="00A70D39" w:rsidRPr="00F66921" w:rsidRDefault="00A70D39" w:rsidP="002151A5">
            <w:pPr>
              <w:jc w:val="right"/>
              <w:rPr>
                <w:b/>
                <w:bCs/>
                <w:color w:val="000000"/>
                <w:sz w:val="16"/>
                <w:szCs w:val="16"/>
              </w:rPr>
            </w:pPr>
            <w:r w:rsidRPr="00F66921">
              <w:rPr>
                <w:b/>
                <w:bCs/>
                <w:color w:val="000000"/>
                <w:sz w:val="16"/>
                <w:szCs w:val="16"/>
              </w:rPr>
              <w:t>0</w:t>
            </w:r>
          </w:p>
        </w:tc>
        <w:tc>
          <w:tcPr>
            <w:tcW w:w="473" w:type="pct"/>
            <w:tcBorders>
              <w:top w:val="single" w:sz="4" w:space="0" w:color="auto"/>
              <w:left w:val="nil"/>
              <w:bottom w:val="single" w:sz="4" w:space="0" w:color="auto"/>
              <w:right w:val="single" w:sz="4" w:space="0" w:color="auto"/>
            </w:tcBorders>
            <w:shd w:val="clear" w:color="auto" w:fill="FFFFFF" w:themeFill="background1"/>
            <w:noWrap/>
            <w:vAlign w:val="center"/>
          </w:tcPr>
          <w:p w:rsidR="00A70D39" w:rsidRPr="00F66921" w:rsidRDefault="00A70D39" w:rsidP="002151A5">
            <w:pPr>
              <w:jc w:val="right"/>
              <w:rPr>
                <w:b/>
                <w:bCs/>
                <w:color w:val="000000"/>
                <w:sz w:val="16"/>
                <w:szCs w:val="16"/>
              </w:rPr>
            </w:pPr>
            <w:r w:rsidRPr="00F66921">
              <w:rPr>
                <w:b/>
                <w:bCs/>
                <w:color w:val="000000"/>
                <w:sz w:val="16"/>
                <w:szCs w:val="16"/>
              </w:rPr>
              <w:t>0</w:t>
            </w:r>
          </w:p>
        </w:tc>
        <w:tc>
          <w:tcPr>
            <w:tcW w:w="473" w:type="pct"/>
            <w:tcBorders>
              <w:top w:val="single" w:sz="4" w:space="0" w:color="auto"/>
              <w:left w:val="nil"/>
              <w:bottom w:val="single" w:sz="4" w:space="0" w:color="auto"/>
              <w:right w:val="single" w:sz="4" w:space="0" w:color="auto"/>
            </w:tcBorders>
            <w:shd w:val="clear" w:color="auto" w:fill="FFFFFF" w:themeFill="background1"/>
            <w:noWrap/>
            <w:vAlign w:val="center"/>
          </w:tcPr>
          <w:p w:rsidR="00A70D39" w:rsidRPr="00F66921" w:rsidRDefault="00A70D39" w:rsidP="002151A5">
            <w:pPr>
              <w:jc w:val="right"/>
              <w:rPr>
                <w:b/>
                <w:bCs/>
                <w:color w:val="000000"/>
                <w:sz w:val="16"/>
                <w:szCs w:val="16"/>
              </w:rPr>
            </w:pPr>
            <w:r w:rsidRPr="00F66921">
              <w:rPr>
                <w:b/>
                <w:bCs/>
                <w:color w:val="000000"/>
                <w:sz w:val="16"/>
                <w:szCs w:val="16"/>
              </w:rPr>
              <w:t>0</w:t>
            </w:r>
          </w:p>
        </w:tc>
        <w:tc>
          <w:tcPr>
            <w:tcW w:w="475" w:type="pct"/>
            <w:tcBorders>
              <w:top w:val="single" w:sz="4" w:space="0" w:color="auto"/>
              <w:left w:val="nil"/>
              <w:bottom w:val="single" w:sz="4" w:space="0" w:color="auto"/>
              <w:right w:val="single" w:sz="4" w:space="0" w:color="auto"/>
            </w:tcBorders>
            <w:shd w:val="clear" w:color="auto" w:fill="FFFFFF" w:themeFill="background1"/>
            <w:noWrap/>
            <w:vAlign w:val="center"/>
          </w:tcPr>
          <w:p w:rsidR="00A70D39" w:rsidRPr="00F66921" w:rsidRDefault="00A70D39" w:rsidP="002151A5">
            <w:pPr>
              <w:jc w:val="right"/>
              <w:rPr>
                <w:b/>
                <w:bCs/>
                <w:color w:val="000000"/>
                <w:sz w:val="16"/>
                <w:szCs w:val="16"/>
              </w:rPr>
            </w:pPr>
            <w:r w:rsidRPr="00F66921">
              <w:rPr>
                <w:b/>
                <w:bCs/>
                <w:color w:val="000000"/>
                <w:sz w:val="16"/>
                <w:szCs w:val="16"/>
              </w:rPr>
              <w:t>0</w:t>
            </w:r>
          </w:p>
        </w:tc>
      </w:tr>
      <w:tr w:rsidR="00A70D39" w:rsidRPr="00F66921" w:rsidTr="002151A5">
        <w:trPr>
          <w:trHeight w:val="254"/>
        </w:trPr>
        <w:tc>
          <w:tcPr>
            <w:tcW w:w="29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70D39" w:rsidRPr="00F66921" w:rsidRDefault="00A70D39" w:rsidP="002151A5">
            <w:pPr>
              <w:rPr>
                <w:b/>
                <w:bCs/>
                <w:i/>
                <w:iCs/>
                <w:sz w:val="16"/>
                <w:szCs w:val="16"/>
              </w:rPr>
            </w:pPr>
            <w:r w:rsidRPr="00F66921">
              <w:rPr>
                <w:b/>
                <w:bCs/>
                <w:i/>
                <w:iCs/>
                <w:sz w:val="16"/>
                <w:szCs w:val="16"/>
              </w:rPr>
              <w:t xml:space="preserve">z toho:  </w:t>
            </w:r>
          </w:p>
        </w:tc>
        <w:tc>
          <w:tcPr>
            <w:tcW w:w="650" w:type="pct"/>
            <w:tcBorders>
              <w:top w:val="single" w:sz="4" w:space="0" w:color="auto"/>
              <w:left w:val="nil"/>
              <w:bottom w:val="single" w:sz="4" w:space="0" w:color="auto"/>
              <w:right w:val="single" w:sz="4" w:space="0" w:color="auto"/>
            </w:tcBorders>
            <w:shd w:val="clear" w:color="auto" w:fill="FFFFFF" w:themeFill="background1"/>
            <w:noWrap/>
            <w:vAlign w:val="center"/>
          </w:tcPr>
          <w:p w:rsidR="00A70D39" w:rsidRPr="00F66921" w:rsidRDefault="00A70D39" w:rsidP="002151A5">
            <w:pPr>
              <w:jc w:val="right"/>
              <w:rPr>
                <w:b/>
                <w:bCs/>
                <w:color w:val="000000"/>
                <w:sz w:val="16"/>
                <w:szCs w:val="16"/>
              </w:rPr>
            </w:pPr>
            <w:r w:rsidRPr="00F66921">
              <w:rPr>
                <w:b/>
                <w:bCs/>
                <w:color w:val="000000"/>
                <w:sz w:val="16"/>
                <w:szCs w:val="16"/>
              </w:rPr>
              <w:t>0</w:t>
            </w:r>
          </w:p>
        </w:tc>
        <w:tc>
          <w:tcPr>
            <w:tcW w:w="473" w:type="pct"/>
            <w:tcBorders>
              <w:top w:val="single" w:sz="4" w:space="0" w:color="auto"/>
              <w:left w:val="nil"/>
              <w:bottom w:val="single" w:sz="4" w:space="0" w:color="auto"/>
              <w:right w:val="single" w:sz="4" w:space="0" w:color="auto"/>
            </w:tcBorders>
            <w:shd w:val="clear" w:color="auto" w:fill="FFFFFF" w:themeFill="background1"/>
            <w:noWrap/>
            <w:vAlign w:val="center"/>
          </w:tcPr>
          <w:p w:rsidR="00A70D39" w:rsidRPr="00F66921" w:rsidRDefault="00A70D39" w:rsidP="002151A5">
            <w:pPr>
              <w:jc w:val="right"/>
              <w:rPr>
                <w:b/>
                <w:bCs/>
                <w:color w:val="000000"/>
                <w:sz w:val="16"/>
                <w:szCs w:val="16"/>
              </w:rPr>
            </w:pPr>
            <w:r w:rsidRPr="00F66921">
              <w:rPr>
                <w:b/>
                <w:bCs/>
                <w:color w:val="000000"/>
                <w:sz w:val="16"/>
                <w:szCs w:val="16"/>
              </w:rPr>
              <w:t>0</w:t>
            </w:r>
          </w:p>
        </w:tc>
        <w:tc>
          <w:tcPr>
            <w:tcW w:w="473" w:type="pct"/>
            <w:tcBorders>
              <w:top w:val="single" w:sz="4" w:space="0" w:color="auto"/>
              <w:left w:val="nil"/>
              <w:bottom w:val="single" w:sz="4" w:space="0" w:color="auto"/>
              <w:right w:val="single" w:sz="4" w:space="0" w:color="auto"/>
            </w:tcBorders>
            <w:shd w:val="clear" w:color="auto" w:fill="FFFFFF" w:themeFill="background1"/>
            <w:noWrap/>
            <w:vAlign w:val="center"/>
          </w:tcPr>
          <w:p w:rsidR="00A70D39" w:rsidRPr="00F66921" w:rsidRDefault="00A70D39" w:rsidP="002151A5">
            <w:pPr>
              <w:jc w:val="right"/>
              <w:rPr>
                <w:b/>
                <w:bCs/>
                <w:color w:val="000000"/>
                <w:sz w:val="16"/>
                <w:szCs w:val="16"/>
              </w:rPr>
            </w:pPr>
            <w:r w:rsidRPr="00F66921">
              <w:rPr>
                <w:b/>
                <w:bCs/>
                <w:color w:val="000000"/>
                <w:sz w:val="16"/>
                <w:szCs w:val="16"/>
              </w:rPr>
              <w:t>0</w:t>
            </w:r>
          </w:p>
        </w:tc>
        <w:tc>
          <w:tcPr>
            <w:tcW w:w="475" w:type="pct"/>
            <w:tcBorders>
              <w:top w:val="single" w:sz="4" w:space="0" w:color="auto"/>
              <w:left w:val="nil"/>
              <w:bottom w:val="single" w:sz="4" w:space="0" w:color="auto"/>
              <w:right w:val="single" w:sz="4" w:space="0" w:color="auto"/>
            </w:tcBorders>
            <w:shd w:val="clear" w:color="auto" w:fill="FFFFFF" w:themeFill="background1"/>
            <w:noWrap/>
            <w:vAlign w:val="center"/>
          </w:tcPr>
          <w:p w:rsidR="00A70D39" w:rsidRPr="00F66921" w:rsidRDefault="00A70D39" w:rsidP="002151A5">
            <w:pPr>
              <w:jc w:val="right"/>
              <w:rPr>
                <w:b/>
                <w:bCs/>
                <w:color w:val="000000"/>
                <w:sz w:val="16"/>
                <w:szCs w:val="16"/>
              </w:rPr>
            </w:pPr>
            <w:r w:rsidRPr="00F66921">
              <w:rPr>
                <w:b/>
                <w:bCs/>
                <w:color w:val="000000"/>
                <w:sz w:val="16"/>
                <w:szCs w:val="16"/>
              </w:rPr>
              <w:t>0</w:t>
            </w:r>
          </w:p>
        </w:tc>
      </w:tr>
      <w:tr w:rsidR="00A70D39" w:rsidRPr="00F66921" w:rsidTr="002151A5">
        <w:trPr>
          <w:trHeight w:val="254"/>
        </w:trPr>
        <w:tc>
          <w:tcPr>
            <w:tcW w:w="29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70D39" w:rsidRPr="00F66921" w:rsidRDefault="00A70D39" w:rsidP="002151A5">
            <w:pPr>
              <w:rPr>
                <w:b/>
                <w:bCs/>
                <w:i/>
                <w:iCs/>
                <w:sz w:val="16"/>
                <w:szCs w:val="16"/>
              </w:rPr>
            </w:pPr>
            <w:r w:rsidRPr="00F66921">
              <w:rPr>
                <w:b/>
                <w:bCs/>
                <w:i/>
                <w:iCs/>
                <w:sz w:val="16"/>
                <w:szCs w:val="16"/>
              </w:rPr>
              <w:t>- vplyv na ŠR</w:t>
            </w:r>
          </w:p>
        </w:tc>
        <w:tc>
          <w:tcPr>
            <w:tcW w:w="650" w:type="pct"/>
            <w:tcBorders>
              <w:top w:val="single" w:sz="4" w:space="0" w:color="auto"/>
              <w:left w:val="nil"/>
              <w:bottom w:val="single" w:sz="4" w:space="0" w:color="auto"/>
              <w:right w:val="single" w:sz="4" w:space="0" w:color="auto"/>
            </w:tcBorders>
            <w:shd w:val="clear" w:color="auto" w:fill="FFFFFF" w:themeFill="background1"/>
            <w:noWrap/>
            <w:vAlign w:val="center"/>
          </w:tcPr>
          <w:p w:rsidR="00A70D39" w:rsidRPr="00F66921" w:rsidRDefault="00A70D39" w:rsidP="002151A5">
            <w:pPr>
              <w:jc w:val="right"/>
              <w:rPr>
                <w:b/>
                <w:bCs/>
                <w:color w:val="000000"/>
                <w:sz w:val="16"/>
                <w:szCs w:val="16"/>
              </w:rPr>
            </w:pPr>
            <w:r w:rsidRPr="00F66921">
              <w:rPr>
                <w:b/>
                <w:bCs/>
                <w:color w:val="000000"/>
                <w:sz w:val="16"/>
                <w:szCs w:val="16"/>
              </w:rPr>
              <w:t>0</w:t>
            </w:r>
          </w:p>
        </w:tc>
        <w:tc>
          <w:tcPr>
            <w:tcW w:w="473" w:type="pct"/>
            <w:tcBorders>
              <w:top w:val="single" w:sz="4" w:space="0" w:color="auto"/>
              <w:left w:val="nil"/>
              <w:bottom w:val="single" w:sz="4" w:space="0" w:color="auto"/>
              <w:right w:val="single" w:sz="4" w:space="0" w:color="auto"/>
            </w:tcBorders>
            <w:shd w:val="clear" w:color="auto" w:fill="FFFFFF" w:themeFill="background1"/>
            <w:noWrap/>
            <w:vAlign w:val="center"/>
          </w:tcPr>
          <w:p w:rsidR="00A70D39" w:rsidRPr="00F66921" w:rsidRDefault="00A70D39" w:rsidP="002151A5">
            <w:pPr>
              <w:jc w:val="right"/>
              <w:rPr>
                <w:b/>
                <w:bCs/>
                <w:color w:val="000000"/>
                <w:sz w:val="16"/>
                <w:szCs w:val="16"/>
              </w:rPr>
            </w:pPr>
            <w:r w:rsidRPr="00F66921">
              <w:rPr>
                <w:b/>
                <w:bCs/>
                <w:color w:val="000000"/>
                <w:sz w:val="16"/>
                <w:szCs w:val="16"/>
              </w:rPr>
              <w:t>0</w:t>
            </w:r>
          </w:p>
        </w:tc>
        <w:tc>
          <w:tcPr>
            <w:tcW w:w="473" w:type="pct"/>
            <w:tcBorders>
              <w:top w:val="single" w:sz="4" w:space="0" w:color="auto"/>
              <w:left w:val="nil"/>
              <w:bottom w:val="single" w:sz="4" w:space="0" w:color="auto"/>
              <w:right w:val="single" w:sz="4" w:space="0" w:color="auto"/>
            </w:tcBorders>
            <w:shd w:val="clear" w:color="auto" w:fill="FFFFFF" w:themeFill="background1"/>
            <w:noWrap/>
            <w:vAlign w:val="center"/>
          </w:tcPr>
          <w:p w:rsidR="00A70D39" w:rsidRPr="00F66921" w:rsidRDefault="00A70D39" w:rsidP="002151A5">
            <w:pPr>
              <w:jc w:val="right"/>
              <w:rPr>
                <w:b/>
                <w:bCs/>
                <w:color w:val="000000"/>
                <w:sz w:val="16"/>
                <w:szCs w:val="16"/>
              </w:rPr>
            </w:pPr>
            <w:r w:rsidRPr="00F66921">
              <w:rPr>
                <w:b/>
                <w:bCs/>
                <w:color w:val="000000"/>
                <w:sz w:val="16"/>
                <w:szCs w:val="16"/>
              </w:rPr>
              <w:t>0</w:t>
            </w:r>
          </w:p>
        </w:tc>
        <w:tc>
          <w:tcPr>
            <w:tcW w:w="475" w:type="pct"/>
            <w:tcBorders>
              <w:top w:val="single" w:sz="4" w:space="0" w:color="auto"/>
              <w:left w:val="nil"/>
              <w:bottom w:val="single" w:sz="4" w:space="0" w:color="auto"/>
              <w:right w:val="single" w:sz="4" w:space="0" w:color="auto"/>
            </w:tcBorders>
            <w:shd w:val="clear" w:color="auto" w:fill="FFFFFF" w:themeFill="background1"/>
            <w:noWrap/>
            <w:vAlign w:val="center"/>
          </w:tcPr>
          <w:p w:rsidR="00A70D39" w:rsidRPr="00F66921" w:rsidRDefault="00A70D39" w:rsidP="002151A5">
            <w:pPr>
              <w:jc w:val="right"/>
              <w:rPr>
                <w:b/>
                <w:bCs/>
                <w:color w:val="000000"/>
                <w:sz w:val="16"/>
                <w:szCs w:val="16"/>
              </w:rPr>
            </w:pPr>
            <w:r w:rsidRPr="00F66921">
              <w:rPr>
                <w:b/>
                <w:bCs/>
                <w:color w:val="000000"/>
                <w:sz w:val="16"/>
                <w:szCs w:val="16"/>
              </w:rPr>
              <w:t>0</w:t>
            </w:r>
          </w:p>
        </w:tc>
      </w:tr>
      <w:tr w:rsidR="00A70D39" w:rsidRPr="00F66921" w:rsidTr="002151A5">
        <w:trPr>
          <w:trHeight w:val="254"/>
        </w:trPr>
        <w:tc>
          <w:tcPr>
            <w:tcW w:w="29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70D39" w:rsidRPr="00F66921" w:rsidRDefault="00A70D39" w:rsidP="002151A5">
            <w:pPr>
              <w:ind w:left="259"/>
              <w:rPr>
                <w:b/>
                <w:bCs/>
                <w:i/>
                <w:iCs/>
                <w:sz w:val="16"/>
                <w:szCs w:val="16"/>
              </w:rPr>
            </w:pPr>
            <w:r w:rsidRPr="00F66921">
              <w:rPr>
                <w:bCs/>
                <w:i/>
                <w:iCs/>
                <w:sz w:val="16"/>
                <w:szCs w:val="16"/>
              </w:rPr>
              <w:t>Rozpočtové prostriedky</w:t>
            </w:r>
          </w:p>
        </w:tc>
        <w:tc>
          <w:tcPr>
            <w:tcW w:w="650" w:type="pct"/>
            <w:tcBorders>
              <w:top w:val="single" w:sz="4" w:space="0" w:color="auto"/>
              <w:left w:val="nil"/>
              <w:bottom w:val="single" w:sz="4" w:space="0" w:color="auto"/>
              <w:right w:val="single" w:sz="4" w:space="0" w:color="auto"/>
            </w:tcBorders>
            <w:shd w:val="clear" w:color="auto" w:fill="FFFFFF" w:themeFill="background1"/>
            <w:noWrap/>
            <w:vAlign w:val="center"/>
          </w:tcPr>
          <w:p w:rsidR="00A70D39" w:rsidRPr="00F66921" w:rsidRDefault="00A70D39" w:rsidP="002151A5">
            <w:pPr>
              <w:jc w:val="right"/>
              <w:rPr>
                <w:b/>
                <w:bCs/>
                <w:color w:val="000000"/>
                <w:sz w:val="16"/>
                <w:szCs w:val="16"/>
              </w:rPr>
            </w:pPr>
            <w:r w:rsidRPr="00F66921">
              <w:rPr>
                <w:b/>
                <w:bCs/>
                <w:color w:val="000000"/>
                <w:sz w:val="16"/>
                <w:szCs w:val="16"/>
              </w:rPr>
              <w:t>0</w:t>
            </w:r>
          </w:p>
        </w:tc>
        <w:tc>
          <w:tcPr>
            <w:tcW w:w="473" w:type="pct"/>
            <w:tcBorders>
              <w:top w:val="single" w:sz="4" w:space="0" w:color="auto"/>
              <w:left w:val="nil"/>
              <w:bottom w:val="single" w:sz="4" w:space="0" w:color="auto"/>
              <w:right w:val="single" w:sz="4" w:space="0" w:color="auto"/>
            </w:tcBorders>
            <w:shd w:val="clear" w:color="auto" w:fill="FFFFFF" w:themeFill="background1"/>
            <w:noWrap/>
            <w:vAlign w:val="center"/>
          </w:tcPr>
          <w:p w:rsidR="00A70D39" w:rsidRPr="00F66921" w:rsidRDefault="00A70D39" w:rsidP="002151A5">
            <w:pPr>
              <w:jc w:val="right"/>
              <w:rPr>
                <w:b/>
                <w:bCs/>
                <w:color w:val="000000"/>
                <w:sz w:val="16"/>
                <w:szCs w:val="16"/>
              </w:rPr>
            </w:pPr>
            <w:r w:rsidRPr="00F66921">
              <w:rPr>
                <w:b/>
                <w:bCs/>
                <w:color w:val="000000"/>
                <w:sz w:val="16"/>
                <w:szCs w:val="16"/>
              </w:rPr>
              <w:t>0</w:t>
            </w:r>
          </w:p>
        </w:tc>
        <w:tc>
          <w:tcPr>
            <w:tcW w:w="473" w:type="pct"/>
            <w:tcBorders>
              <w:top w:val="single" w:sz="4" w:space="0" w:color="auto"/>
              <w:left w:val="nil"/>
              <w:bottom w:val="single" w:sz="4" w:space="0" w:color="auto"/>
              <w:right w:val="single" w:sz="4" w:space="0" w:color="auto"/>
            </w:tcBorders>
            <w:shd w:val="clear" w:color="auto" w:fill="FFFFFF" w:themeFill="background1"/>
            <w:noWrap/>
            <w:vAlign w:val="center"/>
          </w:tcPr>
          <w:p w:rsidR="00A70D39" w:rsidRPr="00F66921" w:rsidRDefault="00A70D39" w:rsidP="002151A5">
            <w:pPr>
              <w:jc w:val="right"/>
              <w:rPr>
                <w:b/>
                <w:bCs/>
                <w:color w:val="000000"/>
                <w:sz w:val="16"/>
                <w:szCs w:val="16"/>
              </w:rPr>
            </w:pPr>
            <w:r w:rsidRPr="00F66921">
              <w:rPr>
                <w:b/>
                <w:bCs/>
                <w:color w:val="000000"/>
                <w:sz w:val="16"/>
                <w:szCs w:val="16"/>
              </w:rPr>
              <w:t>0</w:t>
            </w:r>
          </w:p>
        </w:tc>
        <w:tc>
          <w:tcPr>
            <w:tcW w:w="475" w:type="pct"/>
            <w:tcBorders>
              <w:top w:val="single" w:sz="4" w:space="0" w:color="auto"/>
              <w:left w:val="nil"/>
              <w:bottom w:val="single" w:sz="4" w:space="0" w:color="auto"/>
              <w:right w:val="single" w:sz="4" w:space="0" w:color="auto"/>
            </w:tcBorders>
            <w:shd w:val="clear" w:color="auto" w:fill="FFFFFF" w:themeFill="background1"/>
            <w:noWrap/>
            <w:vAlign w:val="center"/>
          </w:tcPr>
          <w:p w:rsidR="00A70D39" w:rsidRPr="00F66921" w:rsidRDefault="00A70D39" w:rsidP="002151A5">
            <w:pPr>
              <w:jc w:val="right"/>
              <w:rPr>
                <w:b/>
                <w:bCs/>
                <w:color w:val="000000"/>
                <w:sz w:val="16"/>
                <w:szCs w:val="16"/>
              </w:rPr>
            </w:pPr>
            <w:r w:rsidRPr="00F66921">
              <w:rPr>
                <w:b/>
                <w:bCs/>
                <w:color w:val="000000"/>
                <w:sz w:val="16"/>
                <w:szCs w:val="16"/>
              </w:rPr>
              <w:t>0</w:t>
            </w:r>
          </w:p>
        </w:tc>
      </w:tr>
      <w:tr w:rsidR="00A70D39" w:rsidRPr="00F66921" w:rsidTr="002151A5">
        <w:trPr>
          <w:trHeight w:val="254"/>
        </w:trPr>
        <w:tc>
          <w:tcPr>
            <w:tcW w:w="29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70D39" w:rsidRPr="00F66921" w:rsidRDefault="00A70D39" w:rsidP="002151A5">
            <w:pPr>
              <w:ind w:left="259"/>
              <w:rPr>
                <w:bCs/>
                <w:i/>
                <w:iCs/>
                <w:sz w:val="16"/>
                <w:szCs w:val="16"/>
              </w:rPr>
            </w:pPr>
            <w:r w:rsidRPr="00F66921">
              <w:rPr>
                <w:bCs/>
                <w:i/>
                <w:iCs/>
                <w:sz w:val="16"/>
                <w:szCs w:val="16"/>
              </w:rPr>
              <w:t>EÚ zdroje</w:t>
            </w:r>
          </w:p>
        </w:tc>
        <w:tc>
          <w:tcPr>
            <w:tcW w:w="650" w:type="pct"/>
            <w:tcBorders>
              <w:top w:val="single" w:sz="4" w:space="0" w:color="auto"/>
              <w:left w:val="nil"/>
              <w:bottom w:val="single" w:sz="4" w:space="0" w:color="auto"/>
              <w:right w:val="single" w:sz="4" w:space="0" w:color="auto"/>
            </w:tcBorders>
            <w:shd w:val="clear" w:color="auto" w:fill="FFFFFF" w:themeFill="background1"/>
            <w:noWrap/>
            <w:vAlign w:val="center"/>
          </w:tcPr>
          <w:p w:rsidR="00A70D39" w:rsidRPr="00F66921" w:rsidRDefault="00A70D39" w:rsidP="002151A5">
            <w:pPr>
              <w:jc w:val="right"/>
              <w:rPr>
                <w:b/>
                <w:bCs/>
                <w:color w:val="000000"/>
                <w:sz w:val="16"/>
                <w:szCs w:val="16"/>
              </w:rPr>
            </w:pPr>
            <w:r w:rsidRPr="00F66921">
              <w:rPr>
                <w:b/>
                <w:bCs/>
                <w:color w:val="000000"/>
                <w:sz w:val="16"/>
                <w:szCs w:val="16"/>
              </w:rPr>
              <w:t>0</w:t>
            </w:r>
          </w:p>
        </w:tc>
        <w:tc>
          <w:tcPr>
            <w:tcW w:w="473" w:type="pct"/>
            <w:tcBorders>
              <w:top w:val="single" w:sz="4" w:space="0" w:color="auto"/>
              <w:left w:val="nil"/>
              <w:bottom w:val="single" w:sz="4" w:space="0" w:color="auto"/>
              <w:right w:val="single" w:sz="4" w:space="0" w:color="auto"/>
            </w:tcBorders>
            <w:shd w:val="clear" w:color="auto" w:fill="FFFFFF" w:themeFill="background1"/>
            <w:noWrap/>
            <w:vAlign w:val="center"/>
          </w:tcPr>
          <w:p w:rsidR="00A70D39" w:rsidRPr="00F66921" w:rsidRDefault="00A70D39" w:rsidP="002151A5">
            <w:pPr>
              <w:jc w:val="right"/>
              <w:rPr>
                <w:b/>
                <w:bCs/>
                <w:color w:val="000000"/>
                <w:sz w:val="16"/>
                <w:szCs w:val="16"/>
              </w:rPr>
            </w:pPr>
            <w:r w:rsidRPr="00F66921">
              <w:rPr>
                <w:b/>
                <w:bCs/>
                <w:color w:val="000000"/>
                <w:sz w:val="16"/>
                <w:szCs w:val="16"/>
              </w:rPr>
              <w:t>0</w:t>
            </w:r>
          </w:p>
        </w:tc>
        <w:tc>
          <w:tcPr>
            <w:tcW w:w="473" w:type="pct"/>
            <w:tcBorders>
              <w:top w:val="single" w:sz="4" w:space="0" w:color="auto"/>
              <w:left w:val="nil"/>
              <w:bottom w:val="single" w:sz="4" w:space="0" w:color="auto"/>
              <w:right w:val="single" w:sz="4" w:space="0" w:color="auto"/>
            </w:tcBorders>
            <w:shd w:val="clear" w:color="auto" w:fill="FFFFFF" w:themeFill="background1"/>
            <w:noWrap/>
            <w:vAlign w:val="center"/>
          </w:tcPr>
          <w:p w:rsidR="00A70D39" w:rsidRPr="00F66921" w:rsidRDefault="00A70D39" w:rsidP="002151A5">
            <w:pPr>
              <w:jc w:val="right"/>
              <w:rPr>
                <w:b/>
                <w:bCs/>
                <w:color w:val="000000"/>
                <w:sz w:val="16"/>
                <w:szCs w:val="16"/>
              </w:rPr>
            </w:pPr>
            <w:r w:rsidRPr="00F66921">
              <w:rPr>
                <w:b/>
                <w:bCs/>
                <w:color w:val="000000"/>
                <w:sz w:val="16"/>
                <w:szCs w:val="16"/>
              </w:rPr>
              <w:t>0</w:t>
            </w:r>
          </w:p>
        </w:tc>
        <w:tc>
          <w:tcPr>
            <w:tcW w:w="475" w:type="pct"/>
            <w:tcBorders>
              <w:top w:val="single" w:sz="4" w:space="0" w:color="auto"/>
              <w:left w:val="nil"/>
              <w:bottom w:val="single" w:sz="4" w:space="0" w:color="auto"/>
              <w:right w:val="single" w:sz="4" w:space="0" w:color="auto"/>
            </w:tcBorders>
            <w:shd w:val="clear" w:color="auto" w:fill="FFFFFF" w:themeFill="background1"/>
            <w:noWrap/>
            <w:vAlign w:val="center"/>
          </w:tcPr>
          <w:p w:rsidR="00A70D39" w:rsidRPr="00F66921" w:rsidRDefault="00A70D39" w:rsidP="002151A5">
            <w:pPr>
              <w:jc w:val="right"/>
              <w:rPr>
                <w:b/>
                <w:bCs/>
                <w:color w:val="000000"/>
                <w:sz w:val="16"/>
                <w:szCs w:val="16"/>
              </w:rPr>
            </w:pPr>
            <w:r w:rsidRPr="00F66921">
              <w:rPr>
                <w:b/>
                <w:bCs/>
                <w:color w:val="000000"/>
                <w:sz w:val="16"/>
                <w:szCs w:val="16"/>
              </w:rPr>
              <w:t>0</w:t>
            </w:r>
          </w:p>
        </w:tc>
      </w:tr>
      <w:tr w:rsidR="00A70D39" w:rsidRPr="00F66921" w:rsidTr="002151A5">
        <w:trPr>
          <w:trHeight w:val="254"/>
        </w:trPr>
        <w:tc>
          <w:tcPr>
            <w:tcW w:w="29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70D39" w:rsidRPr="00F66921" w:rsidRDefault="00A70D39" w:rsidP="002151A5">
            <w:pPr>
              <w:rPr>
                <w:b/>
                <w:bCs/>
                <w:i/>
                <w:iCs/>
                <w:sz w:val="16"/>
                <w:szCs w:val="16"/>
              </w:rPr>
            </w:pPr>
            <w:r w:rsidRPr="00F66921">
              <w:rPr>
                <w:b/>
                <w:bCs/>
                <w:i/>
                <w:iCs/>
                <w:sz w:val="16"/>
                <w:szCs w:val="16"/>
              </w:rPr>
              <w:t>- vplyv na obce</w:t>
            </w:r>
          </w:p>
        </w:tc>
        <w:tc>
          <w:tcPr>
            <w:tcW w:w="650" w:type="pct"/>
            <w:tcBorders>
              <w:top w:val="single" w:sz="4" w:space="0" w:color="auto"/>
              <w:left w:val="nil"/>
              <w:bottom w:val="single" w:sz="4" w:space="0" w:color="auto"/>
              <w:right w:val="single" w:sz="4" w:space="0" w:color="auto"/>
            </w:tcBorders>
            <w:shd w:val="clear" w:color="auto" w:fill="FFFFFF" w:themeFill="background1"/>
            <w:noWrap/>
            <w:vAlign w:val="center"/>
          </w:tcPr>
          <w:p w:rsidR="00A70D39" w:rsidRPr="00F66921" w:rsidRDefault="00A70D39" w:rsidP="002151A5">
            <w:pPr>
              <w:jc w:val="right"/>
              <w:rPr>
                <w:b/>
                <w:bCs/>
                <w:color w:val="000000"/>
                <w:sz w:val="16"/>
                <w:szCs w:val="16"/>
              </w:rPr>
            </w:pPr>
            <w:r w:rsidRPr="00F66921">
              <w:rPr>
                <w:b/>
                <w:bCs/>
                <w:color w:val="000000"/>
                <w:sz w:val="16"/>
                <w:szCs w:val="16"/>
              </w:rPr>
              <w:t>0</w:t>
            </w:r>
          </w:p>
        </w:tc>
        <w:tc>
          <w:tcPr>
            <w:tcW w:w="473" w:type="pct"/>
            <w:tcBorders>
              <w:top w:val="single" w:sz="4" w:space="0" w:color="auto"/>
              <w:left w:val="nil"/>
              <w:bottom w:val="single" w:sz="4" w:space="0" w:color="auto"/>
              <w:right w:val="single" w:sz="4" w:space="0" w:color="auto"/>
            </w:tcBorders>
            <w:shd w:val="clear" w:color="auto" w:fill="FFFFFF" w:themeFill="background1"/>
            <w:noWrap/>
            <w:vAlign w:val="center"/>
          </w:tcPr>
          <w:p w:rsidR="00A70D39" w:rsidRPr="00F66921" w:rsidRDefault="00A70D39" w:rsidP="002151A5">
            <w:pPr>
              <w:jc w:val="right"/>
              <w:rPr>
                <w:b/>
                <w:bCs/>
                <w:color w:val="000000"/>
                <w:sz w:val="16"/>
                <w:szCs w:val="16"/>
              </w:rPr>
            </w:pPr>
            <w:r w:rsidRPr="00F66921">
              <w:rPr>
                <w:b/>
                <w:bCs/>
                <w:color w:val="000000"/>
                <w:sz w:val="16"/>
                <w:szCs w:val="16"/>
              </w:rPr>
              <w:t>0</w:t>
            </w:r>
          </w:p>
        </w:tc>
        <w:tc>
          <w:tcPr>
            <w:tcW w:w="473" w:type="pct"/>
            <w:tcBorders>
              <w:top w:val="single" w:sz="4" w:space="0" w:color="auto"/>
              <w:left w:val="nil"/>
              <w:bottom w:val="single" w:sz="4" w:space="0" w:color="auto"/>
              <w:right w:val="single" w:sz="4" w:space="0" w:color="auto"/>
            </w:tcBorders>
            <w:shd w:val="clear" w:color="auto" w:fill="FFFFFF" w:themeFill="background1"/>
            <w:noWrap/>
            <w:vAlign w:val="center"/>
          </w:tcPr>
          <w:p w:rsidR="00A70D39" w:rsidRPr="00F66921" w:rsidRDefault="00A70D39" w:rsidP="002151A5">
            <w:pPr>
              <w:jc w:val="right"/>
              <w:rPr>
                <w:b/>
                <w:bCs/>
                <w:color w:val="000000"/>
                <w:sz w:val="16"/>
                <w:szCs w:val="16"/>
              </w:rPr>
            </w:pPr>
            <w:r w:rsidRPr="00F66921">
              <w:rPr>
                <w:b/>
                <w:bCs/>
                <w:color w:val="000000"/>
                <w:sz w:val="16"/>
                <w:szCs w:val="16"/>
              </w:rPr>
              <w:t>0</w:t>
            </w:r>
          </w:p>
        </w:tc>
        <w:tc>
          <w:tcPr>
            <w:tcW w:w="475" w:type="pct"/>
            <w:tcBorders>
              <w:top w:val="single" w:sz="4" w:space="0" w:color="auto"/>
              <w:left w:val="nil"/>
              <w:bottom w:val="single" w:sz="4" w:space="0" w:color="auto"/>
              <w:right w:val="single" w:sz="4" w:space="0" w:color="auto"/>
            </w:tcBorders>
            <w:shd w:val="clear" w:color="auto" w:fill="FFFFFF" w:themeFill="background1"/>
            <w:noWrap/>
            <w:vAlign w:val="center"/>
          </w:tcPr>
          <w:p w:rsidR="00A70D39" w:rsidRPr="00F66921" w:rsidRDefault="00A70D39" w:rsidP="002151A5">
            <w:pPr>
              <w:jc w:val="right"/>
              <w:rPr>
                <w:b/>
                <w:bCs/>
                <w:color w:val="000000"/>
                <w:sz w:val="16"/>
                <w:szCs w:val="16"/>
              </w:rPr>
            </w:pPr>
            <w:r w:rsidRPr="00F66921">
              <w:rPr>
                <w:b/>
                <w:bCs/>
                <w:color w:val="000000"/>
                <w:sz w:val="16"/>
                <w:szCs w:val="16"/>
              </w:rPr>
              <w:t>0</w:t>
            </w:r>
          </w:p>
        </w:tc>
      </w:tr>
      <w:tr w:rsidR="00A70D39" w:rsidRPr="00F66921" w:rsidTr="002151A5">
        <w:trPr>
          <w:trHeight w:val="254"/>
        </w:trPr>
        <w:tc>
          <w:tcPr>
            <w:tcW w:w="29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70D39" w:rsidRPr="00F66921" w:rsidRDefault="00A70D39" w:rsidP="002151A5">
            <w:pPr>
              <w:rPr>
                <w:b/>
                <w:bCs/>
                <w:i/>
                <w:iCs/>
                <w:sz w:val="16"/>
                <w:szCs w:val="16"/>
              </w:rPr>
            </w:pPr>
            <w:r w:rsidRPr="00F66921">
              <w:rPr>
                <w:b/>
                <w:bCs/>
                <w:i/>
                <w:iCs/>
                <w:sz w:val="16"/>
                <w:szCs w:val="16"/>
              </w:rPr>
              <w:t>- vplyv na vyššie územné celky</w:t>
            </w:r>
          </w:p>
        </w:tc>
        <w:tc>
          <w:tcPr>
            <w:tcW w:w="650" w:type="pct"/>
            <w:tcBorders>
              <w:top w:val="single" w:sz="4" w:space="0" w:color="auto"/>
              <w:left w:val="nil"/>
              <w:bottom w:val="single" w:sz="4" w:space="0" w:color="auto"/>
              <w:right w:val="single" w:sz="4" w:space="0" w:color="auto"/>
            </w:tcBorders>
            <w:shd w:val="clear" w:color="auto" w:fill="FFFFFF" w:themeFill="background1"/>
            <w:noWrap/>
            <w:vAlign w:val="center"/>
          </w:tcPr>
          <w:p w:rsidR="00A70D39" w:rsidRPr="00F66921" w:rsidRDefault="00A70D39" w:rsidP="002151A5">
            <w:pPr>
              <w:jc w:val="right"/>
              <w:rPr>
                <w:b/>
                <w:bCs/>
                <w:color w:val="000000"/>
                <w:sz w:val="16"/>
                <w:szCs w:val="16"/>
              </w:rPr>
            </w:pPr>
            <w:r w:rsidRPr="00F66921">
              <w:rPr>
                <w:b/>
                <w:bCs/>
                <w:color w:val="000000"/>
                <w:sz w:val="16"/>
                <w:szCs w:val="16"/>
              </w:rPr>
              <w:t>0</w:t>
            </w:r>
          </w:p>
        </w:tc>
        <w:tc>
          <w:tcPr>
            <w:tcW w:w="473" w:type="pct"/>
            <w:tcBorders>
              <w:top w:val="single" w:sz="4" w:space="0" w:color="auto"/>
              <w:left w:val="nil"/>
              <w:bottom w:val="single" w:sz="4" w:space="0" w:color="auto"/>
              <w:right w:val="single" w:sz="4" w:space="0" w:color="auto"/>
            </w:tcBorders>
            <w:shd w:val="clear" w:color="auto" w:fill="FFFFFF" w:themeFill="background1"/>
            <w:noWrap/>
            <w:vAlign w:val="center"/>
          </w:tcPr>
          <w:p w:rsidR="00A70D39" w:rsidRPr="00F66921" w:rsidRDefault="00A70D39" w:rsidP="002151A5">
            <w:pPr>
              <w:jc w:val="right"/>
              <w:rPr>
                <w:b/>
                <w:bCs/>
                <w:color w:val="000000"/>
                <w:sz w:val="16"/>
                <w:szCs w:val="16"/>
              </w:rPr>
            </w:pPr>
            <w:r w:rsidRPr="00F66921">
              <w:rPr>
                <w:b/>
                <w:bCs/>
                <w:color w:val="000000"/>
                <w:sz w:val="16"/>
                <w:szCs w:val="16"/>
              </w:rPr>
              <w:t>0</w:t>
            </w:r>
          </w:p>
        </w:tc>
        <w:tc>
          <w:tcPr>
            <w:tcW w:w="473" w:type="pct"/>
            <w:tcBorders>
              <w:top w:val="single" w:sz="4" w:space="0" w:color="auto"/>
              <w:left w:val="nil"/>
              <w:bottom w:val="single" w:sz="4" w:space="0" w:color="auto"/>
              <w:right w:val="single" w:sz="4" w:space="0" w:color="auto"/>
            </w:tcBorders>
            <w:shd w:val="clear" w:color="auto" w:fill="FFFFFF" w:themeFill="background1"/>
            <w:noWrap/>
            <w:vAlign w:val="center"/>
          </w:tcPr>
          <w:p w:rsidR="00A70D39" w:rsidRPr="00F66921" w:rsidRDefault="00A70D39" w:rsidP="002151A5">
            <w:pPr>
              <w:jc w:val="right"/>
              <w:rPr>
                <w:b/>
                <w:bCs/>
                <w:color w:val="000000"/>
                <w:sz w:val="16"/>
                <w:szCs w:val="16"/>
              </w:rPr>
            </w:pPr>
            <w:r w:rsidRPr="00F66921">
              <w:rPr>
                <w:b/>
                <w:bCs/>
                <w:color w:val="000000"/>
                <w:sz w:val="16"/>
                <w:szCs w:val="16"/>
              </w:rPr>
              <w:t>0</w:t>
            </w:r>
          </w:p>
        </w:tc>
        <w:tc>
          <w:tcPr>
            <w:tcW w:w="475" w:type="pct"/>
            <w:tcBorders>
              <w:top w:val="single" w:sz="4" w:space="0" w:color="auto"/>
              <w:left w:val="nil"/>
              <w:bottom w:val="single" w:sz="4" w:space="0" w:color="auto"/>
              <w:right w:val="single" w:sz="4" w:space="0" w:color="auto"/>
            </w:tcBorders>
            <w:shd w:val="clear" w:color="auto" w:fill="FFFFFF" w:themeFill="background1"/>
            <w:noWrap/>
            <w:vAlign w:val="center"/>
          </w:tcPr>
          <w:p w:rsidR="00A70D39" w:rsidRPr="00F66921" w:rsidRDefault="00A70D39" w:rsidP="002151A5">
            <w:pPr>
              <w:jc w:val="right"/>
              <w:rPr>
                <w:b/>
                <w:bCs/>
                <w:color w:val="000000"/>
                <w:sz w:val="16"/>
                <w:szCs w:val="16"/>
              </w:rPr>
            </w:pPr>
            <w:r w:rsidRPr="00F66921">
              <w:rPr>
                <w:b/>
                <w:bCs/>
                <w:color w:val="000000"/>
                <w:sz w:val="16"/>
                <w:szCs w:val="16"/>
              </w:rPr>
              <w:t>0</w:t>
            </w:r>
          </w:p>
        </w:tc>
      </w:tr>
      <w:tr w:rsidR="00A70D39" w:rsidRPr="00F66921" w:rsidTr="002151A5">
        <w:trPr>
          <w:trHeight w:val="254"/>
        </w:trPr>
        <w:tc>
          <w:tcPr>
            <w:tcW w:w="29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70D39" w:rsidRPr="00F66921" w:rsidRDefault="00A70D39" w:rsidP="002151A5">
            <w:pPr>
              <w:rPr>
                <w:b/>
                <w:bCs/>
                <w:i/>
                <w:iCs/>
                <w:sz w:val="16"/>
                <w:szCs w:val="16"/>
              </w:rPr>
            </w:pPr>
            <w:r w:rsidRPr="00F66921">
              <w:rPr>
                <w:b/>
                <w:bCs/>
                <w:i/>
                <w:iCs/>
                <w:sz w:val="16"/>
                <w:szCs w:val="16"/>
              </w:rPr>
              <w:t>- vplyv na ostatné subjekty verejnej správy</w:t>
            </w:r>
          </w:p>
        </w:tc>
        <w:tc>
          <w:tcPr>
            <w:tcW w:w="650" w:type="pct"/>
            <w:tcBorders>
              <w:top w:val="single" w:sz="4" w:space="0" w:color="auto"/>
              <w:left w:val="nil"/>
              <w:bottom w:val="single" w:sz="4" w:space="0" w:color="auto"/>
              <w:right w:val="single" w:sz="4" w:space="0" w:color="auto"/>
            </w:tcBorders>
            <w:shd w:val="clear" w:color="auto" w:fill="FFFFFF" w:themeFill="background1"/>
            <w:noWrap/>
            <w:vAlign w:val="center"/>
          </w:tcPr>
          <w:p w:rsidR="00A70D39" w:rsidRPr="00F66921" w:rsidRDefault="00A70D39" w:rsidP="002151A5">
            <w:pPr>
              <w:jc w:val="right"/>
              <w:rPr>
                <w:b/>
                <w:bCs/>
                <w:color w:val="000000"/>
                <w:sz w:val="16"/>
                <w:szCs w:val="16"/>
              </w:rPr>
            </w:pPr>
            <w:r w:rsidRPr="00F66921">
              <w:rPr>
                <w:b/>
                <w:bCs/>
                <w:color w:val="000000"/>
                <w:sz w:val="16"/>
                <w:szCs w:val="16"/>
              </w:rPr>
              <w:t>0</w:t>
            </w:r>
          </w:p>
        </w:tc>
        <w:tc>
          <w:tcPr>
            <w:tcW w:w="473" w:type="pct"/>
            <w:tcBorders>
              <w:top w:val="single" w:sz="4" w:space="0" w:color="auto"/>
              <w:left w:val="nil"/>
              <w:bottom w:val="single" w:sz="4" w:space="0" w:color="auto"/>
              <w:right w:val="single" w:sz="4" w:space="0" w:color="auto"/>
            </w:tcBorders>
            <w:shd w:val="clear" w:color="auto" w:fill="FFFFFF" w:themeFill="background1"/>
            <w:noWrap/>
            <w:vAlign w:val="center"/>
          </w:tcPr>
          <w:p w:rsidR="00A70D39" w:rsidRPr="00F66921" w:rsidRDefault="00A70D39" w:rsidP="002151A5">
            <w:pPr>
              <w:jc w:val="right"/>
              <w:rPr>
                <w:b/>
                <w:bCs/>
                <w:color w:val="000000"/>
                <w:sz w:val="16"/>
                <w:szCs w:val="16"/>
              </w:rPr>
            </w:pPr>
            <w:r w:rsidRPr="00F66921">
              <w:rPr>
                <w:b/>
                <w:bCs/>
                <w:color w:val="000000"/>
                <w:sz w:val="16"/>
                <w:szCs w:val="16"/>
              </w:rPr>
              <w:t>0</w:t>
            </w:r>
          </w:p>
        </w:tc>
        <w:tc>
          <w:tcPr>
            <w:tcW w:w="473" w:type="pct"/>
            <w:tcBorders>
              <w:top w:val="single" w:sz="4" w:space="0" w:color="auto"/>
              <w:left w:val="nil"/>
              <w:bottom w:val="single" w:sz="4" w:space="0" w:color="auto"/>
              <w:right w:val="single" w:sz="4" w:space="0" w:color="auto"/>
            </w:tcBorders>
            <w:shd w:val="clear" w:color="auto" w:fill="FFFFFF" w:themeFill="background1"/>
            <w:noWrap/>
            <w:vAlign w:val="center"/>
          </w:tcPr>
          <w:p w:rsidR="00A70D39" w:rsidRPr="00F66921" w:rsidRDefault="00A70D39" w:rsidP="002151A5">
            <w:pPr>
              <w:jc w:val="right"/>
              <w:rPr>
                <w:b/>
                <w:bCs/>
                <w:color w:val="000000"/>
                <w:sz w:val="16"/>
                <w:szCs w:val="16"/>
              </w:rPr>
            </w:pPr>
            <w:r w:rsidRPr="00F66921">
              <w:rPr>
                <w:b/>
                <w:bCs/>
                <w:color w:val="000000"/>
                <w:sz w:val="16"/>
                <w:szCs w:val="16"/>
              </w:rPr>
              <w:t>0</w:t>
            </w:r>
          </w:p>
        </w:tc>
        <w:tc>
          <w:tcPr>
            <w:tcW w:w="475" w:type="pct"/>
            <w:tcBorders>
              <w:top w:val="single" w:sz="4" w:space="0" w:color="auto"/>
              <w:left w:val="nil"/>
              <w:bottom w:val="single" w:sz="4" w:space="0" w:color="auto"/>
              <w:right w:val="single" w:sz="4" w:space="0" w:color="auto"/>
            </w:tcBorders>
            <w:shd w:val="clear" w:color="auto" w:fill="FFFFFF" w:themeFill="background1"/>
            <w:noWrap/>
            <w:vAlign w:val="center"/>
          </w:tcPr>
          <w:p w:rsidR="00A70D39" w:rsidRPr="00F66921" w:rsidRDefault="00A70D39" w:rsidP="002151A5">
            <w:pPr>
              <w:jc w:val="right"/>
              <w:rPr>
                <w:b/>
                <w:bCs/>
                <w:color w:val="000000"/>
                <w:sz w:val="16"/>
                <w:szCs w:val="16"/>
              </w:rPr>
            </w:pPr>
            <w:r w:rsidRPr="00F66921">
              <w:rPr>
                <w:b/>
                <w:bCs/>
                <w:color w:val="000000"/>
                <w:sz w:val="16"/>
                <w:szCs w:val="16"/>
              </w:rPr>
              <w:t>0</w:t>
            </w:r>
          </w:p>
        </w:tc>
      </w:tr>
      <w:tr w:rsidR="00A70D39" w:rsidRPr="00F66921" w:rsidTr="002151A5">
        <w:trPr>
          <w:trHeight w:val="254"/>
        </w:trPr>
        <w:tc>
          <w:tcPr>
            <w:tcW w:w="2929" w:type="pct"/>
            <w:tcBorders>
              <w:top w:val="nil"/>
              <w:left w:val="single" w:sz="4" w:space="0" w:color="auto"/>
              <w:bottom w:val="single" w:sz="4" w:space="0" w:color="auto"/>
              <w:right w:val="single" w:sz="4" w:space="0" w:color="auto"/>
            </w:tcBorders>
            <w:shd w:val="clear" w:color="000000" w:fill="C0C0C0"/>
            <w:noWrap/>
            <w:vAlign w:val="center"/>
          </w:tcPr>
          <w:p w:rsidR="00A70D39" w:rsidRPr="00F66921" w:rsidRDefault="00A70D39" w:rsidP="002151A5">
            <w:pPr>
              <w:rPr>
                <w:b/>
                <w:bCs/>
                <w:color w:val="000000"/>
                <w:sz w:val="16"/>
                <w:szCs w:val="16"/>
              </w:rPr>
            </w:pPr>
            <w:r w:rsidRPr="00F66921">
              <w:rPr>
                <w:b/>
                <w:bCs/>
                <w:color w:val="000000"/>
                <w:sz w:val="16"/>
                <w:szCs w:val="16"/>
              </w:rPr>
              <w:t>Výdavky verejnej správy celkom</w:t>
            </w:r>
          </w:p>
        </w:tc>
        <w:tc>
          <w:tcPr>
            <w:tcW w:w="650" w:type="pct"/>
            <w:tcBorders>
              <w:top w:val="nil"/>
              <w:left w:val="nil"/>
              <w:bottom w:val="single" w:sz="4" w:space="0" w:color="auto"/>
              <w:right w:val="single" w:sz="4" w:space="0" w:color="auto"/>
            </w:tcBorders>
            <w:shd w:val="clear" w:color="000000" w:fill="BFBFBF"/>
            <w:noWrap/>
            <w:vAlign w:val="center"/>
          </w:tcPr>
          <w:p w:rsidR="00A70D39" w:rsidRPr="00F66921" w:rsidRDefault="00A70D39" w:rsidP="002151A5">
            <w:pPr>
              <w:jc w:val="right"/>
              <w:rPr>
                <w:b/>
                <w:bCs/>
                <w:color w:val="000000"/>
                <w:sz w:val="16"/>
                <w:szCs w:val="16"/>
              </w:rPr>
            </w:pPr>
            <w:r w:rsidRPr="00F66921">
              <w:rPr>
                <w:b/>
                <w:bCs/>
                <w:color w:val="000000"/>
                <w:sz w:val="16"/>
                <w:szCs w:val="16"/>
              </w:rPr>
              <w:t>342 888,00</w:t>
            </w:r>
          </w:p>
        </w:tc>
        <w:tc>
          <w:tcPr>
            <w:tcW w:w="473" w:type="pct"/>
            <w:tcBorders>
              <w:top w:val="nil"/>
              <w:left w:val="nil"/>
              <w:bottom w:val="single" w:sz="4" w:space="0" w:color="auto"/>
              <w:right w:val="single" w:sz="4" w:space="0" w:color="auto"/>
            </w:tcBorders>
            <w:shd w:val="clear" w:color="000000" w:fill="BFBFBF"/>
            <w:noWrap/>
            <w:vAlign w:val="center"/>
          </w:tcPr>
          <w:p w:rsidR="00A70D39" w:rsidRPr="00F66921" w:rsidRDefault="00A70D39" w:rsidP="002151A5">
            <w:pPr>
              <w:jc w:val="right"/>
              <w:rPr>
                <w:b/>
                <w:bCs/>
                <w:color w:val="000000"/>
                <w:sz w:val="16"/>
                <w:szCs w:val="16"/>
              </w:rPr>
            </w:pPr>
            <w:r w:rsidRPr="00F66921">
              <w:rPr>
                <w:b/>
                <w:bCs/>
                <w:color w:val="000000"/>
                <w:sz w:val="16"/>
                <w:szCs w:val="16"/>
              </w:rPr>
              <w:t>213 888,00</w:t>
            </w:r>
          </w:p>
        </w:tc>
        <w:tc>
          <w:tcPr>
            <w:tcW w:w="473" w:type="pct"/>
            <w:tcBorders>
              <w:top w:val="nil"/>
              <w:left w:val="nil"/>
              <w:bottom w:val="single" w:sz="4" w:space="0" w:color="auto"/>
              <w:right w:val="single" w:sz="4" w:space="0" w:color="auto"/>
            </w:tcBorders>
            <w:shd w:val="clear" w:color="000000" w:fill="BFBFBF"/>
            <w:noWrap/>
            <w:vAlign w:val="center"/>
          </w:tcPr>
          <w:p w:rsidR="00A70D39" w:rsidRPr="00F66921" w:rsidRDefault="00A70D39" w:rsidP="002151A5">
            <w:pPr>
              <w:jc w:val="right"/>
              <w:rPr>
                <w:b/>
                <w:bCs/>
                <w:color w:val="000000"/>
                <w:sz w:val="16"/>
                <w:szCs w:val="16"/>
              </w:rPr>
            </w:pPr>
            <w:r w:rsidRPr="00F66921">
              <w:rPr>
                <w:b/>
                <w:bCs/>
                <w:color w:val="000000"/>
                <w:sz w:val="16"/>
                <w:szCs w:val="16"/>
              </w:rPr>
              <w:t>0,00</w:t>
            </w:r>
          </w:p>
        </w:tc>
        <w:tc>
          <w:tcPr>
            <w:tcW w:w="475" w:type="pct"/>
            <w:tcBorders>
              <w:top w:val="nil"/>
              <w:left w:val="nil"/>
              <w:bottom w:val="single" w:sz="4" w:space="0" w:color="auto"/>
              <w:right w:val="single" w:sz="4" w:space="0" w:color="auto"/>
            </w:tcBorders>
            <w:shd w:val="clear" w:color="000000" w:fill="BFBFBF"/>
            <w:noWrap/>
            <w:vAlign w:val="center"/>
          </w:tcPr>
          <w:p w:rsidR="00A70D39" w:rsidRPr="00F66921" w:rsidRDefault="00A70D39" w:rsidP="002151A5">
            <w:pPr>
              <w:jc w:val="right"/>
              <w:rPr>
                <w:b/>
                <w:bCs/>
                <w:color w:val="000000"/>
                <w:sz w:val="16"/>
                <w:szCs w:val="16"/>
              </w:rPr>
            </w:pPr>
            <w:r w:rsidRPr="00F66921">
              <w:rPr>
                <w:b/>
                <w:bCs/>
                <w:color w:val="000000"/>
                <w:sz w:val="16"/>
                <w:szCs w:val="16"/>
              </w:rPr>
              <w:t>0,00</w:t>
            </w:r>
          </w:p>
        </w:tc>
      </w:tr>
      <w:tr w:rsidR="00A70D39" w:rsidRPr="00F66921" w:rsidTr="002151A5">
        <w:trPr>
          <w:trHeight w:val="254"/>
        </w:trPr>
        <w:tc>
          <w:tcPr>
            <w:tcW w:w="2929" w:type="pct"/>
            <w:tcBorders>
              <w:top w:val="nil"/>
              <w:left w:val="single" w:sz="4" w:space="0" w:color="auto"/>
              <w:bottom w:val="single" w:sz="4" w:space="0" w:color="auto"/>
              <w:right w:val="single" w:sz="4" w:space="0" w:color="auto"/>
            </w:tcBorders>
            <w:noWrap/>
            <w:vAlign w:val="center"/>
            <w:hideMark/>
          </w:tcPr>
          <w:p w:rsidR="00A70D39" w:rsidRPr="00F66921" w:rsidRDefault="00A70D39" w:rsidP="002151A5">
            <w:pPr>
              <w:rPr>
                <w:color w:val="000000"/>
                <w:sz w:val="16"/>
                <w:szCs w:val="16"/>
              </w:rPr>
            </w:pPr>
            <w:r w:rsidRPr="00F66921">
              <w:rPr>
                <w:color w:val="000000"/>
                <w:sz w:val="16"/>
                <w:szCs w:val="16"/>
              </w:rPr>
              <w:t xml:space="preserve">v tom:  </w:t>
            </w:r>
            <w:r w:rsidRPr="00F66921">
              <w:rPr>
                <w:bCs/>
                <w:i/>
                <w:iCs/>
                <w:color w:val="000000"/>
                <w:sz w:val="16"/>
                <w:szCs w:val="16"/>
              </w:rPr>
              <w:t>kapitola MF SR/0EK 0D IT financované zo ŠR – MF SR (</w:t>
            </w:r>
            <w:proofErr w:type="spellStart"/>
            <w:r w:rsidRPr="00F66921">
              <w:rPr>
                <w:bCs/>
                <w:i/>
                <w:iCs/>
                <w:color w:val="000000"/>
                <w:sz w:val="16"/>
                <w:szCs w:val="16"/>
              </w:rPr>
              <w:t>org</w:t>
            </w:r>
            <w:proofErr w:type="spellEnd"/>
            <w:r w:rsidRPr="00F66921">
              <w:rPr>
                <w:bCs/>
                <w:i/>
                <w:iCs/>
                <w:color w:val="000000"/>
                <w:sz w:val="16"/>
                <w:szCs w:val="16"/>
              </w:rPr>
              <w:t>. MF SR – úrad)</w:t>
            </w:r>
          </w:p>
        </w:tc>
        <w:tc>
          <w:tcPr>
            <w:tcW w:w="650" w:type="pct"/>
            <w:tcBorders>
              <w:top w:val="nil"/>
              <w:left w:val="nil"/>
              <w:bottom w:val="single" w:sz="4" w:space="0" w:color="auto"/>
              <w:right w:val="single" w:sz="4" w:space="0" w:color="auto"/>
            </w:tcBorders>
            <w:noWrap/>
            <w:vAlign w:val="center"/>
          </w:tcPr>
          <w:p w:rsidR="00A70D39" w:rsidRPr="00F66921" w:rsidRDefault="00A70D39" w:rsidP="002151A5">
            <w:pPr>
              <w:jc w:val="right"/>
              <w:rPr>
                <w:bCs/>
                <w:color w:val="000000"/>
                <w:sz w:val="16"/>
                <w:szCs w:val="16"/>
              </w:rPr>
            </w:pPr>
            <w:r w:rsidRPr="00F66921">
              <w:rPr>
                <w:bCs/>
                <w:color w:val="000000"/>
                <w:sz w:val="16"/>
                <w:szCs w:val="16"/>
              </w:rPr>
              <w:t>90 288,00</w:t>
            </w:r>
          </w:p>
        </w:tc>
        <w:tc>
          <w:tcPr>
            <w:tcW w:w="473" w:type="pct"/>
            <w:tcBorders>
              <w:top w:val="nil"/>
              <w:left w:val="nil"/>
              <w:bottom w:val="single" w:sz="4" w:space="0" w:color="auto"/>
              <w:right w:val="single" w:sz="4" w:space="0" w:color="auto"/>
            </w:tcBorders>
            <w:shd w:val="clear" w:color="000000" w:fill="FFFFFF"/>
            <w:noWrap/>
            <w:vAlign w:val="center"/>
          </w:tcPr>
          <w:p w:rsidR="00A70D39" w:rsidRPr="00F66921" w:rsidRDefault="00A70D39" w:rsidP="002151A5">
            <w:pPr>
              <w:jc w:val="right"/>
              <w:rPr>
                <w:color w:val="000000"/>
                <w:sz w:val="16"/>
                <w:szCs w:val="16"/>
              </w:rPr>
            </w:pPr>
            <w:r w:rsidRPr="00F66921">
              <w:rPr>
                <w:color w:val="000000"/>
                <w:sz w:val="16"/>
                <w:szCs w:val="16"/>
              </w:rPr>
              <w:t>0,00</w:t>
            </w:r>
          </w:p>
        </w:tc>
        <w:tc>
          <w:tcPr>
            <w:tcW w:w="473" w:type="pct"/>
            <w:tcBorders>
              <w:top w:val="nil"/>
              <w:left w:val="nil"/>
              <w:bottom w:val="single" w:sz="4" w:space="0" w:color="auto"/>
              <w:right w:val="single" w:sz="4" w:space="0" w:color="auto"/>
            </w:tcBorders>
            <w:shd w:val="clear" w:color="000000" w:fill="FFFFFF"/>
            <w:noWrap/>
            <w:vAlign w:val="center"/>
          </w:tcPr>
          <w:p w:rsidR="00A70D39" w:rsidRPr="00F66921" w:rsidRDefault="00A70D39" w:rsidP="002151A5">
            <w:pPr>
              <w:jc w:val="right"/>
              <w:rPr>
                <w:color w:val="000000"/>
                <w:sz w:val="16"/>
                <w:szCs w:val="16"/>
              </w:rPr>
            </w:pPr>
            <w:r w:rsidRPr="00F66921">
              <w:rPr>
                <w:color w:val="000000"/>
                <w:sz w:val="16"/>
                <w:szCs w:val="16"/>
              </w:rPr>
              <w:t>0,00</w:t>
            </w:r>
          </w:p>
        </w:tc>
        <w:tc>
          <w:tcPr>
            <w:tcW w:w="475" w:type="pct"/>
            <w:tcBorders>
              <w:top w:val="nil"/>
              <w:left w:val="nil"/>
              <w:bottom w:val="single" w:sz="4" w:space="0" w:color="auto"/>
              <w:right w:val="single" w:sz="4" w:space="0" w:color="auto"/>
            </w:tcBorders>
            <w:shd w:val="clear" w:color="000000" w:fill="FFFFFF"/>
            <w:noWrap/>
            <w:vAlign w:val="center"/>
          </w:tcPr>
          <w:p w:rsidR="00A70D39" w:rsidRPr="00F66921" w:rsidRDefault="00A70D39" w:rsidP="002151A5">
            <w:pPr>
              <w:jc w:val="right"/>
              <w:rPr>
                <w:color w:val="000000"/>
                <w:sz w:val="16"/>
                <w:szCs w:val="16"/>
              </w:rPr>
            </w:pPr>
            <w:r w:rsidRPr="00F66921">
              <w:rPr>
                <w:color w:val="000000"/>
                <w:sz w:val="16"/>
                <w:szCs w:val="16"/>
              </w:rPr>
              <w:t>0,00</w:t>
            </w:r>
          </w:p>
        </w:tc>
      </w:tr>
      <w:tr w:rsidR="00A70D39" w:rsidRPr="00F66921" w:rsidTr="002151A5">
        <w:trPr>
          <w:trHeight w:val="254"/>
        </w:trPr>
        <w:tc>
          <w:tcPr>
            <w:tcW w:w="2929" w:type="pct"/>
            <w:tcBorders>
              <w:top w:val="nil"/>
              <w:left w:val="single" w:sz="4" w:space="0" w:color="auto"/>
              <w:bottom w:val="single" w:sz="4" w:space="0" w:color="auto"/>
              <w:right w:val="single" w:sz="4" w:space="0" w:color="auto"/>
            </w:tcBorders>
            <w:noWrap/>
            <w:vAlign w:val="center"/>
          </w:tcPr>
          <w:p w:rsidR="00A70D39" w:rsidRPr="00F66921" w:rsidRDefault="00A70D39" w:rsidP="002151A5">
            <w:pPr>
              <w:rPr>
                <w:bCs/>
                <w:i/>
                <w:iCs/>
                <w:color w:val="000000"/>
                <w:sz w:val="16"/>
                <w:szCs w:val="16"/>
              </w:rPr>
            </w:pPr>
            <w:r w:rsidRPr="00F66921">
              <w:rPr>
                <w:color w:val="000000"/>
                <w:sz w:val="16"/>
                <w:szCs w:val="16"/>
              </w:rPr>
              <w:t xml:space="preserve">            </w:t>
            </w:r>
            <w:r w:rsidRPr="00F66921">
              <w:rPr>
                <w:bCs/>
                <w:i/>
                <w:iCs/>
                <w:color w:val="000000"/>
                <w:sz w:val="16"/>
                <w:szCs w:val="16"/>
              </w:rPr>
              <w:t>kapitola MF SR/0EK 0D IT financované zo ŠR – MF SR (</w:t>
            </w:r>
            <w:proofErr w:type="spellStart"/>
            <w:r w:rsidRPr="00F66921">
              <w:rPr>
                <w:bCs/>
                <w:i/>
                <w:iCs/>
                <w:color w:val="000000"/>
                <w:sz w:val="16"/>
                <w:szCs w:val="16"/>
              </w:rPr>
              <w:t>org</w:t>
            </w:r>
            <w:proofErr w:type="spellEnd"/>
            <w:r w:rsidRPr="00F66921">
              <w:rPr>
                <w:bCs/>
                <w:i/>
                <w:iCs/>
                <w:color w:val="000000"/>
                <w:sz w:val="16"/>
                <w:szCs w:val="16"/>
              </w:rPr>
              <w:t>. FR SR)</w:t>
            </w:r>
          </w:p>
        </w:tc>
        <w:tc>
          <w:tcPr>
            <w:tcW w:w="650" w:type="pct"/>
            <w:tcBorders>
              <w:top w:val="nil"/>
              <w:left w:val="nil"/>
              <w:bottom w:val="single" w:sz="4" w:space="0" w:color="auto"/>
              <w:right w:val="single" w:sz="4" w:space="0" w:color="auto"/>
            </w:tcBorders>
            <w:noWrap/>
            <w:vAlign w:val="center"/>
          </w:tcPr>
          <w:p w:rsidR="00A70D39" w:rsidRPr="00F66921" w:rsidRDefault="00A70D39" w:rsidP="002151A5">
            <w:pPr>
              <w:jc w:val="right"/>
              <w:rPr>
                <w:bCs/>
                <w:iCs/>
                <w:color w:val="000000"/>
                <w:sz w:val="16"/>
                <w:szCs w:val="16"/>
              </w:rPr>
            </w:pPr>
            <w:r w:rsidRPr="00F66921">
              <w:rPr>
                <w:bCs/>
                <w:iCs/>
                <w:color w:val="000000"/>
                <w:sz w:val="16"/>
                <w:szCs w:val="16"/>
              </w:rPr>
              <w:t>252 600,00</w:t>
            </w:r>
          </w:p>
        </w:tc>
        <w:tc>
          <w:tcPr>
            <w:tcW w:w="473" w:type="pct"/>
            <w:tcBorders>
              <w:top w:val="nil"/>
              <w:left w:val="nil"/>
              <w:bottom w:val="single" w:sz="4" w:space="0" w:color="auto"/>
              <w:right w:val="single" w:sz="4" w:space="0" w:color="auto"/>
            </w:tcBorders>
            <w:shd w:val="clear" w:color="000000" w:fill="FFFFFF"/>
            <w:noWrap/>
            <w:vAlign w:val="center"/>
          </w:tcPr>
          <w:p w:rsidR="00A70D39" w:rsidRPr="00F66921" w:rsidRDefault="00A70D39" w:rsidP="002151A5">
            <w:pPr>
              <w:jc w:val="right"/>
              <w:rPr>
                <w:bCs/>
                <w:color w:val="000000"/>
                <w:sz w:val="16"/>
                <w:szCs w:val="16"/>
              </w:rPr>
            </w:pPr>
            <w:r w:rsidRPr="00F66921">
              <w:rPr>
                <w:bCs/>
                <w:color w:val="000000"/>
                <w:sz w:val="16"/>
                <w:szCs w:val="16"/>
              </w:rPr>
              <w:t>213 888,00</w:t>
            </w:r>
          </w:p>
        </w:tc>
        <w:tc>
          <w:tcPr>
            <w:tcW w:w="473" w:type="pct"/>
            <w:tcBorders>
              <w:top w:val="nil"/>
              <w:left w:val="nil"/>
              <w:bottom w:val="single" w:sz="4" w:space="0" w:color="auto"/>
              <w:right w:val="single" w:sz="4" w:space="0" w:color="auto"/>
            </w:tcBorders>
            <w:shd w:val="clear" w:color="000000" w:fill="FFFFFF"/>
            <w:noWrap/>
            <w:vAlign w:val="center"/>
          </w:tcPr>
          <w:p w:rsidR="00A70D39" w:rsidRPr="00F66921" w:rsidRDefault="00A70D39" w:rsidP="002151A5">
            <w:pPr>
              <w:jc w:val="right"/>
              <w:rPr>
                <w:bCs/>
                <w:color w:val="000000"/>
                <w:sz w:val="16"/>
                <w:szCs w:val="16"/>
              </w:rPr>
            </w:pPr>
            <w:r w:rsidRPr="00F66921">
              <w:rPr>
                <w:bCs/>
                <w:color w:val="000000"/>
                <w:sz w:val="16"/>
                <w:szCs w:val="16"/>
              </w:rPr>
              <w:t>0,00</w:t>
            </w:r>
          </w:p>
        </w:tc>
        <w:tc>
          <w:tcPr>
            <w:tcW w:w="475" w:type="pct"/>
            <w:tcBorders>
              <w:top w:val="nil"/>
              <w:left w:val="nil"/>
              <w:bottom w:val="single" w:sz="4" w:space="0" w:color="auto"/>
              <w:right w:val="single" w:sz="4" w:space="0" w:color="auto"/>
            </w:tcBorders>
            <w:shd w:val="clear" w:color="000000" w:fill="FFFFFF"/>
            <w:noWrap/>
            <w:vAlign w:val="center"/>
          </w:tcPr>
          <w:p w:rsidR="00A70D39" w:rsidRPr="00F66921" w:rsidRDefault="00A70D39" w:rsidP="002151A5">
            <w:pPr>
              <w:jc w:val="right"/>
              <w:rPr>
                <w:bCs/>
                <w:color w:val="000000"/>
                <w:sz w:val="16"/>
                <w:szCs w:val="16"/>
              </w:rPr>
            </w:pPr>
            <w:r w:rsidRPr="00F66921">
              <w:rPr>
                <w:bCs/>
                <w:color w:val="000000"/>
                <w:sz w:val="16"/>
                <w:szCs w:val="16"/>
              </w:rPr>
              <w:t>0,00</w:t>
            </w:r>
          </w:p>
        </w:tc>
      </w:tr>
      <w:tr w:rsidR="00A70D39" w:rsidRPr="00F66921" w:rsidTr="002151A5">
        <w:trPr>
          <w:trHeight w:val="254"/>
        </w:trPr>
        <w:tc>
          <w:tcPr>
            <w:tcW w:w="2929" w:type="pct"/>
            <w:tcBorders>
              <w:top w:val="nil"/>
              <w:left w:val="single" w:sz="4" w:space="0" w:color="auto"/>
              <w:bottom w:val="single" w:sz="4" w:space="0" w:color="auto"/>
              <w:right w:val="single" w:sz="4" w:space="0" w:color="auto"/>
            </w:tcBorders>
            <w:noWrap/>
            <w:vAlign w:val="center"/>
            <w:hideMark/>
          </w:tcPr>
          <w:p w:rsidR="00A70D39" w:rsidRPr="00F66921" w:rsidRDefault="00A70D39" w:rsidP="002151A5">
            <w:pPr>
              <w:rPr>
                <w:b/>
                <w:bCs/>
                <w:i/>
                <w:iCs/>
                <w:color w:val="000000"/>
                <w:sz w:val="16"/>
                <w:szCs w:val="16"/>
              </w:rPr>
            </w:pPr>
            <w:r w:rsidRPr="00F66921">
              <w:rPr>
                <w:b/>
                <w:bCs/>
                <w:i/>
                <w:iCs/>
                <w:color w:val="000000"/>
                <w:sz w:val="16"/>
                <w:szCs w:val="16"/>
              </w:rPr>
              <w:t xml:space="preserve">z toho: </w:t>
            </w:r>
          </w:p>
        </w:tc>
        <w:tc>
          <w:tcPr>
            <w:tcW w:w="650" w:type="pct"/>
            <w:tcBorders>
              <w:top w:val="nil"/>
              <w:left w:val="nil"/>
              <w:bottom w:val="single" w:sz="4" w:space="0" w:color="auto"/>
              <w:right w:val="single" w:sz="4" w:space="0" w:color="auto"/>
            </w:tcBorders>
            <w:noWrap/>
            <w:vAlign w:val="center"/>
            <w:hideMark/>
          </w:tcPr>
          <w:p w:rsidR="00A70D39" w:rsidRPr="00F66921" w:rsidRDefault="00A70D39" w:rsidP="002151A5">
            <w:pPr>
              <w:rPr>
                <w:b/>
                <w:bCs/>
                <w:i/>
                <w:iCs/>
                <w:color w:val="000000"/>
                <w:sz w:val="16"/>
                <w:szCs w:val="16"/>
              </w:rPr>
            </w:pPr>
            <w:r w:rsidRPr="00F66921">
              <w:rPr>
                <w:b/>
                <w:bCs/>
                <w:i/>
                <w:iCs/>
                <w:color w:val="000000"/>
                <w:sz w:val="16"/>
                <w:szCs w:val="16"/>
              </w:rPr>
              <w:t> </w:t>
            </w:r>
          </w:p>
        </w:tc>
        <w:tc>
          <w:tcPr>
            <w:tcW w:w="473" w:type="pct"/>
            <w:tcBorders>
              <w:top w:val="nil"/>
              <w:left w:val="nil"/>
              <w:bottom w:val="single" w:sz="4" w:space="0" w:color="auto"/>
              <w:right w:val="single" w:sz="4" w:space="0" w:color="auto"/>
            </w:tcBorders>
            <w:shd w:val="clear" w:color="000000" w:fill="FFFFFF"/>
            <w:noWrap/>
            <w:vAlign w:val="center"/>
            <w:hideMark/>
          </w:tcPr>
          <w:p w:rsidR="00A70D39" w:rsidRPr="00F66921" w:rsidRDefault="00A70D39" w:rsidP="002151A5">
            <w:pPr>
              <w:jc w:val="right"/>
              <w:rPr>
                <w:b/>
                <w:bCs/>
                <w:color w:val="000000"/>
                <w:sz w:val="16"/>
                <w:szCs w:val="16"/>
              </w:rPr>
            </w:pPr>
            <w:r w:rsidRPr="00F66921">
              <w:rPr>
                <w:b/>
                <w:bCs/>
                <w:color w:val="000000"/>
                <w:sz w:val="16"/>
                <w:szCs w:val="16"/>
              </w:rPr>
              <w:t> </w:t>
            </w:r>
          </w:p>
        </w:tc>
        <w:tc>
          <w:tcPr>
            <w:tcW w:w="473" w:type="pct"/>
            <w:tcBorders>
              <w:top w:val="nil"/>
              <w:left w:val="nil"/>
              <w:bottom w:val="single" w:sz="4" w:space="0" w:color="auto"/>
              <w:right w:val="single" w:sz="4" w:space="0" w:color="auto"/>
            </w:tcBorders>
            <w:shd w:val="clear" w:color="000000" w:fill="FFFFFF"/>
            <w:noWrap/>
            <w:vAlign w:val="center"/>
            <w:hideMark/>
          </w:tcPr>
          <w:p w:rsidR="00A70D39" w:rsidRPr="00F66921" w:rsidRDefault="00A70D39" w:rsidP="002151A5">
            <w:pPr>
              <w:jc w:val="right"/>
              <w:rPr>
                <w:b/>
                <w:bCs/>
                <w:color w:val="000000"/>
                <w:sz w:val="16"/>
                <w:szCs w:val="16"/>
              </w:rPr>
            </w:pPr>
            <w:r w:rsidRPr="00F66921">
              <w:rPr>
                <w:b/>
                <w:bCs/>
                <w:color w:val="000000"/>
                <w:sz w:val="16"/>
                <w:szCs w:val="16"/>
              </w:rPr>
              <w:t> </w:t>
            </w:r>
          </w:p>
        </w:tc>
        <w:tc>
          <w:tcPr>
            <w:tcW w:w="475" w:type="pct"/>
            <w:tcBorders>
              <w:top w:val="nil"/>
              <w:left w:val="nil"/>
              <w:bottom w:val="single" w:sz="4" w:space="0" w:color="auto"/>
              <w:right w:val="single" w:sz="4" w:space="0" w:color="auto"/>
            </w:tcBorders>
            <w:shd w:val="clear" w:color="000000" w:fill="FFFFFF"/>
            <w:noWrap/>
            <w:vAlign w:val="center"/>
            <w:hideMark/>
          </w:tcPr>
          <w:p w:rsidR="00A70D39" w:rsidRPr="00F66921" w:rsidRDefault="00A70D39" w:rsidP="002151A5">
            <w:pPr>
              <w:jc w:val="right"/>
              <w:rPr>
                <w:b/>
                <w:bCs/>
                <w:color w:val="000000"/>
                <w:sz w:val="16"/>
                <w:szCs w:val="16"/>
              </w:rPr>
            </w:pPr>
            <w:r w:rsidRPr="00F66921">
              <w:rPr>
                <w:b/>
                <w:bCs/>
                <w:color w:val="000000"/>
                <w:sz w:val="16"/>
                <w:szCs w:val="16"/>
              </w:rPr>
              <w:t> </w:t>
            </w:r>
          </w:p>
        </w:tc>
      </w:tr>
      <w:tr w:rsidR="00A70D39" w:rsidRPr="00F66921" w:rsidTr="002151A5">
        <w:trPr>
          <w:trHeight w:val="254"/>
        </w:trPr>
        <w:tc>
          <w:tcPr>
            <w:tcW w:w="2929" w:type="pct"/>
            <w:tcBorders>
              <w:top w:val="nil"/>
              <w:left w:val="single" w:sz="4" w:space="0" w:color="auto"/>
              <w:bottom w:val="single" w:sz="4" w:space="0" w:color="auto"/>
              <w:right w:val="single" w:sz="4" w:space="0" w:color="auto"/>
            </w:tcBorders>
            <w:noWrap/>
            <w:vAlign w:val="center"/>
            <w:hideMark/>
          </w:tcPr>
          <w:p w:rsidR="00A70D39" w:rsidRPr="00F66921" w:rsidRDefault="00A70D39" w:rsidP="002151A5">
            <w:pPr>
              <w:rPr>
                <w:b/>
                <w:bCs/>
                <w:i/>
                <w:iCs/>
                <w:color w:val="000000"/>
                <w:sz w:val="16"/>
                <w:szCs w:val="16"/>
              </w:rPr>
            </w:pPr>
            <w:r w:rsidRPr="00F66921">
              <w:rPr>
                <w:b/>
                <w:bCs/>
                <w:i/>
                <w:iCs/>
                <w:color w:val="000000"/>
                <w:sz w:val="16"/>
                <w:szCs w:val="16"/>
              </w:rPr>
              <w:t>- vplyv na ŠR</w:t>
            </w:r>
          </w:p>
        </w:tc>
        <w:tc>
          <w:tcPr>
            <w:tcW w:w="650"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b/>
                <w:bCs/>
                <w:color w:val="000000"/>
                <w:sz w:val="16"/>
                <w:szCs w:val="16"/>
              </w:rPr>
            </w:pPr>
            <w:r w:rsidRPr="00F66921">
              <w:rPr>
                <w:b/>
                <w:bCs/>
                <w:color w:val="000000"/>
                <w:sz w:val="16"/>
                <w:szCs w:val="16"/>
              </w:rPr>
              <w:t>342 888,00</w:t>
            </w:r>
          </w:p>
        </w:tc>
        <w:tc>
          <w:tcPr>
            <w:tcW w:w="473" w:type="pct"/>
            <w:tcBorders>
              <w:top w:val="nil"/>
              <w:left w:val="nil"/>
              <w:bottom w:val="single" w:sz="4" w:space="0" w:color="auto"/>
              <w:right w:val="single" w:sz="4" w:space="0" w:color="auto"/>
            </w:tcBorders>
            <w:shd w:val="clear" w:color="000000" w:fill="FFFFFF"/>
            <w:noWrap/>
            <w:vAlign w:val="center"/>
            <w:hideMark/>
          </w:tcPr>
          <w:p w:rsidR="00A70D39" w:rsidRPr="00F66921" w:rsidRDefault="00A70D39" w:rsidP="002151A5">
            <w:pPr>
              <w:jc w:val="right"/>
              <w:rPr>
                <w:b/>
                <w:color w:val="000000"/>
                <w:sz w:val="16"/>
                <w:szCs w:val="16"/>
              </w:rPr>
            </w:pPr>
            <w:r w:rsidRPr="00F66921">
              <w:rPr>
                <w:b/>
                <w:color w:val="000000"/>
                <w:sz w:val="16"/>
                <w:szCs w:val="16"/>
              </w:rPr>
              <w:t>213 888,00</w:t>
            </w:r>
          </w:p>
        </w:tc>
        <w:tc>
          <w:tcPr>
            <w:tcW w:w="473" w:type="pct"/>
            <w:tcBorders>
              <w:top w:val="nil"/>
              <w:left w:val="nil"/>
              <w:bottom w:val="single" w:sz="4" w:space="0" w:color="auto"/>
              <w:right w:val="single" w:sz="4" w:space="0" w:color="auto"/>
            </w:tcBorders>
            <w:shd w:val="clear" w:color="000000" w:fill="FFFFFF"/>
            <w:noWrap/>
            <w:vAlign w:val="center"/>
            <w:hideMark/>
          </w:tcPr>
          <w:p w:rsidR="00A70D39" w:rsidRPr="00F66921" w:rsidRDefault="00A70D39" w:rsidP="002151A5">
            <w:pPr>
              <w:jc w:val="right"/>
              <w:rPr>
                <w:b/>
                <w:color w:val="000000"/>
                <w:sz w:val="16"/>
                <w:szCs w:val="16"/>
              </w:rPr>
            </w:pPr>
            <w:r w:rsidRPr="00F66921">
              <w:rPr>
                <w:b/>
                <w:color w:val="000000"/>
                <w:sz w:val="16"/>
                <w:szCs w:val="16"/>
              </w:rPr>
              <w:t>0,00</w:t>
            </w:r>
          </w:p>
        </w:tc>
        <w:tc>
          <w:tcPr>
            <w:tcW w:w="475" w:type="pct"/>
            <w:tcBorders>
              <w:top w:val="nil"/>
              <w:left w:val="nil"/>
              <w:bottom w:val="single" w:sz="4" w:space="0" w:color="auto"/>
              <w:right w:val="single" w:sz="4" w:space="0" w:color="auto"/>
            </w:tcBorders>
            <w:shd w:val="clear" w:color="000000" w:fill="FFFFFF"/>
            <w:noWrap/>
            <w:vAlign w:val="center"/>
            <w:hideMark/>
          </w:tcPr>
          <w:p w:rsidR="00A70D39" w:rsidRPr="00F66921" w:rsidRDefault="00A70D39" w:rsidP="002151A5">
            <w:pPr>
              <w:jc w:val="right"/>
              <w:rPr>
                <w:b/>
                <w:color w:val="000000"/>
                <w:sz w:val="16"/>
                <w:szCs w:val="16"/>
              </w:rPr>
            </w:pPr>
            <w:r w:rsidRPr="00F66921">
              <w:rPr>
                <w:b/>
                <w:color w:val="000000"/>
                <w:sz w:val="16"/>
                <w:szCs w:val="16"/>
              </w:rPr>
              <w:t>0,00</w:t>
            </w:r>
          </w:p>
        </w:tc>
      </w:tr>
      <w:tr w:rsidR="00A70D39" w:rsidRPr="00F66921" w:rsidTr="002151A5">
        <w:trPr>
          <w:trHeight w:val="254"/>
        </w:trPr>
        <w:tc>
          <w:tcPr>
            <w:tcW w:w="2929" w:type="pct"/>
            <w:tcBorders>
              <w:top w:val="nil"/>
              <w:left w:val="single" w:sz="4" w:space="0" w:color="auto"/>
              <w:bottom w:val="single" w:sz="4" w:space="0" w:color="auto"/>
              <w:right w:val="single" w:sz="4" w:space="0" w:color="auto"/>
            </w:tcBorders>
            <w:noWrap/>
            <w:vAlign w:val="center"/>
            <w:hideMark/>
          </w:tcPr>
          <w:p w:rsidR="00A70D39" w:rsidRPr="00F66921" w:rsidRDefault="00A70D39" w:rsidP="002151A5">
            <w:pPr>
              <w:ind w:firstLineChars="100" w:firstLine="160"/>
              <w:rPr>
                <w:i/>
                <w:iCs/>
                <w:color w:val="000000"/>
                <w:sz w:val="16"/>
                <w:szCs w:val="16"/>
              </w:rPr>
            </w:pPr>
            <w:r w:rsidRPr="00F66921">
              <w:rPr>
                <w:i/>
                <w:iCs/>
                <w:color w:val="000000"/>
                <w:sz w:val="16"/>
                <w:szCs w:val="16"/>
              </w:rPr>
              <w:t>Rozpočtové prostriedky</w:t>
            </w:r>
          </w:p>
        </w:tc>
        <w:tc>
          <w:tcPr>
            <w:tcW w:w="650"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bCs/>
                <w:color w:val="000000"/>
                <w:sz w:val="16"/>
                <w:szCs w:val="16"/>
              </w:rPr>
            </w:pPr>
            <w:r w:rsidRPr="00F66921">
              <w:rPr>
                <w:bCs/>
                <w:color w:val="000000"/>
                <w:sz w:val="16"/>
                <w:szCs w:val="16"/>
              </w:rPr>
              <w:t>342 888,00</w:t>
            </w:r>
          </w:p>
        </w:tc>
        <w:tc>
          <w:tcPr>
            <w:tcW w:w="473" w:type="pct"/>
            <w:tcBorders>
              <w:top w:val="nil"/>
              <w:left w:val="nil"/>
              <w:bottom w:val="single" w:sz="4" w:space="0" w:color="auto"/>
              <w:right w:val="single" w:sz="4" w:space="0" w:color="auto"/>
            </w:tcBorders>
            <w:shd w:val="clear" w:color="000000" w:fill="FFFFFF"/>
            <w:noWrap/>
            <w:vAlign w:val="center"/>
            <w:hideMark/>
          </w:tcPr>
          <w:p w:rsidR="00A70D39" w:rsidRPr="00F66921" w:rsidRDefault="00A70D39" w:rsidP="002151A5">
            <w:pPr>
              <w:jc w:val="right"/>
              <w:rPr>
                <w:color w:val="000000"/>
                <w:sz w:val="16"/>
                <w:szCs w:val="16"/>
              </w:rPr>
            </w:pPr>
            <w:r w:rsidRPr="00F66921">
              <w:rPr>
                <w:color w:val="000000"/>
                <w:sz w:val="16"/>
                <w:szCs w:val="16"/>
              </w:rPr>
              <w:t>213 888,00</w:t>
            </w:r>
          </w:p>
        </w:tc>
        <w:tc>
          <w:tcPr>
            <w:tcW w:w="473" w:type="pct"/>
            <w:tcBorders>
              <w:top w:val="nil"/>
              <w:left w:val="nil"/>
              <w:bottom w:val="single" w:sz="4" w:space="0" w:color="auto"/>
              <w:right w:val="single" w:sz="4" w:space="0" w:color="auto"/>
            </w:tcBorders>
            <w:shd w:val="clear" w:color="000000" w:fill="FFFFFF"/>
            <w:noWrap/>
            <w:vAlign w:val="center"/>
            <w:hideMark/>
          </w:tcPr>
          <w:p w:rsidR="00A70D39" w:rsidRPr="00F66921" w:rsidRDefault="00A70D39" w:rsidP="002151A5">
            <w:pPr>
              <w:jc w:val="right"/>
              <w:rPr>
                <w:color w:val="000000"/>
                <w:sz w:val="16"/>
                <w:szCs w:val="16"/>
              </w:rPr>
            </w:pPr>
            <w:r w:rsidRPr="00F66921">
              <w:rPr>
                <w:color w:val="000000"/>
                <w:sz w:val="16"/>
                <w:szCs w:val="16"/>
              </w:rPr>
              <w:t>0,00</w:t>
            </w:r>
          </w:p>
        </w:tc>
        <w:tc>
          <w:tcPr>
            <w:tcW w:w="475" w:type="pct"/>
            <w:tcBorders>
              <w:top w:val="nil"/>
              <w:left w:val="nil"/>
              <w:bottom w:val="single" w:sz="4" w:space="0" w:color="auto"/>
              <w:right w:val="single" w:sz="4" w:space="0" w:color="auto"/>
            </w:tcBorders>
            <w:shd w:val="clear" w:color="000000" w:fill="FFFFFF"/>
            <w:noWrap/>
            <w:vAlign w:val="center"/>
            <w:hideMark/>
          </w:tcPr>
          <w:p w:rsidR="00A70D39" w:rsidRPr="00F66921" w:rsidRDefault="00A70D39" w:rsidP="002151A5">
            <w:pPr>
              <w:jc w:val="right"/>
              <w:rPr>
                <w:color w:val="000000"/>
                <w:sz w:val="16"/>
                <w:szCs w:val="16"/>
              </w:rPr>
            </w:pPr>
            <w:r w:rsidRPr="00F66921">
              <w:rPr>
                <w:color w:val="000000"/>
                <w:sz w:val="16"/>
                <w:szCs w:val="16"/>
              </w:rPr>
              <w:t>0,00</w:t>
            </w:r>
          </w:p>
        </w:tc>
      </w:tr>
      <w:tr w:rsidR="00A70D39" w:rsidRPr="00F66921" w:rsidTr="002151A5">
        <w:trPr>
          <w:trHeight w:val="254"/>
        </w:trPr>
        <w:tc>
          <w:tcPr>
            <w:tcW w:w="2929" w:type="pct"/>
            <w:tcBorders>
              <w:top w:val="nil"/>
              <w:left w:val="single" w:sz="4" w:space="0" w:color="auto"/>
              <w:bottom w:val="single" w:sz="4" w:space="0" w:color="auto"/>
              <w:right w:val="single" w:sz="4" w:space="0" w:color="auto"/>
            </w:tcBorders>
            <w:noWrap/>
            <w:vAlign w:val="center"/>
            <w:hideMark/>
          </w:tcPr>
          <w:p w:rsidR="00A70D39" w:rsidRPr="00F66921" w:rsidRDefault="00A70D39" w:rsidP="002151A5">
            <w:pPr>
              <w:rPr>
                <w:i/>
                <w:iCs/>
                <w:color w:val="000000"/>
                <w:sz w:val="16"/>
                <w:szCs w:val="16"/>
              </w:rPr>
            </w:pPr>
            <w:r w:rsidRPr="00F66921">
              <w:rPr>
                <w:i/>
                <w:iCs/>
                <w:color w:val="000000"/>
                <w:sz w:val="16"/>
                <w:szCs w:val="16"/>
              </w:rPr>
              <w:t xml:space="preserve">    EÚ zdroje</w:t>
            </w:r>
          </w:p>
        </w:tc>
        <w:tc>
          <w:tcPr>
            <w:tcW w:w="650"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0,00</w:t>
            </w:r>
          </w:p>
        </w:tc>
        <w:tc>
          <w:tcPr>
            <w:tcW w:w="473"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0,00</w:t>
            </w:r>
          </w:p>
        </w:tc>
        <w:tc>
          <w:tcPr>
            <w:tcW w:w="473"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0,00</w:t>
            </w:r>
          </w:p>
        </w:tc>
        <w:tc>
          <w:tcPr>
            <w:tcW w:w="475"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0,00</w:t>
            </w:r>
          </w:p>
        </w:tc>
      </w:tr>
      <w:tr w:rsidR="00A70D39" w:rsidRPr="00F66921" w:rsidTr="002151A5">
        <w:trPr>
          <w:trHeight w:val="254"/>
        </w:trPr>
        <w:tc>
          <w:tcPr>
            <w:tcW w:w="2929" w:type="pct"/>
            <w:tcBorders>
              <w:top w:val="nil"/>
              <w:left w:val="single" w:sz="4" w:space="0" w:color="auto"/>
              <w:bottom w:val="single" w:sz="4" w:space="0" w:color="auto"/>
              <w:right w:val="single" w:sz="4" w:space="0" w:color="auto"/>
            </w:tcBorders>
            <w:noWrap/>
            <w:vAlign w:val="center"/>
            <w:hideMark/>
          </w:tcPr>
          <w:p w:rsidR="00A70D39" w:rsidRPr="00F66921" w:rsidRDefault="00A70D39" w:rsidP="002151A5">
            <w:pPr>
              <w:rPr>
                <w:i/>
                <w:iCs/>
                <w:color w:val="000000"/>
                <w:sz w:val="16"/>
                <w:szCs w:val="16"/>
              </w:rPr>
            </w:pPr>
            <w:r w:rsidRPr="00F66921">
              <w:rPr>
                <w:i/>
                <w:iCs/>
                <w:color w:val="000000"/>
                <w:sz w:val="16"/>
                <w:szCs w:val="16"/>
              </w:rPr>
              <w:t xml:space="preserve">    spolufinancovanie</w:t>
            </w:r>
          </w:p>
        </w:tc>
        <w:tc>
          <w:tcPr>
            <w:tcW w:w="650"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0,00</w:t>
            </w:r>
          </w:p>
        </w:tc>
        <w:tc>
          <w:tcPr>
            <w:tcW w:w="473"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0,00</w:t>
            </w:r>
          </w:p>
        </w:tc>
        <w:tc>
          <w:tcPr>
            <w:tcW w:w="473"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0,00</w:t>
            </w:r>
          </w:p>
        </w:tc>
        <w:tc>
          <w:tcPr>
            <w:tcW w:w="475"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0,00</w:t>
            </w:r>
          </w:p>
        </w:tc>
      </w:tr>
      <w:tr w:rsidR="00A70D39" w:rsidRPr="00F66921" w:rsidTr="002151A5">
        <w:trPr>
          <w:trHeight w:val="254"/>
        </w:trPr>
        <w:tc>
          <w:tcPr>
            <w:tcW w:w="2929" w:type="pct"/>
            <w:tcBorders>
              <w:top w:val="nil"/>
              <w:left w:val="single" w:sz="4" w:space="0" w:color="auto"/>
              <w:bottom w:val="single" w:sz="4" w:space="0" w:color="auto"/>
              <w:right w:val="single" w:sz="4" w:space="0" w:color="auto"/>
            </w:tcBorders>
            <w:noWrap/>
            <w:vAlign w:val="center"/>
            <w:hideMark/>
          </w:tcPr>
          <w:p w:rsidR="00A70D39" w:rsidRPr="00F66921" w:rsidRDefault="00A70D39" w:rsidP="002151A5">
            <w:pPr>
              <w:rPr>
                <w:b/>
                <w:bCs/>
                <w:i/>
                <w:iCs/>
                <w:color w:val="000000"/>
                <w:sz w:val="16"/>
                <w:szCs w:val="16"/>
              </w:rPr>
            </w:pPr>
            <w:r w:rsidRPr="00F66921">
              <w:rPr>
                <w:b/>
                <w:bCs/>
                <w:i/>
                <w:iCs/>
                <w:color w:val="000000"/>
                <w:sz w:val="16"/>
                <w:szCs w:val="16"/>
              </w:rPr>
              <w:t>- vplyv na obce</w:t>
            </w:r>
          </w:p>
        </w:tc>
        <w:tc>
          <w:tcPr>
            <w:tcW w:w="650"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b/>
                <w:bCs/>
                <w:color w:val="000000"/>
                <w:sz w:val="16"/>
                <w:szCs w:val="16"/>
              </w:rPr>
            </w:pPr>
            <w:r w:rsidRPr="00F66921">
              <w:rPr>
                <w:b/>
                <w:bCs/>
                <w:color w:val="000000"/>
                <w:sz w:val="16"/>
                <w:szCs w:val="16"/>
              </w:rPr>
              <w:t>0,00</w:t>
            </w:r>
          </w:p>
        </w:tc>
        <w:tc>
          <w:tcPr>
            <w:tcW w:w="473"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b/>
                <w:bCs/>
                <w:color w:val="000000"/>
                <w:sz w:val="16"/>
                <w:szCs w:val="16"/>
              </w:rPr>
            </w:pPr>
            <w:r w:rsidRPr="00F66921">
              <w:rPr>
                <w:b/>
                <w:bCs/>
                <w:color w:val="000000"/>
                <w:sz w:val="16"/>
                <w:szCs w:val="16"/>
              </w:rPr>
              <w:t>0,00</w:t>
            </w:r>
          </w:p>
        </w:tc>
        <w:tc>
          <w:tcPr>
            <w:tcW w:w="473"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b/>
                <w:bCs/>
                <w:color w:val="000000"/>
                <w:sz w:val="16"/>
                <w:szCs w:val="16"/>
              </w:rPr>
            </w:pPr>
            <w:r w:rsidRPr="00F66921">
              <w:rPr>
                <w:b/>
                <w:bCs/>
                <w:color w:val="000000"/>
                <w:sz w:val="16"/>
                <w:szCs w:val="16"/>
              </w:rPr>
              <w:t>0,00</w:t>
            </w:r>
          </w:p>
        </w:tc>
        <w:tc>
          <w:tcPr>
            <w:tcW w:w="475"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b/>
                <w:bCs/>
                <w:color w:val="000000"/>
                <w:sz w:val="16"/>
                <w:szCs w:val="16"/>
              </w:rPr>
            </w:pPr>
            <w:r w:rsidRPr="00F66921">
              <w:rPr>
                <w:b/>
                <w:bCs/>
                <w:color w:val="000000"/>
                <w:sz w:val="16"/>
                <w:szCs w:val="16"/>
              </w:rPr>
              <w:t>0,00</w:t>
            </w:r>
          </w:p>
        </w:tc>
      </w:tr>
      <w:tr w:rsidR="00A70D39" w:rsidRPr="00F66921" w:rsidTr="002151A5">
        <w:trPr>
          <w:trHeight w:val="254"/>
        </w:trPr>
        <w:tc>
          <w:tcPr>
            <w:tcW w:w="2929" w:type="pct"/>
            <w:tcBorders>
              <w:top w:val="nil"/>
              <w:left w:val="single" w:sz="4" w:space="0" w:color="auto"/>
              <w:bottom w:val="single" w:sz="4" w:space="0" w:color="auto"/>
              <w:right w:val="single" w:sz="4" w:space="0" w:color="auto"/>
            </w:tcBorders>
            <w:noWrap/>
            <w:vAlign w:val="center"/>
            <w:hideMark/>
          </w:tcPr>
          <w:p w:rsidR="00A70D39" w:rsidRPr="00F66921" w:rsidRDefault="00A70D39" w:rsidP="002151A5">
            <w:pPr>
              <w:rPr>
                <w:b/>
                <w:bCs/>
                <w:i/>
                <w:iCs/>
                <w:color w:val="000000"/>
                <w:sz w:val="16"/>
                <w:szCs w:val="16"/>
              </w:rPr>
            </w:pPr>
            <w:r w:rsidRPr="00F66921">
              <w:rPr>
                <w:b/>
                <w:bCs/>
                <w:i/>
                <w:iCs/>
                <w:color w:val="000000"/>
                <w:sz w:val="16"/>
                <w:szCs w:val="16"/>
              </w:rPr>
              <w:t>- vplyv na vyššie územné celky</w:t>
            </w:r>
          </w:p>
        </w:tc>
        <w:tc>
          <w:tcPr>
            <w:tcW w:w="650"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b/>
                <w:bCs/>
                <w:color w:val="000000"/>
                <w:sz w:val="16"/>
                <w:szCs w:val="16"/>
              </w:rPr>
            </w:pPr>
            <w:r w:rsidRPr="00F66921">
              <w:rPr>
                <w:b/>
                <w:bCs/>
                <w:color w:val="000000"/>
                <w:sz w:val="16"/>
                <w:szCs w:val="16"/>
              </w:rPr>
              <w:t>0,00</w:t>
            </w:r>
          </w:p>
        </w:tc>
        <w:tc>
          <w:tcPr>
            <w:tcW w:w="473"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b/>
                <w:bCs/>
                <w:color w:val="000000"/>
                <w:sz w:val="16"/>
                <w:szCs w:val="16"/>
              </w:rPr>
            </w:pPr>
            <w:r w:rsidRPr="00F66921">
              <w:rPr>
                <w:b/>
                <w:bCs/>
                <w:color w:val="000000"/>
                <w:sz w:val="16"/>
                <w:szCs w:val="16"/>
              </w:rPr>
              <w:t>0,00</w:t>
            </w:r>
          </w:p>
        </w:tc>
        <w:tc>
          <w:tcPr>
            <w:tcW w:w="473"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b/>
                <w:bCs/>
                <w:color w:val="000000"/>
                <w:sz w:val="16"/>
                <w:szCs w:val="16"/>
              </w:rPr>
            </w:pPr>
            <w:r w:rsidRPr="00F66921">
              <w:rPr>
                <w:b/>
                <w:bCs/>
                <w:color w:val="000000"/>
                <w:sz w:val="16"/>
                <w:szCs w:val="16"/>
              </w:rPr>
              <w:t>0,00</w:t>
            </w:r>
          </w:p>
        </w:tc>
        <w:tc>
          <w:tcPr>
            <w:tcW w:w="475"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b/>
                <w:bCs/>
                <w:color w:val="000000"/>
                <w:sz w:val="16"/>
                <w:szCs w:val="16"/>
              </w:rPr>
            </w:pPr>
            <w:r w:rsidRPr="00F66921">
              <w:rPr>
                <w:b/>
                <w:bCs/>
                <w:color w:val="000000"/>
                <w:sz w:val="16"/>
                <w:szCs w:val="16"/>
              </w:rPr>
              <w:t>0,00</w:t>
            </w:r>
          </w:p>
        </w:tc>
      </w:tr>
      <w:tr w:rsidR="00A70D39" w:rsidRPr="00F66921" w:rsidTr="002151A5">
        <w:trPr>
          <w:trHeight w:val="254"/>
        </w:trPr>
        <w:tc>
          <w:tcPr>
            <w:tcW w:w="2929" w:type="pct"/>
            <w:tcBorders>
              <w:top w:val="nil"/>
              <w:left w:val="single" w:sz="4" w:space="0" w:color="auto"/>
              <w:bottom w:val="single" w:sz="4" w:space="0" w:color="auto"/>
              <w:right w:val="single" w:sz="4" w:space="0" w:color="auto"/>
            </w:tcBorders>
            <w:noWrap/>
            <w:vAlign w:val="center"/>
            <w:hideMark/>
          </w:tcPr>
          <w:p w:rsidR="00A70D39" w:rsidRPr="00F66921" w:rsidRDefault="00A70D39" w:rsidP="002151A5">
            <w:pPr>
              <w:rPr>
                <w:b/>
                <w:bCs/>
                <w:i/>
                <w:iCs/>
                <w:color w:val="000000"/>
                <w:sz w:val="16"/>
                <w:szCs w:val="16"/>
              </w:rPr>
            </w:pPr>
            <w:r w:rsidRPr="00F66921">
              <w:rPr>
                <w:b/>
                <w:bCs/>
                <w:i/>
                <w:iCs/>
                <w:color w:val="000000"/>
                <w:sz w:val="16"/>
                <w:szCs w:val="16"/>
              </w:rPr>
              <w:t>- vplyv na ostatné subjekty verejnej správy</w:t>
            </w:r>
          </w:p>
        </w:tc>
        <w:tc>
          <w:tcPr>
            <w:tcW w:w="650"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b/>
                <w:bCs/>
                <w:color w:val="000000"/>
                <w:sz w:val="16"/>
                <w:szCs w:val="16"/>
              </w:rPr>
            </w:pPr>
            <w:r w:rsidRPr="00F66921">
              <w:rPr>
                <w:b/>
                <w:bCs/>
                <w:color w:val="000000"/>
                <w:sz w:val="16"/>
                <w:szCs w:val="16"/>
              </w:rPr>
              <w:t>0,00</w:t>
            </w:r>
          </w:p>
        </w:tc>
        <w:tc>
          <w:tcPr>
            <w:tcW w:w="473"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b/>
                <w:bCs/>
                <w:color w:val="000000"/>
                <w:sz w:val="16"/>
                <w:szCs w:val="16"/>
              </w:rPr>
            </w:pPr>
            <w:r w:rsidRPr="00F66921">
              <w:rPr>
                <w:b/>
                <w:bCs/>
                <w:color w:val="000000"/>
                <w:sz w:val="16"/>
                <w:szCs w:val="16"/>
              </w:rPr>
              <w:t>0,00</w:t>
            </w:r>
          </w:p>
        </w:tc>
        <w:tc>
          <w:tcPr>
            <w:tcW w:w="473"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b/>
                <w:bCs/>
                <w:color w:val="000000"/>
                <w:sz w:val="16"/>
                <w:szCs w:val="16"/>
              </w:rPr>
            </w:pPr>
            <w:r w:rsidRPr="00F66921">
              <w:rPr>
                <w:b/>
                <w:bCs/>
                <w:color w:val="000000"/>
                <w:sz w:val="16"/>
                <w:szCs w:val="16"/>
              </w:rPr>
              <w:t>0,00</w:t>
            </w:r>
          </w:p>
        </w:tc>
        <w:tc>
          <w:tcPr>
            <w:tcW w:w="475"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b/>
                <w:bCs/>
                <w:color w:val="000000"/>
                <w:sz w:val="16"/>
                <w:szCs w:val="16"/>
              </w:rPr>
            </w:pPr>
            <w:r w:rsidRPr="00F66921">
              <w:rPr>
                <w:b/>
                <w:bCs/>
                <w:color w:val="000000"/>
                <w:sz w:val="16"/>
                <w:szCs w:val="16"/>
              </w:rPr>
              <w:t>0,00</w:t>
            </w:r>
          </w:p>
        </w:tc>
      </w:tr>
      <w:tr w:rsidR="00A70D39" w:rsidRPr="00F66921" w:rsidTr="002151A5">
        <w:trPr>
          <w:trHeight w:val="254"/>
        </w:trPr>
        <w:tc>
          <w:tcPr>
            <w:tcW w:w="2929" w:type="pct"/>
            <w:tcBorders>
              <w:top w:val="nil"/>
              <w:left w:val="single" w:sz="4" w:space="0" w:color="auto"/>
              <w:bottom w:val="single" w:sz="4" w:space="0" w:color="auto"/>
              <w:right w:val="single" w:sz="4" w:space="0" w:color="auto"/>
            </w:tcBorders>
            <w:shd w:val="clear" w:color="000000" w:fill="BFBFBF"/>
            <w:noWrap/>
            <w:vAlign w:val="center"/>
            <w:hideMark/>
          </w:tcPr>
          <w:p w:rsidR="00A70D39" w:rsidRPr="00F66921" w:rsidRDefault="00A70D39" w:rsidP="002151A5">
            <w:pPr>
              <w:rPr>
                <w:b/>
                <w:bCs/>
                <w:color w:val="000000"/>
                <w:sz w:val="16"/>
                <w:szCs w:val="16"/>
              </w:rPr>
            </w:pPr>
            <w:r w:rsidRPr="00F66921">
              <w:rPr>
                <w:b/>
                <w:bCs/>
                <w:color w:val="000000"/>
                <w:sz w:val="16"/>
                <w:szCs w:val="16"/>
              </w:rPr>
              <w:t xml:space="preserve">Vplyv na počet zamestnancov </w:t>
            </w:r>
          </w:p>
        </w:tc>
        <w:tc>
          <w:tcPr>
            <w:tcW w:w="650" w:type="pct"/>
            <w:tcBorders>
              <w:top w:val="nil"/>
              <w:left w:val="nil"/>
              <w:bottom w:val="single" w:sz="4" w:space="0" w:color="auto"/>
              <w:right w:val="single" w:sz="4" w:space="0" w:color="auto"/>
            </w:tcBorders>
            <w:shd w:val="clear" w:color="000000" w:fill="BFBFBF"/>
            <w:noWrap/>
            <w:vAlign w:val="center"/>
            <w:hideMark/>
          </w:tcPr>
          <w:p w:rsidR="00A70D39" w:rsidRPr="00F66921" w:rsidRDefault="00A70D39" w:rsidP="002151A5">
            <w:pPr>
              <w:jc w:val="right"/>
              <w:rPr>
                <w:b/>
                <w:bCs/>
                <w:color w:val="000000"/>
                <w:sz w:val="16"/>
                <w:szCs w:val="16"/>
              </w:rPr>
            </w:pPr>
            <w:r w:rsidRPr="00F66921">
              <w:rPr>
                <w:b/>
                <w:bCs/>
                <w:color w:val="000000"/>
                <w:sz w:val="16"/>
                <w:szCs w:val="16"/>
              </w:rPr>
              <w:t>0</w:t>
            </w:r>
          </w:p>
        </w:tc>
        <w:tc>
          <w:tcPr>
            <w:tcW w:w="473" w:type="pct"/>
            <w:tcBorders>
              <w:top w:val="nil"/>
              <w:left w:val="nil"/>
              <w:bottom w:val="single" w:sz="4" w:space="0" w:color="auto"/>
              <w:right w:val="single" w:sz="4" w:space="0" w:color="auto"/>
            </w:tcBorders>
            <w:shd w:val="clear" w:color="000000" w:fill="BFBFBF"/>
            <w:noWrap/>
            <w:vAlign w:val="center"/>
            <w:hideMark/>
          </w:tcPr>
          <w:p w:rsidR="00A70D39" w:rsidRPr="00F66921" w:rsidRDefault="00A70D39" w:rsidP="002151A5">
            <w:pPr>
              <w:jc w:val="right"/>
              <w:rPr>
                <w:b/>
                <w:bCs/>
                <w:color w:val="000000"/>
                <w:sz w:val="16"/>
                <w:szCs w:val="16"/>
              </w:rPr>
            </w:pPr>
            <w:r w:rsidRPr="00F66921">
              <w:rPr>
                <w:b/>
                <w:bCs/>
                <w:color w:val="000000"/>
                <w:sz w:val="16"/>
                <w:szCs w:val="16"/>
              </w:rPr>
              <w:t>0</w:t>
            </w:r>
          </w:p>
        </w:tc>
        <w:tc>
          <w:tcPr>
            <w:tcW w:w="473" w:type="pct"/>
            <w:tcBorders>
              <w:top w:val="nil"/>
              <w:left w:val="nil"/>
              <w:bottom w:val="single" w:sz="4" w:space="0" w:color="auto"/>
              <w:right w:val="single" w:sz="4" w:space="0" w:color="auto"/>
            </w:tcBorders>
            <w:shd w:val="clear" w:color="000000" w:fill="BFBFBF"/>
            <w:noWrap/>
            <w:vAlign w:val="center"/>
            <w:hideMark/>
          </w:tcPr>
          <w:p w:rsidR="00A70D39" w:rsidRPr="00F66921" w:rsidRDefault="00A70D39" w:rsidP="002151A5">
            <w:pPr>
              <w:jc w:val="right"/>
              <w:rPr>
                <w:b/>
                <w:bCs/>
                <w:color w:val="000000"/>
                <w:sz w:val="16"/>
                <w:szCs w:val="16"/>
              </w:rPr>
            </w:pPr>
            <w:r w:rsidRPr="00F66921">
              <w:rPr>
                <w:b/>
                <w:bCs/>
                <w:color w:val="000000"/>
                <w:sz w:val="16"/>
                <w:szCs w:val="16"/>
              </w:rPr>
              <w:t>0</w:t>
            </w:r>
          </w:p>
        </w:tc>
        <w:tc>
          <w:tcPr>
            <w:tcW w:w="475" w:type="pct"/>
            <w:tcBorders>
              <w:top w:val="nil"/>
              <w:left w:val="nil"/>
              <w:bottom w:val="single" w:sz="4" w:space="0" w:color="auto"/>
              <w:right w:val="single" w:sz="4" w:space="0" w:color="auto"/>
            </w:tcBorders>
            <w:shd w:val="clear" w:color="000000" w:fill="BFBFBF"/>
            <w:noWrap/>
            <w:vAlign w:val="center"/>
            <w:hideMark/>
          </w:tcPr>
          <w:p w:rsidR="00A70D39" w:rsidRPr="00F66921" w:rsidRDefault="00A70D39" w:rsidP="002151A5">
            <w:pPr>
              <w:jc w:val="right"/>
              <w:rPr>
                <w:b/>
                <w:bCs/>
                <w:color w:val="000000"/>
                <w:sz w:val="16"/>
                <w:szCs w:val="16"/>
              </w:rPr>
            </w:pPr>
            <w:r w:rsidRPr="00F66921">
              <w:rPr>
                <w:b/>
                <w:bCs/>
                <w:color w:val="000000"/>
                <w:sz w:val="16"/>
                <w:szCs w:val="16"/>
              </w:rPr>
              <w:t>0</w:t>
            </w:r>
          </w:p>
        </w:tc>
      </w:tr>
      <w:tr w:rsidR="00A70D39" w:rsidRPr="00F66921" w:rsidTr="002151A5">
        <w:trPr>
          <w:trHeight w:val="254"/>
        </w:trPr>
        <w:tc>
          <w:tcPr>
            <w:tcW w:w="2929" w:type="pct"/>
            <w:tcBorders>
              <w:top w:val="nil"/>
              <w:left w:val="single" w:sz="4" w:space="0" w:color="auto"/>
              <w:bottom w:val="single" w:sz="4" w:space="0" w:color="auto"/>
              <w:right w:val="single" w:sz="4" w:space="0" w:color="auto"/>
            </w:tcBorders>
            <w:noWrap/>
            <w:vAlign w:val="center"/>
            <w:hideMark/>
          </w:tcPr>
          <w:p w:rsidR="00A70D39" w:rsidRPr="00F66921" w:rsidRDefault="00A70D39" w:rsidP="002151A5">
            <w:pPr>
              <w:rPr>
                <w:i/>
                <w:iCs/>
                <w:color w:val="000000"/>
                <w:sz w:val="16"/>
                <w:szCs w:val="16"/>
              </w:rPr>
            </w:pPr>
            <w:r w:rsidRPr="00F66921">
              <w:rPr>
                <w:i/>
                <w:iCs/>
                <w:color w:val="000000"/>
                <w:sz w:val="16"/>
                <w:szCs w:val="16"/>
              </w:rPr>
              <w:t>- vplyv na ŠR</w:t>
            </w:r>
          </w:p>
        </w:tc>
        <w:tc>
          <w:tcPr>
            <w:tcW w:w="650"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i/>
                <w:iCs/>
                <w:color w:val="000000"/>
                <w:sz w:val="16"/>
                <w:szCs w:val="16"/>
              </w:rPr>
            </w:pPr>
            <w:r w:rsidRPr="00F66921">
              <w:rPr>
                <w:i/>
                <w:iCs/>
                <w:color w:val="000000"/>
                <w:sz w:val="16"/>
                <w:szCs w:val="16"/>
              </w:rPr>
              <w:t>0</w:t>
            </w:r>
          </w:p>
        </w:tc>
        <w:tc>
          <w:tcPr>
            <w:tcW w:w="473"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0</w:t>
            </w:r>
          </w:p>
        </w:tc>
        <w:tc>
          <w:tcPr>
            <w:tcW w:w="473"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0</w:t>
            </w:r>
          </w:p>
        </w:tc>
        <w:tc>
          <w:tcPr>
            <w:tcW w:w="475"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0</w:t>
            </w:r>
          </w:p>
        </w:tc>
      </w:tr>
      <w:tr w:rsidR="00A70D39" w:rsidRPr="00F66921" w:rsidTr="002151A5">
        <w:trPr>
          <w:trHeight w:val="254"/>
        </w:trPr>
        <w:tc>
          <w:tcPr>
            <w:tcW w:w="2929" w:type="pct"/>
            <w:tcBorders>
              <w:top w:val="nil"/>
              <w:left w:val="single" w:sz="4" w:space="0" w:color="auto"/>
              <w:bottom w:val="single" w:sz="4" w:space="0" w:color="auto"/>
              <w:right w:val="single" w:sz="4" w:space="0" w:color="auto"/>
            </w:tcBorders>
            <w:noWrap/>
            <w:vAlign w:val="center"/>
            <w:hideMark/>
          </w:tcPr>
          <w:p w:rsidR="00A70D39" w:rsidRPr="00F66921" w:rsidRDefault="00A70D39" w:rsidP="002151A5">
            <w:pPr>
              <w:rPr>
                <w:i/>
                <w:iCs/>
                <w:color w:val="000000"/>
                <w:sz w:val="16"/>
                <w:szCs w:val="16"/>
              </w:rPr>
            </w:pPr>
            <w:r w:rsidRPr="00F66921">
              <w:rPr>
                <w:i/>
                <w:iCs/>
                <w:color w:val="000000"/>
                <w:sz w:val="16"/>
                <w:szCs w:val="16"/>
              </w:rPr>
              <w:t>- vplyv na obce</w:t>
            </w:r>
          </w:p>
        </w:tc>
        <w:tc>
          <w:tcPr>
            <w:tcW w:w="650"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i/>
                <w:iCs/>
                <w:color w:val="000000"/>
                <w:sz w:val="16"/>
                <w:szCs w:val="16"/>
              </w:rPr>
            </w:pPr>
            <w:r w:rsidRPr="00F66921">
              <w:rPr>
                <w:i/>
                <w:iCs/>
                <w:color w:val="000000"/>
                <w:sz w:val="16"/>
                <w:szCs w:val="16"/>
              </w:rPr>
              <w:t>0</w:t>
            </w:r>
          </w:p>
        </w:tc>
        <w:tc>
          <w:tcPr>
            <w:tcW w:w="473"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0</w:t>
            </w:r>
          </w:p>
        </w:tc>
        <w:tc>
          <w:tcPr>
            <w:tcW w:w="473"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0</w:t>
            </w:r>
          </w:p>
        </w:tc>
        <w:tc>
          <w:tcPr>
            <w:tcW w:w="475"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0</w:t>
            </w:r>
          </w:p>
        </w:tc>
      </w:tr>
      <w:tr w:rsidR="00A70D39" w:rsidRPr="00F66921" w:rsidTr="002151A5">
        <w:trPr>
          <w:trHeight w:val="254"/>
        </w:trPr>
        <w:tc>
          <w:tcPr>
            <w:tcW w:w="2929" w:type="pct"/>
            <w:tcBorders>
              <w:top w:val="nil"/>
              <w:left w:val="single" w:sz="4" w:space="0" w:color="auto"/>
              <w:bottom w:val="single" w:sz="4" w:space="0" w:color="auto"/>
              <w:right w:val="single" w:sz="4" w:space="0" w:color="auto"/>
            </w:tcBorders>
            <w:noWrap/>
            <w:vAlign w:val="center"/>
            <w:hideMark/>
          </w:tcPr>
          <w:p w:rsidR="00A70D39" w:rsidRPr="00F66921" w:rsidRDefault="00A70D39" w:rsidP="002151A5">
            <w:pPr>
              <w:rPr>
                <w:i/>
                <w:iCs/>
                <w:color w:val="000000"/>
                <w:sz w:val="16"/>
                <w:szCs w:val="16"/>
              </w:rPr>
            </w:pPr>
            <w:r w:rsidRPr="00F66921">
              <w:rPr>
                <w:i/>
                <w:iCs/>
                <w:color w:val="000000"/>
                <w:sz w:val="16"/>
                <w:szCs w:val="16"/>
              </w:rPr>
              <w:t>- vplyv na vyššie územné celky</w:t>
            </w:r>
          </w:p>
        </w:tc>
        <w:tc>
          <w:tcPr>
            <w:tcW w:w="650"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i/>
                <w:iCs/>
                <w:color w:val="000000"/>
                <w:sz w:val="16"/>
                <w:szCs w:val="16"/>
              </w:rPr>
            </w:pPr>
            <w:r w:rsidRPr="00F66921">
              <w:rPr>
                <w:i/>
                <w:iCs/>
                <w:color w:val="000000"/>
                <w:sz w:val="16"/>
                <w:szCs w:val="16"/>
              </w:rPr>
              <w:t>0</w:t>
            </w:r>
          </w:p>
        </w:tc>
        <w:tc>
          <w:tcPr>
            <w:tcW w:w="473"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0</w:t>
            </w:r>
          </w:p>
        </w:tc>
        <w:tc>
          <w:tcPr>
            <w:tcW w:w="473"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0</w:t>
            </w:r>
          </w:p>
        </w:tc>
        <w:tc>
          <w:tcPr>
            <w:tcW w:w="475"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0</w:t>
            </w:r>
          </w:p>
        </w:tc>
      </w:tr>
      <w:tr w:rsidR="00A70D39" w:rsidRPr="00F66921" w:rsidTr="002151A5">
        <w:trPr>
          <w:trHeight w:val="254"/>
        </w:trPr>
        <w:tc>
          <w:tcPr>
            <w:tcW w:w="2929" w:type="pct"/>
            <w:tcBorders>
              <w:top w:val="nil"/>
              <w:left w:val="single" w:sz="4" w:space="0" w:color="auto"/>
              <w:bottom w:val="single" w:sz="4" w:space="0" w:color="auto"/>
              <w:right w:val="single" w:sz="4" w:space="0" w:color="auto"/>
            </w:tcBorders>
            <w:noWrap/>
            <w:vAlign w:val="center"/>
            <w:hideMark/>
          </w:tcPr>
          <w:p w:rsidR="00A70D39" w:rsidRPr="00F66921" w:rsidRDefault="00A70D39" w:rsidP="002151A5">
            <w:pPr>
              <w:rPr>
                <w:i/>
                <w:iCs/>
                <w:color w:val="000000"/>
                <w:sz w:val="16"/>
                <w:szCs w:val="16"/>
              </w:rPr>
            </w:pPr>
            <w:r w:rsidRPr="00F66921">
              <w:rPr>
                <w:i/>
                <w:iCs/>
                <w:color w:val="000000"/>
                <w:sz w:val="16"/>
                <w:szCs w:val="16"/>
              </w:rPr>
              <w:t>- vplyv na ostatné subjekty verejnej správy</w:t>
            </w:r>
          </w:p>
        </w:tc>
        <w:tc>
          <w:tcPr>
            <w:tcW w:w="650"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i/>
                <w:iCs/>
                <w:color w:val="000000"/>
                <w:sz w:val="16"/>
                <w:szCs w:val="16"/>
              </w:rPr>
            </w:pPr>
            <w:r w:rsidRPr="00F66921">
              <w:rPr>
                <w:i/>
                <w:iCs/>
                <w:color w:val="000000"/>
                <w:sz w:val="16"/>
                <w:szCs w:val="16"/>
              </w:rPr>
              <w:t>0</w:t>
            </w:r>
          </w:p>
        </w:tc>
        <w:tc>
          <w:tcPr>
            <w:tcW w:w="473"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0</w:t>
            </w:r>
          </w:p>
        </w:tc>
        <w:tc>
          <w:tcPr>
            <w:tcW w:w="473"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0</w:t>
            </w:r>
          </w:p>
        </w:tc>
        <w:tc>
          <w:tcPr>
            <w:tcW w:w="475"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0</w:t>
            </w:r>
          </w:p>
        </w:tc>
      </w:tr>
      <w:tr w:rsidR="00A70D39" w:rsidRPr="00F66921" w:rsidTr="002151A5">
        <w:trPr>
          <w:trHeight w:val="254"/>
        </w:trPr>
        <w:tc>
          <w:tcPr>
            <w:tcW w:w="2929" w:type="pct"/>
            <w:tcBorders>
              <w:top w:val="nil"/>
              <w:left w:val="single" w:sz="4" w:space="0" w:color="auto"/>
              <w:bottom w:val="single" w:sz="4" w:space="0" w:color="auto"/>
              <w:right w:val="single" w:sz="4" w:space="0" w:color="auto"/>
            </w:tcBorders>
            <w:shd w:val="clear" w:color="000000" w:fill="BFBFBF"/>
            <w:noWrap/>
            <w:vAlign w:val="center"/>
            <w:hideMark/>
          </w:tcPr>
          <w:p w:rsidR="00A70D39" w:rsidRPr="00F66921" w:rsidRDefault="00A70D39" w:rsidP="002151A5">
            <w:pPr>
              <w:rPr>
                <w:b/>
                <w:bCs/>
                <w:color w:val="000000"/>
                <w:sz w:val="16"/>
                <w:szCs w:val="16"/>
              </w:rPr>
            </w:pPr>
            <w:r w:rsidRPr="00F66921">
              <w:rPr>
                <w:b/>
                <w:bCs/>
                <w:color w:val="000000"/>
                <w:sz w:val="16"/>
                <w:szCs w:val="16"/>
              </w:rPr>
              <w:t>Vplyv na mzdové výdavky</w:t>
            </w:r>
          </w:p>
        </w:tc>
        <w:tc>
          <w:tcPr>
            <w:tcW w:w="650" w:type="pct"/>
            <w:tcBorders>
              <w:top w:val="nil"/>
              <w:left w:val="nil"/>
              <w:bottom w:val="single" w:sz="4" w:space="0" w:color="auto"/>
              <w:right w:val="single" w:sz="4" w:space="0" w:color="auto"/>
            </w:tcBorders>
            <w:shd w:val="clear" w:color="000000" w:fill="BFBFBF"/>
            <w:noWrap/>
            <w:vAlign w:val="center"/>
            <w:hideMark/>
          </w:tcPr>
          <w:p w:rsidR="00A70D39" w:rsidRPr="00F66921" w:rsidRDefault="00A70D39" w:rsidP="002151A5">
            <w:pPr>
              <w:jc w:val="right"/>
              <w:rPr>
                <w:b/>
                <w:bCs/>
                <w:color w:val="000000"/>
                <w:sz w:val="16"/>
                <w:szCs w:val="16"/>
              </w:rPr>
            </w:pPr>
            <w:r w:rsidRPr="00F66921">
              <w:rPr>
                <w:b/>
                <w:bCs/>
                <w:color w:val="000000"/>
                <w:sz w:val="16"/>
                <w:szCs w:val="16"/>
              </w:rPr>
              <w:t>0,00</w:t>
            </w:r>
          </w:p>
        </w:tc>
        <w:tc>
          <w:tcPr>
            <w:tcW w:w="473" w:type="pct"/>
            <w:tcBorders>
              <w:top w:val="nil"/>
              <w:left w:val="nil"/>
              <w:bottom w:val="single" w:sz="4" w:space="0" w:color="auto"/>
              <w:right w:val="single" w:sz="4" w:space="0" w:color="auto"/>
            </w:tcBorders>
            <w:shd w:val="clear" w:color="000000" w:fill="BFBFBF"/>
            <w:noWrap/>
            <w:vAlign w:val="center"/>
            <w:hideMark/>
          </w:tcPr>
          <w:p w:rsidR="00A70D39" w:rsidRPr="00F66921" w:rsidRDefault="00A70D39" w:rsidP="002151A5">
            <w:pPr>
              <w:jc w:val="right"/>
              <w:rPr>
                <w:b/>
                <w:color w:val="000000"/>
                <w:sz w:val="16"/>
                <w:szCs w:val="16"/>
              </w:rPr>
            </w:pPr>
            <w:r w:rsidRPr="00F66921">
              <w:rPr>
                <w:b/>
                <w:color w:val="000000"/>
                <w:sz w:val="16"/>
                <w:szCs w:val="16"/>
              </w:rPr>
              <w:t>0,00</w:t>
            </w:r>
          </w:p>
        </w:tc>
        <w:tc>
          <w:tcPr>
            <w:tcW w:w="473" w:type="pct"/>
            <w:tcBorders>
              <w:top w:val="nil"/>
              <w:left w:val="nil"/>
              <w:bottom w:val="single" w:sz="4" w:space="0" w:color="auto"/>
              <w:right w:val="single" w:sz="4" w:space="0" w:color="auto"/>
            </w:tcBorders>
            <w:shd w:val="clear" w:color="000000" w:fill="BFBFBF"/>
            <w:noWrap/>
            <w:vAlign w:val="center"/>
            <w:hideMark/>
          </w:tcPr>
          <w:p w:rsidR="00A70D39" w:rsidRPr="00F66921" w:rsidRDefault="00A70D39" w:rsidP="002151A5">
            <w:pPr>
              <w:jc w:val="right"/>
              <w:rPr>
                <w:b/>
                <w:color w:val="000000"/>
                <w:sz w:val="16"/>
                <w:szCs w:val="16"/>
              </w:rPr>
            </w:pPr>
            <w:r w:rsidRPr="00F66921">
              <w:rPr>
                <w:b/>
                <w:color w:val="000000"/>
                <w:sz w:val="16"/>
                <w:szCs w:val="16"/>
              </w:rPr>
              <w:t>0,00</w:t>
            </w:r>
          </w:p>
        </w:tc>
        <w:tc>
          <w:tcPr>
            <w:tcW w:w="475" w:type="pct"/>
            <w:tcBorders>
              <w:top w:val="nil"/>
              <w:left w:val="nil"/>
              <w:bottom w:val="single" w:sz="4" w:space="0" w:color="auto"/>
              <w:right w:val="single" w:sz="4" w:space="0" w:color="auto"/>
            </w:tcBorders>
            <w:shd w:val="clear" w:color="000000" w:fill="BFBFBF"/>
            <w:noWrap/>
            <w:vAlign w:val="center"/>
            <w:hideMark/>
          </w:tcPr>
          <w:p w:rsidR="00A70D39" w:rsidRPr="00F66921" w:rsidRDefault="00A70D39" w:rsidP="002151A5">
            <w:pPr>
              <w:jc w:val="right"/>
              <w:rPr>
                <w:b/>
                <w:color w:val="000000"/>
                <w:sz w:val="16"/>
                <w:szCs w:val="16"/>
              </w:rPr>
            </w:pPr>
            <w:r w:rsidRPr="00F66921">
              <w:rPr>
                <w:b/>
                <w:color w:val="000000"/>
                <w:sz w:val="16"/>
                <w:szCs w:val="16"/>
              </w:rPr>
              <w:t>0,00</w:t>
            </w:r>
          </w:p>
        </w:tc>
      </w:tr>
      <w:tr w:rsidR="00A70D39" w:rsidRPr="00F66921" w:rsidTr="002151A5">
        <w:trPr>
          <w:trHeight w:val="254"/>
        </w:trPr>
        <w:tc>
          <w:tcPr>
            <w:tcW w:w="2929" w:type="pct"/>
            <w:tcBorders>
              <w:top w:val="nil"/>
              <w:left w:val="single" w:sz="4" w:space="0" w:color="auto"/>
              <w:bottom w:val="single" w:sz="4" w:space="0" w:color="auto"/>
              <w:right w:val="single" w:sz="4" w:space="0" w:color="auto"/>
            </w:tcBorders>
            <w:noWrap/>
            <w:vAlign w:val="center"/>
            <w:hideMark/>
          </w:tcPr>
          <w:p w:rsidR="00A70D39" w:rsidRPr="00F66921" w:rsidRDefault="00A70D39" w:rsidP="002151A5">
            <w:pPr>
              <w:rPr>
                <w:i/>
                <w:iCs/>
                <w:color w:val="000000"/>
                <w:sz w:val="16"/>
                <w:szCs w:val="16"/>
              </w:rPr>
            </w:pPr>
            <w:r w:rsidRPr="00F66921">
              <w:rPr>
                <w:i/>
                <w:iCs/>
                <w:color w:val="000000"/>
                <w:sz w:val="16"/>
                <w:szCs w:val="16"/>
              </w:rPr>
              <w:t>- vplyv na ŠR</w:t>
            </w:r>
          </w:p>
        </w:tc>
        <w:tc>
          <w:tcPr>
            <w:tcW w:w="650"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i/>
                <w:iCs/>
                <w:color w:val="000000"/>
                <w:sz w:val="16"/>
                <w:szCs w:val="16"/>
              </w:rPr>
            </w:pPr>
            <w:r w:rsidRPr="00F66921">
              <w:rPr>
                <w:i/>
                <w:iCs/>
                <w:color w:val="000000"/>
                <w:sz w:val="16"/>
                <w:szCs w:val="16"/>
              </w:rPr>
              <w:t>0,00</w:t>
            </w:r>
          </w:p>
        </w:tc>
        <w:tc>
          <w:tcPr>
            <w:tcW w:w="473" w:type="pct"/>
            <w:tcBorders>
              <w:top w:val="nil"/>
              <w:left w:val="nil"/>
              <w:bottom w:val="single" w:sz="4" w:space="0" w:color="auto"/>
              <w:right w:val="single" w:sz="4" w:space="0" w:color="auto"/>
            </w:tcBorders>
            <w:shd w:val="clear" w:color="000000" w:fill="FFFFFF"/>
            <w:noWrap/>
            <w:vAlign w:val="center"/>
            <w:hideMark/>
          </w:tcPr>
          <w:p w:rsidR="00A70D39" w:rsidRPr="00F66921" w:rsidRDefault="00A70D39" w:rsidP="002151A5">
            <w:pPr>
              <w:jc w:val="right"/>
              <w:rPr>
                <w:color w:val="000000"/>
                <w:sz w:val="16"/>
                <w:szCs w:val="16"/>
              </w:rPr>
            </w:pPr>
            <w:r w:rsidRPr="00F66921">
              <w:rPr>
                <w:color w:val="000000"/>
                <w:sz w:val="16"/>
                <w:szCs w:val="16"/>
              </w:rPr>
              <w:t>0,00</w:t>
            </w:r>
          </w:p>
        </w:tc>
        <w:tc>
          <w:tcPr>
            <w:tcW w:w="473" w:type="pct"/>
            <w:tcBorders>
              <w:top w:val="nil"/>
              <w:left w:val="nil"/>
              <w:bottom w:val="single" w:sz="4" w:space="0" w:color="auto"/>
              <w:right w:val="single" w:sz="4" w:space="0" w:color="auto"/>
            </w:tcBorders>
            <w:shd w:val="clear" w:color="000000" w:fill="FFFFFF"/>
            <w:noWrap/>
            <w:vAlign w:val="center"/>
            <w:hideMark/>
          </w:tcPr>
          <w:p w:rsidR="00A70D39" w:rsidRPr="00F66921" w:rsidRDefault="00A70D39" w:rsidP="002151A5">
            <w:pPr>
              <w:jc w:val="right"/>
              <w:rPr>
                <w:color w:val="000000"/>
                <w:sz w:val="16"/>
                <w:szCs w:val="16"/>
              </w:rPr>
            </w:pPr>
            <w:r w:rsidRPr="00F66921">
              <w:rPr>
                <w:color w:val="000000"/>
                <w:sz w:val="16"/>
                <w:szCs w:val="16"/>
              </w:rPr>
              <w:t>0,00</w:t>
            </w:r>
          </w:p>
        </w:tc>
        <w:tc>
          <w:tcPr>
            <w:tcW w:w="475" w:type="pct"/>
            <w:tcBorders>
              <w:top w:val="nil"/>
              <w:left w:val="nil"/>
              <w:bottom w:val="single" w:sz="4" w:space="0" w:color="auto"/>
              <w:right w:val="single" w:sz="4" w:space="0" w:color="auto"/>
            </w:tcBorders>
            <w:shd w:val="clear" w:color="000000" w:fill="FFFFFF"/>
            <w:noWrap/>
            <w:vAlign w:val="center"/>
            <w:hideMark/>
          </w:tcPr>
          <w:p w:rsidR="00A70D39" w:rsidRPr="00F66921" w:rsidRDefault="00A70D39" w:rsidP="002151A5">
            <w:pPr>
              <w:jc w:val="right"/>
              <w:rPr>
                <w:color w:val="000000"/>
                <w:sz w:val="16"/>
                <w:szCs w:val="16"/>
              </w:rPr>
            </w:pPr>
            <w:r w:rsidRPr="00F66921">
              <w:rPr>
                <w:color w:val="000000"/>
                <w:sz w:val="16"/>
                <w:szCs w:val="16"/>
              </w:rPr>
              <w:t>0,00</w:t>
            </w:r>
          </w:p>
        </w:tc>
      </w:tr>
      <w:tr w:rsidR="00A70D39" w:rsidRPr="00F66921" w:rsidTr="002151A5">
        <w:trPr>
          <w:trHeight w:val="254"/>
        </w:trPr>
        <w:tc>
          <w:tcPr>
            <w:tcW w:w="2929" w:type="pct"/>
            <w:tcBorders>
              <w:top w:val="nil"/>
              <w:left w:val="single" w:sz="4" w:space="0" w:color="auto"/>
              <w:bottom w:val="single" w:sz="4" w:space="0" w:color="auto"/>
              <w:right w:val="single" w:sz="4" w:space="0" w:color="auto"/>
            </w:tcBorders>
            <w:noWrap/>
            <w:vAlign w:val="center"/>
            <w:hideMark/>
          </w:tcPr>
          <w:p w:rsidR="00A70D39" w:rsidRPr="00F66921" w:rsidRDefault="00A70D39" w:rsidP="002151A5">
            <w:pPr>
              <w:rPr>
                <w:i/>
                <w:iCs/>
                <w:color w:val="000000"/>
                <w:sz w:val="16"/>
                <w:szCs w:val="16"/>
              </w:rPr>
            </w:pPr>
            <w:r w:rsidRPr="00F66921">
              <w:rPr>
                <w:i/>
                <w:iCs/>
                <w:color w:val="000000"/>
                <w:sz w:val="16"/>
                <w:szCs w:val="16"/>
              </w:rPr>
              <w:t>- vplyv na obce</w:t>
            </w:r>
          </w:p>
        </w:tc>
        <w:tc>
          <w:tcPr>
            <w:tcW w:w="650"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i/>
                <w:iCs/>
                <w:color w:val="000000"/>
                <w:sz w:val="16"/>
                <w:szCs w:val="16"/>
              </w:rPr>
            </w:pPr>
            <w:r w:rsidRPr="00F66921">
              <w:rPr>
                <w:i/>
                <w:iCs/>
                <w:color w:val="000000"/>
                <w:sz w:val="16"/>
                <w:szCs w:val="16"/>
              </w:rPr>
              <w:t>0,00</w:t>
            </w:r>
          </w:p>
        </w:tc>
        <w:tc>
          <w:tcPr>
            <w:tcW w:w="473"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0,00</w:t>
            </w:r>
          </w:p>
        </w:tc>
        <w:tc>
          <w:tcPr>
            <w:tcW w:w="473"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0,00</w:t>
            </w:r>
          </w:p>
        </w:tc>
        <w:tc>
          <w:tcPr>
            <w:tcW w:w="475"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0,00</w:t>
            </w:r>
          </w:p>
        </w:tc>
      </w:tr>
      <w:tr w:rsidR="00A70D39" w:rsidRPr="00F66921" w:rsidTr="002151A5">
        <w:trPr>
          <w:trHeight w:val="254"/>
        </w:trPr>
        <w:tc>
          <w:tcPr>
            <w:tcW w:w="2929" w:type="pct"/>
            <w:tcBorders>
              <w:top w:val="nil"/>
              <w:left w:val="single" w:sz="4" w:space="0" w:color="auto"/>
              <w:bottom w:val="single" w:sz="4" w:space="0" w:color="auto"/>
              <w:right w:val="single" w:sz="4" w:space="0" w:color="auto"/>
            </w:tcBorders>
            <w:noWrap/>
            <w:vAlign w:val="center"/>
            <w:hideMark/>
          </w:tcPr>
          <w:p w:rsidR="00A70D39" w:rsidRPr="00F66921" w:rsidRDefault="00A70D39" w:rsidP="002151A5">
            <w:pPr>
              <w:rPr>
                <w:i/>
                <w:iCs/>
                <w:color w:val="000000"/>
                <w:sz w:val="16"/>
                <w:szCs w:val="16"/>
              </w:rPr>
            </w:pPr>
            <w:r w:rsidRPr="00F66921">
              <w:rPr>
                <w:i/>
                <w:iCs/>
                <w:color w:val="000000"/>
                <w:sz w:val="16"/>
                <w:szCs w:val="16"/>
              </w:rPr>
              <w:t>- vplyv na vyššie územné celky</w:t>
            </w:r>
          </w:p>
        </w:tc>
        <w:tc>
          <w:tcPr>
            <w:tcW w:w="650"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i/>
                <w:iCs/>
                <w:color w:val="000000"/>
                <w:sz w:val="16"/>
                <w:szCs w:val="16"/>
              </w:rPr>
            </w:pPr>
            <w:r w:rsidRPr="00F66921">
              <w:rPr>
                <w:i/>
                <w:iCs/>
                <w:color w:val="000000"/>
                <w:sz w:val="16"/>
                <w:szCs w:val="16"/>
              </w:rPr>
              <w:t>0,00</w:t>
            </w:r>
          </w:p>
        </w:tc>
        <w:tc>
          <w:tcPr>
            <w:tcW w:w="473"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0,00</w:t>
            </w:r>
          </w:p>
        </w:tc>
        <w:tc>
          <w:tcPr>
            <w:tcW w:w="473"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0,00</w:t>
            </w:r>
          </w:p>
        </w:tc>
        <w:tc>
          <w:tcPr>
            <w:tcW w:w="475"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0,00</w:t>
            </w:r>
          </w:p>
        </w:tc>
      </w:tr>
      <w:tr w:rsidR="00A70D39" w:rsidRPr="00F66921" w:rsidTr="002151A5">
        <w:trPr>
          <w:trHeight w:val="254"/>
        </w:trPr>
        <w:tc>
          <w:tcPr>
            <w:tcW w:w="2929" w:type="pct"/>
            <w:tcBorders>
              <w:top w:val="nil"/>
              <w:left w:val="single" w:sz="4" w:space="0" w:color="auto"/>
              <w:bottom w:val="single" w:sz="4" w:space="0" w:color="auto"/>
              <w:right w:val="single" w:sz="4" w:space="0" w:color="auto"/>
            </w:tcBorders>
            <w:noWrap/>
            <w:vAlign w:val="center"/>
            <w:hideMark/>
          </w:tcPr>
          <w:p w:rsidR="00A70D39" w:rsidRPr="00F66921" w:rsidRDefault="00A70D39" w:rsidP="002151A5">
            <w:pPr>
              <w:rPr>
                <w:i/>
                <w:iCs/>
                <w:color w:val="000000"/>
                <w:sz w:val="16"/>
                <w:szCs w:val="16"/>
              </w:rPr>
            </w:pPr>
            <w:r w:rsidRPr="00F66921">
              <w:rPr>
                <w:i/>
                <w:iCs/>
                <w:color w:val="000000"/>
                <w:sz w:val="16"/>
                <w:szCs w:val="16"/>
              </w:rPr>
              <w:t>- vplyv na ostatné subjekty verejnej správy</w:t>
            </w:r>
          </w:p>
        </w:tc>
        <w:tc>
          <w:tcPr>
            <w:tcW w:w="650"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i/>
                <w:iCs/>
                <w:color w:val="000000"/>
                <w:sz w:val="16"/>
                <w:szCs w:val="16"/>
              </w:rPr>
            </w:pPr>
            <w:r w:rsidRPr="00F66921">
              <w:rPr>
                <w:i/>
                <w:iCs/>
                <w:color w:val="000000"/>
                <w:sz w:val="16"/>
                <w:szCs w:val="16"/>
              </w:rPr>
              <w:t>0,00</w:t>
            </w:r>
          </w:p>
        </w:tc>
        <w:tc>
          <w:tcPr>
            <w:tcW w:w="473"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0,00</w:t>
            </w:r>
          </w:p>
        </w:tc>
        <w:tc>
          <w:tcPr>
            <w:tcW w:w="473"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0,00</w:t>
            </w:r>
          </w:p>
        </w:tc>
        <w:tc>
          <w:tcPr>
            <w:tcW w:w="475"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0,00</w:t>
            </w:r>
          </w:p>
        </w:tc>
      </w:tr>
      <w:tr w:rsidR="00A70D39" w:rsidRPr="00F66921" w:rsidTr="002151A5">
        <w:trPr>
          <w:trHeight w:val="254"/>
        </w:trPr>
        <w:tc>
          <w:tcPr>
            <w:tcW w:w="2929" w:type="pct"/>
            <w:tcBorders>
              <w:top w:val="nil"/>
              <w:left w:val="single" w:sz="4" w:space="0" w:color="auto"/>
              <w:bottom w:val="single" w:sz="4" w:space="0" w:color="auto"/>
              <w:right w:val="single" w:sz="4" w:space="0" w:color="auto"/>
            </w:tcBorders>
            <w:shd w:val="clear" w:color="000000" w:fill="C0C0C0"/>
            <w:noWrap/>
            <w:vAlign w:val="center"/>
            <w:hideMark/>
          </w:tcPr>
          <w:p w:rsidR="00A70D39" w:rsidRPr="00F66921" w:rsidRDefault="00A70D39" w:rsidP="002151A5">
            <w:pPr>
              <w:rPr>
                <w:b/>
                <w:bCs/>
                <w:color w:val="000000"/>
                <w:sz w:val="16"/>
                <w:szCs w:val="16"/>
              </w:rPr>
            </w:pPr>
            <w:r w:rsidRPr="00F66921">
              <w:rPr>
                <w:b/>
                <w:bCs/>
                <w:color w:val="000000"/>
                <w:sz w:val="16"/>
                <w:szCs w:val="16"/>
              </w:rPr>
              <w:t>Financovanie zabezpečené v rozpočte</w:t>
            </w:r>
          </w:p>
        </w:tc>
        <w:tc>
          <w:tcPr>
            <w:tcW w:w="650" w:type="pct"/>
            <w:tcBorders>
              <w:top w:val="nil"/>
              <w:left w:val="nil"/>
              <w:bottom w:val="single" w:sz="4" w:space="0" w:color="auto"/>
              <w:right w:val="single" w:sz="4" w:space="0" w:color="auto"/>
            </w:tcBorders>
            <w:shd w:val="clear" w:color="000000" w:fill="C0C0C0"/>
            <w:noWrap/>
            <w:vAlign w:val="center"/>
            <w:hideMark/>
          </w:tcPr>
          <w:p w:rsidR="00A70D39" w:rsidRPr="00F66921" w:rsidRDefault="00A70D39" w:rsidP="002151A5">
            <w:pPr>
              <w:jc w:val="right"/>
              <w:rPr>
                <w:color w:val="000000"/>
                <w:sz w:val="16"/>
                <w:szCs w:val="16"/>
              </w:rPr>
            </w:pPr>
            <w:r w:rsidRPr="00F66921">
              <w:rPr>
                <w:b/>
                <w:bCs/>
                <w:color w:val="000000"/>
                <w:sz w:val="16"/>
                <w:szCs w:val="16"/>
              </w:rPr>
              <w:t>342 888,0</w:t>
            </w:r>
            <w:r w:rsidRPr="00F66921">
              <w:rPr>
                <w:b/>
                <w:color w:val="000000"/>
                <w:sz w:val="16"/>
                <w:szCs w:val="16"/>
              </w:rPr>
              <w:t>0</w:t>
            </w:r>
          </w:p>
        </w:tc>
        <w:tc>
          <w:tcPr>
            <w:tcW w:w="473" w:type="pct"/>
            <w:tcBorders>
              <w:top w:val="nil"/>
              <w:left w:val="nil"/>
              <w:bottom w:val="single" w:sz="4" w:space="0" w:color="auto"/>
              <w:right w:val="single" w:sz="4" w:space="0" w:color="auto"/>
            </w:tcBorders>
            <w:shd w:val="clear" w:color="000000" w:fill="C0C0C0"/>
            <w:noWrap/>
            <w:vAlign w:val="center"/>
            <w:hideMark/>
          </w:tcPr>
          <w:p w:rsidR="00A70D39" w:rsidRPr="00F66921" w:rsidRDefault="00A70D39" w:rsidP="002151A5">
            <w:pPr>
              <w:jc w:val="right"/>
              <w:rPr>
                <w:color w:val="000000"/>
                <w:sz w:val="16"/>
                <w:szCs w:val="16"/>
              </w:rPr>
            </w:pPr>
            <w:r w:rsidRPr="00F66921">
              <w:rPr>
                <w:b/>
                <w:bCs/>
                <w:color w:val="000000"/>
                <w:sz w:val="16"/>
                <w:szCs w:val="16"/>
              </w:rPr>
              <w:t>213 888,00</w:t>
            </w:r>
          </w:p>
        </w:tc>
        <w:tc>
          <w:tcPr>
            <w:tcW w:w="473" w:type="pct"/>
            <w:tcBorders>
              <w:top w:val="nil"/>
              <w:left w:val="nil"/>
              <w:bottom w:val="single" w:sz="4" w:space="0" w:color="auto"/>
              <w:right w:val="single" w:sz="4" w:space="0" w:color="auto"/>
            </w:tcBorders>
            <w:shd w:val="clear" w:color="000000" w:fill="C0C0C0"/>
            <w:noWrap/>
            <w:vAlign w:val="center"/>
            <w:hideMark/>
          </w:tcPr>
          <w:p w:rsidR="00A70D39" w:rsidRPr="00F66921" w:rsidRDefault="00A70D39" w:rsidP="002151A5">
            <w:pPr>
              <w:jc w:val="right"/>
              <w:rPr>
                <w:b/>
                <w:bCs/>
                <w:color w:val="000000"/>
                <w:sz w:val="16"/>
                <w:szCs w:val="16"/>
              </w:rPr>
            </w:pPr>
            <w:r w:rsidRPr="00F66921">
              <w:rPr>
                <w:b/>
                <w:bCs/>
                <w:color w:val="000000"/>
                <w:sz w:val="16"/>
                <w:szCs w:val="16"/>
              </w:rPr>
              <w:t>0,00</w:t>
            </w:r>
          </w:p>
        </w:tc>
        <w:tc>
          <w:tcPr>
            <w:tcW w:w="475" w:type="pct"/>
            <w:tcBorders>
              <w:top w:val="nil"/>
              <w:left w:val="nil"/>
              <w:bottom w:val="single" w:sz="4" w:space="0" w:color="auto"/>
              <w:right w:val="single" w:sz="4" w:space="0" w:color="auto"/>
            </w:tcBorders>
            <w:shd w:val="clear" w:color="000000" w:fill="C0C0C0"/>
            <w:noWrap/>
            <w:vAlign w:val="center"/>
            <w:hideMark/>
          </w:tcPr>
          <w:p w:rsidR="00A70D39" w:rsidRPr="00F66921" w:rsidRDefault="00A70D39" w:rsidP="002151A5">
            <w:pPr>
              <w:jc w:val="right"/>
              <w:rPr>
                <w:b/>
                <w:bCs/>
                <w:color w:val="000000"/>
                <w:sz w:val="16"/>
                <w:szCs w:val="16"/>
              </w:rPr>
            </w:pPr>
            <w:r w:rsidRPr="00F66921">
              <w:rPr>
                <w:b/>
                <w:bCs/>
                <w:color w:val="000000"/>
                <w:sz w:val="16"/>
                <w:szCs w:val="16"/>
              </w:rPr>
              <w:t>0,00</w:t>
            </w:r>
          </w:p>
        </w:tc>
      </w:tr>
      <w:tr w:rsidR="00A70D39" w:rsidRPr="00F66921" w:rsidTr="002151A5">
        <w:trPr>
          <w:trHeight w:val="254"/>
        </w:trPr>
        <w:tc>
          <w:tcPr>
            <w:tcW w:w="2929" w:type="pct"/>
            <w:tcBorders>
              <w:top w:val="nil"/>
              <w:left w:val="single" w:sz="4" w:space="0" w:color="auto"/>
              <w:bottom w:val="single" w:sz="4" w:space="0" w:color="auto"/>
              <w:right w:val="single" w:sz="4" w:space="0" w:color="auto"/>
            </w:tcBorders>
            <w:noWrap/>
            <w:vAlign w:val="center"/>
            <w:hideMark/>
          </w:tcPr>
          <w:p w:rsidR="00A70D39" w:rsidRPr="00F66921" w:rsidRDefault="00A70D39" w:rsidP="002151A5">
            <w:pPr>
              <w:rPr>
                <w:color w:val="000000"/>
                <w:sz w:val="16"/>
                <w:szCs w:val="16"/>
              </w:rPr>
            </w:pPr>
            <w:r w:rsidRPr="00F66921">
              <w:rPr>
                <w:color w:val="000000"/>
                <w:sz w:val="16"/>
                <w:szCs w:val="16"/>
              </w:rPr>
              <w:t xml:space="preserve">v tom:  </w:t>
            </w:r>
            <w:r w:rsidRPr="00F66921">
              <w:rPr>
                <w:bCs/>
                <w:i/>
                <w:iCs/>
                <w:color w:val="000000"/>
                <w:sz w:val="16"/>
                <w:szCs w:val="16"/>
              </w:rPr>
              <w:t>kapitola MF SR/0EK 0D IT financované zo ŠR – MF SR (</w:t>
            </w:r>
            <w:proofErr w:type="spellStart"/>
            <w:r w:rsidRPr="00F66921">
              <w:rPr>
                <w:bCs/>
                <w:i/>
                <w:iCs/>
                <w:color w:val="000000"/>
                <w:sz w:val="16"/>
                <w:szCs w:val="16"/>
              </w:rPr>
              <w:t>org</w:t>
            </w:r>
            <w:proofErr w:type="spellEnd"/>
            <w:r w:rsidRPr="00F66921">
              <w:rPr>
                <w:bCs/>
                <w:i/>
                <w:iCs/>
                <w:color w:val="000000"/>
                <w:sz w:val="16"/>
                <w:szCs w:val="16"/>
              </w:rPr>
              <w:t>. MF SR – úrad)</w:t>
            </w:r>
          </w:p>
        </w:tc>
        <w:tc>
          <w:tcPr>
            <w:tcW w:w="650"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bCs/>
                <w:color w:val="000000"/>
                <w:sz w:val="16"/>
                <w:szCs w:val="16"/>
              </w:rPr>
              <w:t>90 288,00</w:t>
            </w:r>
          </w:p>
        </w:tc>
        <w:tc>
          <w:tcPr>
            <w:tcW w:w="473"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0,00</w:t>
            </w:r>
          </w:p>
        </w:tc>
        <w:tc>
          <w:tcPr>
            <w:tcW w:w="473"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0,00</w:t>
            </w:r>
          </w:p>
        </w:tc>
        <w:tc>
          <w:tcPr>
            <w:tcW w:w="475"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0,00</w:t>
            </w:r>
          </w:p>
        </w:tc>
      </w:tr>
      <w:tr w:rsidR="00A70D39" w:rsidRPr="00F66921" w:rsidTr="002151A5">
        <w:trPr>
          <w:trHeight w:val="254"/>
        </w:trPr>
        <w:tc>
          <w:tcPr>
            <w:tcW w:w="2929" w:type="pct"/>
            <w:tcBorders>
              <w:top w:val="nil"/>
              <w:left w:val="single" w:sz="4" w:space="0" w:color="auto"/>
              <w:bottom w:val="single" w:sz="4" w:space="0" w:color="auto"/>
              <w:right w:val="single" w:sz="4" w:space="0" w:color="auto"/>
            </w:tcBorders>
            <w:noWrap/>
            <w:vAlign w:val="center"/>
          </w:tcPr>
          <w:p w:rsidR="00A70D39" w:rsidRPr="00F66921" w:rsidRDefault="00A70D39" w:rsidP="002151A5">
            <w:pPr>
              <w:rPr>
                <w:color w:val="000000"/>
                <w:sz w:val="16"/>
                <w:szCs w:val="16"/>
              </w:rPr>
            </w:pPr>
            <w:r w:rsidRPr="00F66921">
              <w:rPr>
                <w:color w:val="000000"/>
                <w:sz w:val="16"/>
                <w:szCs w:val="16"/>
              </w:rPr>
              <w:t xml:space="preserve">            </w:t>
            </w:r>
            <w:r w:rsidRPr="00F66921">
              <w:rPr>
                <w:bCs/>
                <w:i/>
                <w:iCs/>
                <w:color w:val="000000"/>
                <w:sz w:val="16"/>
                <w:szCs w:val="16"/>
              </w:rPr>
              <w:t>kapitola MF SR/0EK 0D IT financované zo ŠR – MF SR (</w:t>
            </w:r>
            <w:proofErr w:type="spellStart"/>
            <w:r w:rsidRPr="00F66921">
              <w:rPr>
                <w:bCs/>
                <w:i/>
                <w:iCs/>
                <w:color w:val="000000"/>
                <w:sz w:val="16"/>
                <w:szCs w:val="16"/>
              </w:rPr>
              <w:t>org</w:t>
            </w:r>
            <w:proofErr w:type="spellEnd"/>
            <w:r w:rsidRPr="00F66921">
              <w:rPr>
                <w:bCs/>
                <w:i/>
                <w:iCs/>
                <w:color w:val="000000"/>
                <w:sz w:val="16"/>
                <w:szCs w:val="16"/>
              </w:rPr>
              <w:t>. FR SR)</w:t>
            </w:r>
          </w:p>
        </w:tc>
        <w:tc>
          <w:tcPr>
            <w:tcW w:w="650" w:type="pct"/>
            <w:tcBorders>
              <w:top w:val="nil"/>
              <w:left w:val="nil"/>
              <w:bottom w:val="single" w:sz="4" w:space="0" w:color="auto"/>
              <w:right w:val="single" w:sz="4" w:space="0" w:color="auto"/>
            </w:tcBorders>
            <w:noWrap/>
            <w:vAlign w:val="center"/>
          </w:tcPr>
          <w:p w:rsidR="00A70D39" w:rsidRPr="00F66921" w:rsidRDefault="00A70D39" w:rsidP="002151A5">
            <w:pPr>
              <w:jc w:val="right"/>
              <w:rPr>
                <w:color w:val="000000"/>
                <w:sz w:val="16"/>
                <w:szCs w:val="16"/>
              </w:rPr>
            </w:pPr>
            <w:r w:rsidRPr="00F66921">
              <w:rPr>
                <w:bCs/>
                <w:iCs/>
                <w:color w:val="000000"/>
                <w:sz w:val="16"/>
                <w:szCs w:val="16"/>
              </w:rPr>
              <w:t>252 600,00</w:t>
            </w:r>
          </w:p>
        </w:tc>
        <w:tc>
          <w:tcPr>
            <w:tcW w:w="473" w:type="pct"/>
            <w:tcBorders>
              <w:top w:val="nil"/>
              <w:left w:val="nil"/>
              <w:bottom w:val="single" w:sz="4" w:space="0" w:color="auto"/>
              <w:right w:val="single" w:sz="4" w:space="0" w:color="auto"/>
            </w:tcBorders>
            <w:noWrap/>
            <w:vAlign w:val="center"/>
          </w:tcPr>
          <w:p w:rsidR="00A70D39" w:rsidRPr="00F66921" w:rsidRDefault="00A70D39" w:rsidP="002151A5">
            <w:pPr>
              <w:jc w:val="right"/>
              <w:rPr>
                <w:color w:val="000000"/>
                <w:sz w:val="16"/>
                <w:szCs w:val="16"/>
              </w:rPr>
            </w:pPr>
            <w:r w:rsidRPr="00F66921">
              <w:rPr>
                <w:bCs/>
                <w:color w:val="000000"/>
                <w:sz w:val="16"/>
                <w:szCs w:val="16"/>
              </w:rPr>
              <w:t>213 888,00</w:t>
            </w:r>
          </w:p>
        </w:tc>
        <w:tc>
          <w:tcPr>
            <w:tcW w:w="473" w:type="pct"/>
            <w:tcBorders>
              <w:top w:val="nil"/>
              <w:left w:val="nil"/>
              <w:bottom w:val="single" w:sz="4" w:space="0" w:color="auto"/>
              <w:right w:val="single" w:sz="4" w:space="0" w:color="auto"/>
            </w:tcBorders>
            <w:noWrap/>
            <w:vAlign w:val="center"/>
          </w:tcPr>
          <w:p w:rsidR="00A70D39" w:rsidRPr="00F66921" w:rsidRDefault="00A70D39" w:rsidP="002151A5">
            <w:pPr>
              <w:jc w:val="right"/>
              <w:rPr>
                <w:color w:val="000000"/>
                <w:sz w:val="16"/>
                <w:szCs w:val="16"/>
              </w:rPr>
            </w:pPr>
            <w:r w:rsidRPr="00F66921">
              <w:rPr>
                <w:color w:val="000000"/>
                <w:sz w:val="16"/>
                <w:szCs w:val="16"/>
              </w:rPr>
              <w:t>0,00</w:t>
            </w:r>
          </w:p>
        </w:tc>
        <w:tc>
          <w:tcPr>
            <w:tcW w:w="475" w:type="pct"/>
            <w:tcBorders>
              <w:top w:val="nil"/>
              <w:left w:val="nil"/>
              <w:bottom w:val="single" w:sz="4" w:space="0" w:color="auto"/>
              <w:right w:val="single" w:sz="4" w:space="0" w:color="auto"/>
            </w:tcBorders>
            <w:noWrap/>
            <w:vAlign w:val="center"/>
          </w:tcPr>
          <w:p w:rsidR="00A70D39" w:rsidRPr="00F66921" w:rsidRDefault="00A70D39" w:rsidP="002151A5">
            <w:pPr>
              <w:jc w:val="right"/>
              <w:rPr>
                <w:color w:val="000000"/>
                <w:sz w:val="16"/>
                <w:szCs w:val="16"/>
              </w:rPr>
            </w:pPr>
            <w:r w:rsidRPr="00F66921">
              <w:rPr>
                <w:color w:val="000000"/>
                <w:sz w:val="16"/>
                <w:szCs w:val="16"/>
              </w:rPr>
              <w:t>0,00</w:t>
            </w:r>
          </w:p>
        </w:tc>
      </w:tr>
      <w:tr w:rsidR="00A70D39" w:rsidRPr="00F66921" w:rsidTr="002151A5">
        <w:trPr>
          <w:trHeight w:val="254"/>
        </w:trPr>
        <w:tc>
          <w:tcPr>
            <w:tcW w:w="2929" w:type="pct"/>
            <w:tcBorders>
              <w:top w:val="nil"/>
              <w:left w:val="single" w:sz="4" w:space="0" w:color="auto"/>
              <w:bottom w:val="single" w:sz="4" w:space="0" w:color="auto"/>
              <w:right w:val="single" w:sz="4" w:space="0" w:color="auto"/>
            </w:tcBorders>
            <w:shd w:val="clear" w:color="000000" w:fill="BFBFBF"/>
            <w:noWrap/>
            <w:vAlign w:val="center"/>
            <w:hideMark/>
          </w:tcPr>
          <w:p w:rsidR="00A70D39" w:rsidRPr="00F66921" w:rsidRDefault="00A70D39" w:rsidP="002151A5">
            <w:pPr>
              <w:rPr>
                <w:b/>
                <w:bCs/>
                <w:color w:val="000000"/>
                <w:sz w:val="16"/>
                <w:szCs w:val="16"/>
              </w:rPr>
            </w:pPr>
            <w:r w:rsidRPr="00F66921">
              <w:rPr>
                <w:b/>
                <w:bCs/>
                <w:color w:val="000000"/>
                <w:sz w:val="16"/>
                <w:szCs w:val="16"/>
              </w:rPr>
              <w:t>Iné ako rozpočtové zdroje</w:t>
            </w:r>
          </w:p>
        </w:tc>
        <w:tc>
          <w:tcPr>
            <w:tcW w:w="650" w:type="pct"/>
            <w:tcBorders>
              <w:top w:val="nil"/>
              <w:left w:val="nil"/>
              <w:bottom w:val="single" w:sz="4" w:space="0" w:color="auto"/>
              <w:right w:val="single" w:sz="4" w:space="0" w:color="auto"/>
            </w:tcBorders>
            <w:shd w:val="clear" w:color="000000" w:fill="BFBFBF"/>
            <w:noWrap/>
            <w:vAlign w:val="center"/>
            <w:hideMark/>
          </w:tcPr>
          <w:p w:rsidR="00A70D39" w:rsidRPr="00F66921" w:rsidRDefault="00A70D39" w:rsidP="002151A5">
            <w:pPr>
              <w:jc w:val="right"/>
              <w:rPr>
                <w:b/>
                <w:bCs/>
                <w:color w:val="000000"/>
                <w:sz w:val="16"/>
                <w:szCs w:val="16"/>
              </w:rPr>
            </w:pPr>
            <w:r w:rsidRPr="00F66921">
              <w:rPr>
                <w:b/>
                <w:bCs/>
                <w:color w:val="000000"/>
                <w:sz w:val="16"/>
                <w:szCs w:val="16"/>
              </w:rPr>
              <w:t>0,00</w:t>
            </w:r>
          </w:p>
        </w:tc>
        <w:tc>
          <w:tcPr>
            <w:tcW w:w="473" w:type="pct"/>
            <w:tcBorders>
              <w:top w:val="nil"/>
              <w:left w:val="nil"/>
              <w:bottom w:val="single" w:sz="4" w:space="0" w:color="auto"/>
              <w:right w:val="single" w:sz="4" w:space="0" w:color="auto"/>
            </w:tcBorders>
            <w:shd w:val="clear" w:color="000000" w:fill="BFBFBF"/>
            <w:noWrap/>
            <w:vAlign w:val="center"/>
            <w:hideMark/>
          </w:tcPr>
          <w:p w:rsidR="00A70D39" w:rsidRPr="00F66921" w:rsidRDefault="00A70D39" w:rsidP="002151A5">
            <w:pPr>
              <w:jc w:val="right"/>
              <w:rPr>
                <w:b/>
                <w:bCs/>
                <w:color w:val="000000"/>
                <w:sz w:val="16"/>
                <w:szCs w:val="16"/>
              </w:rPr>
            </w:pPr>
            <w:r w:rsidRPr="00F66921">
              <w:rPr>
                <w:b/>
                <w:bCs/>
                <w:color w:val="000000"/>
                <w:sz w:val="16"/>
                <w:szCs w:val="16"/>
              </w:rPr>
              <w:t>0,00</w:t>
            </w:r>
          </w:p>
        </w:tc>
        <w:tc>
          <w:tcPr>
            <w:tcW w:w="473" w:type="pct"/>
            <w:tcBorders>
              <w:top w:val="nil"/>
              <w:left w:val="nil"/>
              <w:bottom w:val="single" w:sz="4" w:space="0" w:color="auto"/>
              <w:right w:val="single" w:sz="4" w:space="0" w:color="auto"/>
            </w:tcBorders>
            <w:shd w:val="clear" w:color="000000" w:fill="BFBFBF"/>
            <w:noWrap/>
            <w:vAlign w:val="center"/>
            <w:hideMark/>
          </w:tcPr>
          <w:p w:rsidR="00A70D39" w:rsidRPr="00F66921" w:rsidRDefault="00A70D39" w:rsidP="002151A5">
            <w:pPr>
              <w:jc w:val="right"/>
              <w:rPr>
                <w:b/>
                <w:bCs/>
                <w:color w:val="000000"/>
                <w:sz w:val="16"/>
                <w:szCs w:val="16"/>
              </w:rPr>
            </w:pPr>
            <w:r w:rsidRPr="00F66921">
              <w:rPr>
                <w:b/>
                <w:bCs/>
                <w:color w:val="000000"/>
                <w:sz w:val="16"/>
                <w:szCs w:val="16"/>
              </w:rPr>
              <w:t>0,00</w:t>
            </w:r>
          </w:p>
        </w:tc>
        <w:tc>
          <w:tcPr>
            <w:tcW w:w="475" w:type="pct"/>
            <w:tcBorders>
              <w:top w:val="nil"/>
              <w:left w:val="nil"/>
              <w:bottom w:val="single" w:sz="4" w:space="0" w:color="auto"/>
              <w:right w:val="single" w:sz="4" w:space="0" w:color="auto"/>
            </w:tcBorders>
            <w:shd w:val="clear" w:color="000000" w:fill="BFBFBF"/>
            <w:noWrap/>
            <w:vAlign w:val="center"/>
            <w:hideMark/>
          </w:tcPr>
          <w:p w:rsidR="00A70D39" w:rsidRPr="00F66921" w:rsidRDefault="00A70D39" w:rsidP="002151A5">
            <w:pPr>
              <w:jc w:val="right"/>
              <w:rPr>
                <w:b/>
                <w:bCs/>
                <w:color w:val="000000"/>
                <w:sz w:val="16"/>
                <w:szCs w:val="16"/>
              </w:rPr>
            </w:pPr>
            <w:r w:rsidRPr="00F66921">
              <w:rPr>
                <w:b/>
                <w:bCs/>
                <w:color w:val="000000"/>
                <w:sz w:val="16"/>
                <w:szCs w:val="16"/>
              </w:rPr>
              <w:t>0,00</w:t>
            </w:r>
          </w:p>
        </w:tc>
      </w:tr>
      <w:tr w:rsidR="00A70D39" w:rsidRPr="00F66921" w:rsidTr="002151A5">
        <w:trPr>
          <w:trHeight w:val="254"/>
        </w:trPr>
        <w:tc>
          <w:tcPr>
            <w:tcW w:w="2929" w:type="pct"/>
            <w:tcBorders>
              <w:top w:val="nil"/>
              <w:left w:val="single" w:sz="4" w:space="0" w:color="auto"/>
              <w:bottom w:val="single" w:sz="4" w:space="0" w:color="auto"/>
              <w:right w:val="single" w:sz="4" w:space="0" w:color="auto"/>
            </w:tcBorders>
            <w:shd w:val="clear" w:color="000000" w:fill="A6A6A6"/>
            <w:noWrap/>
            <w:vAlign w:val="center"/>
            <w:hideMark/>
          </w:tcPr>
          <w:p w:rsidR="00A70D39" w:rsidRPr="00F66921" w:rsidRDefault="00A70D39" w:rsidP="002151A5">
            <w:pPr>
              <w:rPr>
                <w:b/>
                <w:bCs/>
                <w:color w:val="000000"/>
                <w:sz w:val="16"/>
                <w:szCs w:val="16"/>
              </w:rPr>
            </w:pPr>
            <w:r w:rsidRPr="00F66921">
              <w:rPr>
                <w:b/>
                <w:bCs/>
                <w:color w:val="000000"/>
                <w:sz w:val="16"/>
                <w:szCs w:val="16"/>
              </w:rPr>
              <w:t>Rozpočtovo nekrytý vplyv / úspora</w:t>
            </w:r>
          </w:p>
        </w:tc>
        <w:tc>
          <w:tcPr>
            <w:tcW w:w="650" w:type="pct"/>
            <w:tcBorders>
              <w:top w:val="nil"/>
              <w:left w:val="nil"/>
              <w:bottom w:val="single" w:sz="4" w:space="0" w:color="auto"/>
              <w:right w:val="single" w:sz="4" w:space="0" w:color="auto"/>
            </w:tcBorders>
            <w:shd w:val="clear" w:color="000000" w:fill="A6A6A6"/>
            <w:noWrap/>
            <w:vAlign w:val="center"/>
            <w:hideMark/>
          </w:tcPr>
          <w:p w:rsidR="00A70D39" w:rsidRPr="00F66921" w:rsidRDefault="00A70D39" w:rsidP="002151A5">
            <w:pPr>
              <w:jc w:val="right"/>
              <w:rPr>
                <w:b/>
                <w:bCs/>
                <w:color w:val="000000"/>
                <w:sz w:val="16"/>
                <w:szCs w:val="16"/>
              </w:rPr>
            </w:pPr>
            <w:r w:rsidRPr="00F66921">
              <w:rPr>
                <w:b/>
                <w:bCs/>
                <w:color w:val="000000"/>
                <w:sz w:val="16"/>
                <w:szCs w:val="16"/>
              </w:rPr>
              <w:t>0,00</w:t>
            </w:r>
          </w:p>
        </w:tc>
        <w:tc>
          <w:tcPr>
            <w:tcW w:w="473" w:type="pct"/>
            <w:tcBorders>
              <w:top w:val="nil"/>
              <w:left w:val="nil"/>
              <w:bottom w:val="single" w:sz="4" w:space="0" w:color="auto"/>
              <w:right w:val="single" w:sz="4" w:space="0" w:color="auto"/>
            </w:tcBorders>
            <w:shd w:val="clear" w:color="000000" w:fill="A6A6A6"/>
            <w:noWrap/>
            <w:vAlign w:val="center"/>
            <w:hideMark/>
          </w:tcPr>
          <w:p w:rsidR="00A70D39" w:rsidRPr="00F66921" w:rsidRDefault="00A70D39" w:rsidP="002151A5">
            <w:pPr>
              <w:jc w:val="right"/>
              <w:rPr>
                <w:b/>
                <w:bCs/>
                <w:color w:val="000000"/>
                <w:sz w:val="16"/>
                <w:szCs w:val="16"/>
              </w:rPr>
            </w:pPr>
            <w:r w:rsidRPr="00F66921">
              <w:rPr>
                <w:b/>
                <w:bCs/>
                <w:color w:val="000000"/>
                <w:sz w:val="16"/>
                <w:szCs w:val="16"/>
              </w:rPr>
              <w:t>0,00</w:t>
            </w:r>
          </w:p>
        </w:tc>
        <w:tc>
          <w:tcPr>
            <w:tcW w:w="473" w:type="pct"/>
            <w:tcBorders>
              <w:top w:val="nil"/>
              <w:left w:val="nil"/>
              <w:bottom w:val="single" w:sz="4" w:space="0" w:color="auto"/>
              <w:right w:val="single" w:sz="4" w:space="0" w:color="auto"/>
            </w:tcBorders>
            <w:shd w:val="clear" w:color="000000" w:fill="A6A6A6"/>
            <w:noWrap/>
            <w:vAlign w:val="center"/>
            <w:hideMark/>
          </w:tcPr>
          <w:p w:rsidR="00A70D39" w:rsidRPr="00F66921" w:rsidRDefault="00A70D39" w:rsidP="002151A5">
            <w:pPr>
              <w:jc w:val="right"/>
            </w:pPr>
            <w:r w:rsidRPr="00F66921">
              <w:rPr>
                <w:b/>
                <w:bCs/>
                <w:color w:val="000000"/>
                <w:sz w:val="16"/>
                <w:szCs w:val="16"/>
              </w:rPr>
              <w:t>0,00</w:t>
            </w:r>
          </w:p>
        </w:tc>
        <w:tc>
          <w:tcPr>
            <w:tcW w:w="475" w:type="pct"/>
            <w:tcBorders>
              <w:top w:val="nil"/>
              <w:left w:val="nil"/>
              <w:bottom w:val="single" w:sz="4" w:space="0" w:color="auto"/>
              <w:right w:val="single" w:sz="4" w:space="0" w:color="auto"/>
            </w:tcBorders>
            <w:shd w:val="clear" w:color="000000" w:fill="A6A6A6"/>
            <w:noWrap/>
            <w:vAlign w:val="center"/>
            <w:hideMark/>
          </w:tcPr>
          <w:p w:rsidR="00A70D39" w:rsidRPr="00F66921" w:rsidRDefault="00A70D39" w:rsidP="002151A5">
            <w:pPr>
              <w:jc w:val="right"/>
            </w:pPr>
            <w:r w:rsidRPr="00F66921">
              <w:rPr>
                <w:b/>
                <w:bCs/>
                <w:color w:val="000000"/>
                <w:sz w:val="16"/>
                <w:szCs w:val="16"/>
              </w:rPr>
              <w:t>0,00</w:t>
            </w:r>
          </w:p>
        </w:tc>
      </w:tr>
    </w:tbl>
    <w:p w:rsidR="00A70D39" w:rsidRPr="00F66921" w:rsidRDefault="00A70D39" w:rsidP="00A70D39">
      <w:pPr>
        <w:jc w:val="both"/>
        <w:rPr>
          <w:b/>
          <w:bCs/>
          <w:sz w:val="24"/>
          <w:szCs w:val="24"/>
        </w:rPr>
      </w:pPr>
    </w:p>
    <w:p w:rsidR="00A70D39" w:rsidRPr="00F66921" w:rsidRDefault="00A70D39" w:rsidP="00A70D39">
      <w:pPr>
        <w:rPr>
          <w:b/>
          <w:bCs/>
          <w:sz w:val="24"/>
          <w:szCs w:val="24"/>
        </w:rPr>
      </w:pPr>
      <w:r w:rsidRPr="00F66921">
        <w:rPr>
          <w:b/>
          <w:bCs/>
          <w:sz w:val="24"/>
          <w:szCs w:val="24"/>
        </w:rPr>
        <w:br w:type="page"/>
      </w:r>
    </w:p>
    <w:p w:rsidR="00A70D39" w:rsidRPr="00F66921" w:rsidRDefault="00A70D39" w:rsidP="00A70D39">
      <w:pPr>
        <w:jc w:val="both"/>
        <w:rPr>
          <w:b/>
          <w:bCs/>
          <w:sz w:val="24"/>
          <w:szCs w:val="24"/>
        </w:rPr>
      </w:pPr>
    </w:p>
    <w:p w:rsidR="00A70D39" w:rsidRPr="00F66921" w:rsidRDefault="00A70D39" w:rsidP="00A70D39">
      <w:pPr>
        <w:jc w:val="both"/>
        <w:rPr>
          <w:b/>
          <w:bCs/>
          <w:sz w:val="24"/>
          <w:szCs w:val="24"/>
        </w:rPr>
      </w:pPr>
      <w:r w:rsidRPr="00F66921">
        <w:rPr>
          <w:b/>
          <w:bCs/>
          <w:sz w:val="24"/>
          <w:szCs w:val="24"/>
        </w:rPr>
        <w:t>2.1.1. Financovanie návrhu - Návrh na riešenie úbytku príjmov alebo zvýšených výdavkov podľa § 33 ods. 1 zákona č. 523/2004 Z. z. o rozpočtových pravidlách verejnej správy:</w:t>
      </w:r>
    </w:p>
    <w:p w:rsidR="00A70D39" w:rsidRPr="00F66921" w:rsidRDefault="00A70D39" w:rsidP="00A70D39">
      <w:pPr>
        <w:jc w:val="both"/>
        <w:rPr>
          <w:b/>
          <w:bCs/>
          <w:sz w:val="12"/>
          <w:szCs w:val="24"/>
        </w:rPr>
      </w:pPr>
    </w:p>
    <w:p w:rsidR="00A70D39" w:rsidRPr="00F66921" w:rsidRDefault="00A70D39" w:rsidP="00A70D39">
      <w:pPr>
        <w:pBdr>
          <w:top w:val="single" w:sz="4" w:space="1" w:color="auto"/>
          <w:left w:val="single" w:sz="4" w:space="4" w:color="auto"/>
          <w:bottom w:val="single" w:sz="4" w:space="0" w:color="auto"/>
          <w:right w:val="single" w:sz="4" w:space="4" w:color="auto"/>
        </w:pBdr>
        <w:jc w:val="both"/>
        <w:rPr>
          <w:color w:val="000000"/>
        </w:rPr>
      </w:pPr>
      <w:r w:rsidRPr="00F66921">
        <w:t xml:space="preserve">Návrh zákona predpokladá negatívny vplyv na rozpočet súvisiaci s úpravou informačných systémov finančnej správy vo výške </w:t>
      </w:r>
      <w:r w:rsidRPr="00F66921">
        <w:rPr>
          <w:b/>
        </w:rPr>
        <w:t>556 776</w:t>
      </w:r>
      <w:r w:rsidRPr="00F66921">
        <w:rPr>
          <w:b/>
          <w:bCs/>
        </w:rPr>
        <w:t xml:space="preserve"> eur s DPH,</w:t>
      </w:r>
      <w:r w:rsidRPr="00F66921">
        <w:t xml:space="preserve"> a to:</w:t>
      </w:r>
    </w:p>
    <w:p w:rsidR="00A70D39" w:rsidRPr="00F66921" w:rsidRDefault="00A70D39" w:rsidP="00A70D39">
      <w:pPr>
        <w:pBdr>
          <w:top w:val="single" w:sz="4" w:space="1" w:color="auto"/>
          <w:left w:val="single" w:sz="4" w:space="4" w:color="auto"/>
          <w:bottom w:val="single" w:sz="4" w:space="0" w:color="auto"/>
          <w:right w:val="single" w:sz="4" w:space="4" w:color="auto"/>
        </w:pBdr>
        <w:jc w:val="both"/>
        <w:rPr>
          <w:color w:val="000000"/>
        </w:rPr>
      </w:pPr>
      <w:r w:rsidRPr="00F66921">
        <w:rPr>
          <w:color w:val="000000"/>
        </w:rPr>
        <w:t xml:space="preserve">a/ APV </w:t>
      </w:r>
      <w:proofErr w:type="spellStart"/>
      <w:r w:rsidRPr="00F66921">
        <w:rPr>
          <w:color w:val="000000"/>
        </w:rPr>
        <w:t>SysNeD</w:t>
      </w:r>
      <w:proofErr w:type="spellEnd"/>
      <w:r w:rsidRPr="00F66921">
        <w:rPr>
          <w:color w:val="000000"/>
        </w:rPr>
        <w:tab/>
      </w:r>
      <w:r w:rsidRPr="00F66921">
        <w:rPr>
          <w:color w:val="000000"/>
        </w:rPr>
        <w:tab/>
      </w:r>
      <w:r w:rsidRPr="00F66921">
        <w:rPr>
          <w:color w:val="000000"/>
        </w:rPr>
        <w:tab/>
      </w:r>
      <w:r w:rsidRPr="00F66921">
        <w:rPr>
          <w:color w:val="000000"/>
        </w:rPr>
        <w:tab/>
        <w:t>466 488 eur s DPH</w:t>
      </w:r>
    </w:p>
    <w:p w:rsidR="00A70D39" w:rsidRPr="00F66921" w:rsidRDefault="00A70D39" w:rsidP="00A70D39">
      <w:pPr>
        <w:pBdr>
          <w:top w:val="single" w:sz="4" w:space="1" w:color="auto"/>
          <w:left w:val="single" w:sz="4" w:space="4" w:color="auto"/>
          <w:bottom w:val="single" w:sz="4" w:space="0" w:color="auto"/>
          <w:right w:val="single" w:sz="4" w:space="4" w:color="auto"/>
        </w:pBdr>
        <w:jc w:val="both"/>
        <w:rPr>
          <w:color w:val="000000"/>
        </w:rPr>
      </w:pPr>
      <w:r w:rsidRPr="00F66921">
        <w:rPr>
          <w:color w:val="000000"/>
        </w:rPr>
        <w:t>b/ PFS</w:t>
      </w:r>
      <w:r w:rsidRPr="00F66921">
        <w:rPr>
          <w:color w:val="000000"/>
        </w:rPr>
        <w:tab/>
        <w:t>(portál finančnej správy)</w:t>
      </w:r>
      <w:r w:rsidRPr="00F66921">
        <w:rPr>
          <w:color w:val="000000"/>
        </w:rPr>
        <w:tab/>
      </w:r>
      <w:r w:rsidRPr="00F66921">
        <w:rPr>
          <w:color w:val="000000"/>
        </w:rPr>
        <w:tab/>
        <w:t xml:space="preserve">  90 288 eur s DPH</w:t>
      </w:r>
    </w:p>
    <w:p w:rsidR="00A70D39" w:rsidRPr="00F66921" w:rsidRDefault="00A70D39" w:rsidP="00A70D39">
      <w:pPr>
        <w:pBdr>
          <w:top w:val="single" w:sz="4" w:space="1" w:color="auto"/>
          <w:left w:val="single" w:sz="4" w:space="4" w:color="auto"/>
          <w:bottom w:val="single" w:sz="4" w:space="0" w:color="auto"/>
          <w:right w:val="single" w:sz="4" w:space="4" w:color="auto"/>
        </w:pBdr>
        <w:jc w:val="both"/>
        <w:rPr>
          <w:color w:val="000000"/>
        </w:rPr>
      </w:pPr>
      <w:r w:rsidRPr="00F66921">
        <w:rPr>
          <w:color w:val="000000"/>
        </w:rPr>
        <w:t>Do informačných systémov je potrebné zapracovať:</w:t>
      </w:r>
    </w:p>
    <w:p w:rsidR="00A70D39" w:rsidRPr="00F66921" w:rsidRDefault="00A70D39" w:rsidP="00A70D39">
      <w:pPr>
        <w:pBdr>
          <w:top w:val="single" w:sz="4" w:space="1" w:color="auto"/>
          <w:left w:val="single" w:sz="4" w:space="4" w:color="auto"/>
          <w:bottom w:val="single" w:sz="4" w:space="0" w:color="auto"/>
          <w:right w:val="single" w:sz="4" w:space="4" w:color="auto"/>
        </w:pBdr>
        <w:jc w:val="both"/>
        <w:rPr>
          <w:color w:val="000000"/>
        </w:rPr>
      </w:pPr>
      <w:r w:rsidRPr="00F66921">
        <w:rPr>
          <w:color w:val="000000"/>
        </w:rPr>
        <w:t>-</w:t>
      </w:r>
      <w:r w:rsidRPr="00F66921">
        <w:rPr>
          <w:color w:val="000000"/>
        </w:rPr>
        <w:tab/>
        <w:t>nový typ daňového subjektu</w:t>
      </w:r>
    </w:p>
    <w:p w:rsidR="00A70D39" w:rsidRPr="00F66921" w:rsidRDefault="00A70D39" w:rsidP="00A70D39">
      <w:pPr>
        <w:pBdr>
          <w:top w:val="single" w:sz="4" w:space="1" w:color="auto"/>
          <w:left w:val="single" w:sz="4" w:space="4" w:color="auto"/>
          <w:bottom w:val="single" w:sz="4" w:space="0" w:color="auto"/>
          <w:right w:val="single" w:sz="4" w:space="4" w:color="auto"/>
        </w:pBdr>
        <w:jc w:val="both"/>
        <w:rPr>
          <w:color w:val="000000"/>
        </w:rPr>
      </w:pPr>
      <w:r w:rsidRPr="00F66921">
        <w:rPr>
          <w:color w:val="000000"/>
        </w:rPr>
        <w:t>-</w:t>
      </w:r>
      <w:r w:rsidRPr="00F66921">
        <w:rPr>
          <w:color w:val="000000"/>
        </w:rPr>
        <w:tab/>
        <w:t>nový typ prepravy v rámci elektronického systému EMCS</w:t>
      </w:r>
    </w:p>
    <w:p w:rsidR="00A70D39" w:rsidRPr="00F66921" w:rsidRDefault="00A70D39" w:rsidP="00A70D39">
      <w:pPr>
        <w:pBdr>
          <w:top w:val="single" w:sz="4" w:space="1" w:color="auto"/>
          <w:left w:val="single" w:sz="4" w:space="4" w:color="auto"/>
          <w:bottom w:val="single" w:sz="4" w:space="0" w:color="auto"/>
          <w:right w:val="single" w:sz="4" w:space="4" w:color="auto"/>
        </w:pBdr>
        <w:jc w:val="both"/>
        <w:rPr>
          <w:color w:val="000000"/>
        </w:rPr>
      </w:pPr>
      <w:r w:rsidRPr="00F66921">
        <w:rPr>
          <w:color w:val="000000"/>
        </w:rPr>
        <w:t>-</w:t>
      </w:r>
      <w:r w:rsidRPr="00F66921">
        <w:rPr>
          <w:color w:val="000000"/>
        </w:rPr>
        <w:tab/>
        <w:t>úpravy názvov evidencií</w:t>
      </w:r>
    </w:p>
    <w:p w:rsidR="00A70D39" w:rsidRPr="00F66921" w:rsidRDefault="00A70D39" w:rsidP="00A70D39">
      <w:pPr>
        <w:pBdr>
          <w:top w:val="single" w:sz="4" w:space="1" w:color="auto"/>
          <w:left w:val="single" w:sz="4" w:space="4" w:color="auto"/>
          <w:bottom w:val="single" w:sz="4" w:space="0" w:color="auto"/>
          <w:right w:val="single" w:sz="4" w:space="4" w:color="auto"/>
        </w:pBdr>
        <w:jc w:val="both"/>
        <w:rPr>
          <w:color w:val="000000"/>
        </w:rPr>
      </w:pPr>
      <w:r w:rsidRPr="00F66921">
        <w:rPr>
          <w:color w:val="000000"/>
        </w:rPr>
        <w:t>-</w:t>
      </w:r>
      <w:r w:rsidRPr="00F66921">
        <w:rPr>
          <w:color w:val="000000"/>
        </w:rPr>
        <w:tab/>
        <w:t>vznik nového typu odberateľa kontrolných známok – schválený príjemca</w:t>
      </w:r>
    </w:p>
    <w:p w:rsidR="00A70D39" w:rsidRPr="00F66921" w:rsidRDefault="00A70D39" w:rsidP="00A70D39">
      <w:pPr>
        <w:pBdr>
          <w:top w:val="single" w:sz="4" w:space="1" w:color="auto"/>
          <w:left w:val="single" w:sz="4" w:space="4" w:color="auto"/>
          <w:bottom w:val="single" w:sz="4" w:space="0" w:color="auto"/>
          <w:right w:val="single" w:sz="4" w:space="4" w:color="auto"/>
        </w:pBdr>
        <w:jc w:val="both"/>
        <w:rPr>
          <w:color w:val="000000"/>
        </w:rPr>
      </w:pPr>
      <w:r w:rsidRPr="00F66921">
        <w:t>Financovanie predmetných výdavkov bude zabezpečené v rámci limitov rozpočtu verejnej správy na príslušné rozpočtové roky.</w:t>
      </w:r>
    </w:p>
    <w:p w:rsidR="00A70D39" w:rsidRPr="00F66921" w:rsidRDefault="00A70D39" w:rsidP="00A70D39">
      <w:pPr>
        <w:rPr>
          <w:b/>
          <w:bCs/>
          <w:sz w:val="24"/>
          <w:szCs w:val="24"/>
        </w:rPr>
      </w:pPr>
      <w:r w:rsidRPr="00F66921">
        <w:rPr>
          <w:b/>
          <w:bCs/>
          <w:sz w:val="24"/>
          <w:szCs w:val="24"/>
        </w:rPr>
        <w:t>2.2. Popis a charakteristika návrhu</w:t>
      </w:r>
    </w:p>
    <w:p w:rsidR="00A70D39" w:rsidRPr="00F66921" w:rsidRDefault="00A70D39" w:rsidP="00A70D39">
      <w:pPr>
        <w:jc w:val="both"/>
        <w:rPr>
          <w:b/>
          <w:bCs/>
          <w:sz w:val="24"/>
          <w:szCs w:val="24"/>
        </w:rPr>
      </w:pPr>
      <w:r w:rsidRPr="00F66921">
        <w:rPr>
          <w:b/>
          <w:bCs/>
          <w:sz w:val="24"/>
          <w:szCs w:val="24"/>
        </w:rPr>
        <w:t>2.2.1. Popis návrhu:</w:t>
      </w:r>
    </w:p>
    <w:p w:rsidR="00A70D39" w:rsidRPr="00F66921" w:rsidRDefault="00A70D39" w:rsidP="00A70D39">
      <w:pPr>
        <w:jc w:val="both"/>
        <w:rPr>
          <w:sz w:val="24"/>
          <w:szCs w:val="24"/>
        </w:rPr>
      </w:pPr>
      <w:r w:rsidRPr="00F66921">
        <w:rPr>
          <w:sz w:val="24"/>
          <w:szCs w:val="24"/>
        </w:rPr>
        <w:t>Akú problematiku návrh rieši? Kto bude návrh implementovať? Kde sa budú služby poskytovať?</w:t>
      </w:r>
    </w:p>
    <w:p w:rsidR="00A70D39" w:rsidRPr="00F66921" w:rsidRDefault="00A70D39" w:rsidP="00A70D39">
      <w:pPr>
        <w:pStyle w:val="Bezriadkovania"/>
        <w:jc w:val="both"/>
        <w:rPr>
          <w:rFonts w:ascii="Times New Roman" w:hAnsi="Times New Roman"/>
          <w:sz w:val="20"/>
          <w:szCs w:val="20"/>
        </w:rPr>
      </w:pPr>
      <w:r w:rsidRPr="00F66921">
        <w:rPr>
          <w:rFonts w:ascii="Times New Roman" w:hAnsi="Times New Roman"/>
          <w:sz w:val="20"/>
          <w:szCs w:val="20"/>
        </w:rPr>
        <w:t xml:space="preserve">Návrh zákona transponuje smernicu Rady (EÚ) 2020/262 z 19. decembra 2019, ktorou sa stanovuje všeobecný systém spotrebných daní do legislatívy Slovenskej republiky. </w:t>
      </w:r>
    </w:p>
    <w:p w:rsidR="00A70D39" w:rsidRPr="00F66921" w:rsidRDefault="00A70D39" w:rsidP="00A70D39">
      <w:pPr>
        <w:pStyle w:val="Bezriadkovania"/>
        <w:jc w:val="both"/>
        <w:rPr>
          <w:rFonts w:ascii="Times New Roman" w:hAnsi="Times New Roman"/>
          <w:sz w:val="20"/>
          <w:szCs w:val="20"/>
        </w:rPr>
      </w:pPr>
      <w:r w:rsidRPr="00F66921">
        <w:rPr>
          <w:rFonts w:ascii="Times New Roman" w:hAnsi="Times New Roman"/>
          <w:sz w:val="20"/>
          <w:szCs w:val="20"/>
        </w:rPr>
        <w:t>V súvislosti s transpozíciou tejto smernice sa predovšetkým</w:t>
      </w:r>
    </w:p>
    <w:p w:rsidR="00A70D39" w:rsidRPr="00F66921" w:rsidRDefault="00A70D39" w:rsidP="00A70D39">
      <w:pPr>
        <w:pStyle w:val="Odsekzoznamu"/>
        <w:numPr>
          <w:ilvl w:val="0"/>
          <w:numId w:val="20"/>
        </w:numPr>
        <w:spacing w:after="0" w:line="240" w:lineRule="auto"/>
        <w:ind w:left="284" w:hanging="284"/>
        <w:jc w:val="both"/>
        <w:rPr>
          <w:rFonts w:ascii="Times New Roman" w:hAnsi="Times New Roman"/>
          <w:sz w:val="20"/>
          <w:szCs w:val="20"/>
        </w:rPr>
      </w:pPr>
      <w:r w:rsidRPr="00F66921">
        <w:rPr>
          <w:rFonts w:ascii="Times New Roman" w:hAnsi="Times New Roman"/>
          <w:sz w:val="20"/>
          <w:szCs w:val="20"/>
        </w:rPr>
        <w:t>zavádza nový typ daňového subjektu, ktorým je schválený odosielateľ a schválený príjemca a</w:t>
      </w:r>
    </w:p>
    <w:p w:rsidR="00A70D39" w:rsidRPr="00F66921" w:rsidRDefault="00A70D39" w:rsidP="00A70D39">
      <w:pPr>
        <w:pStyle w:val="Odsekzoznamu"/>
        <w:numPr>
          <w:ilvl w:val="0"/>
          <w:numId w:val="20"/>
        </w:numPr>
        <w:spacing w:after="0" w:line="240" w:lineRule="auto"/>
        <w:ind w:left="284" w:hanging="284"/>
        <w:jc w:val="both"/>
        <w:rPr>
          <w:rFonts w:ascii="Times New Roman" w:hAnsi="Times New Roman"/>
          <w:sz w:val="20"/>
          <w:szCs w:val="20"/>
        </w:rPr>
      </w:pPr>
      <w:r w:rsidRPr="00F66921">
        <w:rPr>
          <w:rFonts w:ascii="Times New Roman" w:hAnsi="Times New Roman"/>
          <w:sz w:val="20"/>
          <w:szCs w:val="20"/>
        </w:rPr>
        <w:t>upravuje sa postup pri preprave alkoholických nápojov v daňovom voľnom obehu na podnikateľské účely na základe zjednodušeného elektronického administratívneho dokumentu vyhotoveného prostredníctvom elektronického systému.</w:t>
      </w:r>
    </w:p>
    <w:p w:rsidR="00A70D39" w:rsidRPr="00F66921" w:rsidRDefault="00A70D39" w:rsidP="00A70D39">
      <w:pPr>
        <w:jc w:val="both"/>
        <w:rPr>
          <w:bCs/>
        </w:rPr>
      </w:pPr>
    </w:p>
    <w:p w:rsidR="00A70D39" w:rsidRPr="00F66921" w:rsidRDefault="00A70D39" w:rsidP="00A70D39">
      <w:pPr>
        <w:jc w:val="both"/>
      </w:pPr>
      <w:r w:rsidRPr="00F66921">
        <w:t>Návrhom zákona sa súčasne na základe podnetov z aplikačnej praxe rušia, menia a dopĺňajú niektoré ustanovenia zákona o spotrebnej dani z alkoholických nápojov.</w:t>
      </w:r>
    </w:p>
    <w:p w:rsidR="00A70D39" w:rsidRPr="00F66921" w:rsidRDefault="00A70D39" w:rsidP="00A70D39">
      <w:pPr>
        <w:rPr>
          <w:b/>
          <w:bCs/>
          <w:sz w:val="24"/>
          <w:szCs w:val="24"/>
        </w:rPr>
      </w:pPr>
      <w:r w:rsidRPr="00F66921">
        <w:rPr>
          <w:b/>
          <w:bCs/>
          <w:sz w:val="24"/>
          <w:szCs w:val="24"/>
        </w:rPr>
        <w:t>2.2.2. Charakteristika návrhu:</w:t>
      </w:r>
    </w:p>
    <w:p w:rsidR="00A70D39" w:rsidRPr="00F66921" w:rsidRDefault="00A70D39" w:rsidP="00A70D39">
      <w:pPr>
        <w:rPr>
          <w:sz w:val="24"/>
          <w:szCs w:val="24"/>
        </w:rPr>
      </w:pPr>
      <w:r w:rsidRPr="00F66921">
        <w:rPr>
          <w:b/>
          <w:sz w:val="24"/>
          <w:szCs w:val="24"/>
          <w:bdr w:val="single" w:sz="4" w:space="0" w:color="auto"/>
        </w:rPr>
        <w:t xml:space="preserve">    </w:t>
      </w:r>
      <w:r w:rsidRPr="00F66921">
        <w:rPr>
          <w:sz w:val="24"/>
          <w:szCs w:val="24"/>
        </w:rPr>
        <w:t xml:space="preserve"> zmena sadzby</w:t>
      </w:r>
    </w:p>
    <w:p w:rsidR="00A70D39" w:rsidRPr="00F66921" w:rsidRDefault="00A70D39" w:rsidP="00A70D39">
      <w:pPr>
        <w:rPr>
          <w:sz w:val="24"/>
          <w:szCs w:val="24"/>
        </w:rPr>
      </w:pPr>
      <w:r w:rsidRPr="00F66921">
        <w:rPr>
          <w:sz w:val="24"/>
          <w:szCs w:val="24"/>
          <w:bdr w:val="single" w:sz="4" w:space="0" w:color="auto"/>
        </w:rPr>
        <w:t xml:space="preserve">     </w:t>
      </w:r>
      <w:r w:rsidRPr="00F66921">
        <w:rPr>
          <w:sz w:val="24"/>
          <w:szCs w:val="24"/>
        </w:rPr>
        <w:t xml:space="preserve">  zmena v nároku</w:t>
      </w:r>
    </w:p>
    <w:p w:rsidR="00A70D39" w:rsidRPr="00F66921" w:rsidRDefault="00A70D39" w:rsidP="00A70D39">
      <w:pPr>
        <w:rPr>
          <w:sz w:val="24"/>
          <w:szCs w:val="24"/>
        </w:rPr>
      </w:pPr>
      <w:r w:rsidRPr="00F66921">
        <w:rPr>
          <w:sz w:val="24"/>
          <w:szCs w:val="24"/>
          <w:bdr w:val="single" w:sz="4" w:space="0" w:color="auto"/>
        </w:rPr>
        <w:t xml:space="preserve">     </w:t>
      </w:r>
      <w:r w:rsidRPr="00F66921">
        <w:rPr>
          <w:sz w:val="24"/>
          <w:szCs w:val="24"/>
        </w:rPr>
        <w:t xml:space="preserve">  nová služba alebo nariadenie (alebo ich zrušenie)</w:t>
      </w:r>
    </w:p>
    <w:p w:rsidR="00A70D39" w:rsidRPr="00F66921" w:rsidRDefault="00A70D39" w:rsidP="00A70D39">
      <w:pPr>
        <w:rPr>
          <w:sz w:val="24"/>
          <w:szCs w:val="24"/>
        </w:rPr>
      </w:pPr>
      <w:r w:rsidRPr="00F66921">
        <w:rPr>
          <w:sz w:val="24"/>
          <w:szCs w:val="24"/>
          <w:bdr w:val="single" w:sz="4" w:space="0" w:color="auto"/>
        </w:rPr>
        <w:t xml:space="preserve">     </w:t>
      </w:r>
      <w:r w:rsidRPr="00F66921">
        <w:rPr>
          <w:sz w:val="24"/>
          <w:szCs w:val="24"/>
        </w:rPr>
        <w:t xml:space="preserve">  kombinovaný návrh</w:t>
      </w:r>
    </w:p>
    <w:p w:rsidR="00A70D39" w:rsidRPr="00F66921" w:rsidRDefault="00A70D39" w:rsidP="00A70D39">
      <w:pPr>
        <w:rPr>
          <w:sz w:val="24"/>
          <w:szCs w:val="24"/>
        </w:rPr>
      </w:pPr>
      <w:r w:rsidRPr="00F66921">
        <w:rPr>
          <w:sz w:val="24"/>
          <w:szCs w:val="24"/>
          <w:bdr w:val="single" w:sz="4" w:space="0" w:color="auto"/>
        </w:rPr>
        <w:t xml:space="preserve">  </w:t>
      </w:r>
      <w:r w:rsidRPr="00F66921">
        <w:rPr>
          <w:b/>
          <w:sz w:val="24"/>
          <w:szCs w:val="24"/>
          <w:bdr w:val="single" w:sz="4" w:space="0" w:color="auto"/>
        </w:rPr>
        <w:t>x</w:t>
      </w:r>
      <w:r w:rsidRPr="00F66921">
        <w:rPr>
          <w:sz w:val="24"/>
          <w:szCs w:val="24"/>
          <w:bdr w:val="single" w:sz="4" w:space="0" w:color="auto"/>
        </w:rPr>
        <w:t xml:space="preserve"> </w:t>
      </w:r>
      <w:r w:rsidRPr="00F66921">
        <w:rPr>
          <w:sz w:val="24"/>
          <w:szCs w:val="24"/>
        </w:rPr>
        <w:t xml:space="preserve">  iné </w:t>
      </w:r>
    </w:p>
    <w:p w:rsidR="00A70D39" w:rsidRPr="00F66921" w:rsidRDefault="00A70D39" w:rsidP="00A70D39">
      <w:pPr>
        <w:jc w:val="both"/>
        <w:rPr>
          <w:sz w:val="24"/>
          <w:szCs w:val="24"/>
        </w:rPr>
      </w:pPr>
      <w:r w:rsidRPr="00F66921">
        <w:rPr>
          <w:sz w:val="24"/>
          <w:szCs w:val="24"/>
        </w:rPr>
        <w:t>Transpozícia smerníc do národnej legislatívy.</w:t>
      </w:r>
    </w:p>
    <w:p w:rsidR="00A70D39" w:rsidRPr="00F66921" w:rsidRDefault="00A70D39" w:rsidP="00A70D39">
      <w:pPr>
        <w:rPr>
          <w:sz w:val="24"/>
          <w:szCs w:val="24"/>
        </w:rPr>
      </w:pPr>
    </w:p>
    <w:p w:rsidR="00A70D39" w:rsidRPr="00F66921" w:rsidRDefault="00A70D39" w:rsidP="00A70D39">
      <w:pPr>
        <w:rPr>
          <w:sz w:val="24"/>
          <w:szCs w:val="24"/>
        </w:rPr>
      </w:pPr>
      <w:r w:rsidRPr="00F66921">
        <w:rPr>
          <w:b/>
          <w:bCs/>
          <w:sz w:val="24"/>
          <w:szCs w:val="24"/>
        </w:rPr>
        <w:t>2.2.3. Predpoklady vývoja objemu aktivít:</w:t>
      </w:r>
    </w:p>
    <w:p w:rsidR="00A70D39" w:rsidRPr="00F66921" w:rsidRDefault="00A70D39" w:rsidP="00A70D39">
      <w:pPr>
        <w:ind w:firstLine="708"/>
        <w:jc w:val="both"/>
        <w:rPr>
          <w:sz w:val="24"/>
          <w:szCs w:val="24"/>
        </w:rPr>
      </w:pPr>
      <w:r w:rsidRPr="00F66921">
        <w:rPr>
          <w:sz w:val="24"/>
          <w:szCs w:val="24"/>
        </w:rPr>
        <w:t>Jasne popíšte, v prípade potreby použite nižšie uvedenú tabuľku. Uveďte aj odhady základov daní a/alebo poplatkov, ak sa ich táto zmena týka.</w:t>
      </w:r>
    </w:p>
    <w:p w:rsidR="00A70D39" w:rsidRPr="00F66921" w:rsidRDefault="00A70D39" w:rsidP="00A70D39">
      <w:pPr>
        <w:jc w:val="right"/>
      </w:pPr>
      <w:r w:rsidRPr="00F66921">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A70D39" w:rsidRPr="00F66921" w:rsidTr="002151A5">
        <w:trPr>
          <w:cantSplit/>
          <w:trHeight w:val="70"/>
        </w:trPr>
        <w:tc>
          <w:tcPr>
            <w:tcW w:w="4530" w:type="dxa"/>
            <w:vMerge w:val="restart"/>
            <w:shd w:val="clear" w:color="auto" w:fill="BFBFBF" w:themeFill="background1" w:themeFillShade="BF"/>
            <w:vAlign w:val="center"/>
          </w:tcPr>
          <w:p w:rsidR="00A70D39" w:rsidRPr="00F66921" w:rsidRDefault="00A70D39" w:rsidP="002151A5">
            <w:pPr>
              <w:autoSpaceDE w:val="0"/>
              <w:autoSpaceDN w:val="0"/>
              <w:adjustRightInd w:val="0"/>
              <w:jc w:val="center"/>
              <w:rPr>
                <w:b/>
                <w:bCs/>
                <w:sz w:val="24"/>
                <w:szCs w:val="24"/>
              </w:rPr>
            </w:pPr>
            <w:r w:rsidRPr="00F66921">
              <w:rPr>
                <w:b/>
                <w:bCs/>
                <w:sz w:val="24"/>
                <w:szCs w:val="24"/>
              </w:rPr>
              <w:t>Objem aktivít</w:t>
            </w:r>
          </w:p>
        </w:tc>
        <w:tc>
          <w:tcPr>
            <w:tcW w:w="4536" w:type="dxa"/>
            <w:gridSpan w:val="4"/>
            <w:shd w:val="clear" w:color="auto" w:fill="BFBFBF" w:themeFill="background1" w:themeFillShade="BF"/>
            <w:vAlign w:val="center"/>
          </w:tcPr>
          <w:p w:rsidR="00A70D39" w:rsidRPr="00F66921" w:rsidRDefault="00A70D39" w:rsidP="002151A5">
            <w:pPr>
              <w:autoSpaceDE w:val="0"/>
              <w:autoSpaceDN w:val="0"/>
              <w:adjustRightInd w:val="0"/>
              <w:jc w:val="center"/>
              <w:rPr>
                <w:b/>
                <w:bCs/>
                <w:sz w:val="24"/>
                <w:szCs w:val="24"/>
              </w:rPr>
            </w:pPr>
            <w:r w:rsidRPr="00F66921">
              <w:rPr>
                <w:b/>
                <w:bCs/>
                <w:sz w:val="24"/>
                <w:szCs w:val="24"/>
              </w:rPr>
              <w:t>Odhadované objemy</w:t>
            </w:r>
          </w:p>
        </w:tc>
      </w:tr>
      <w:tr w:rsidR="00A70D39" w:rsidRPr="00F66921" w:rsidTr="002151A5">
        <w:trPr>
          <w:cantSplit/>
          <w:trHeight w:val="70"/>
        </w:trPr>
        <w:tc>
          <w:tcPr>
            <w:tcW w:w="4530" w:type="dxa"/>
            <w:vMerge/>
            <w:shd w:val="clear" w:color="auto" w:fill="BFBFBF" w:themeFill="background1" w:themeFillShade="BF"/>
          </w:tcPr>
          <w:p w:rsidR="00A70D39" w:rsidRPr="00F66921" w:rsidRDefault="00A70D39" w:rsidP="002151A5">
            <w:pPr>
              <w:autoSpaceDE w:val="0"/>
              <w:autoSpaceDN w:val="0"/>
              <w:adjustRightInd w:val="0"/>
              <w:jc w:val="center"/>
              <w:rPr>
                <w:b/>
                <w:bCs/>
                <w:sz w:val="24"/>
                <w:szCs w:val="24"/>
              </w:rPr>
            </w:pPr>
          </w:p>
        </w:tc>
        <w:tc>
          <w:tcPr>
            <w:tcW w:w="1134" w:type="dxa"/>
            <w:shd w:val="clear" w:color="auto" w:fill="BFBFBF" w:themeFill="background1" w:themeFillShade="BF"/>
            <w:vAlign w:val="center"/>
          </w:tcPr>
          <w:p w:rsidR="00A70D39" w:rsidRPr="00F66921" w:rsidRDefault="00A70D39" w:rsidP="002151A5">
            <w:pPr>
              <w:autoSpaceDE w:val="0"/>
              <w:autoSpaceDN w:val="0"/>
              <w:adjustRightInd w:val="0"/>
              <w:jc w:val="center"/>
              <w:rPr>
                <w:b/>
                <w:bCs/>
                <w:sz w:val="24"/>
                <w:szCs w:val="24"/>
              </w:rPr>
            </w:pPr>
            <w:r w:rsidRPr="00F66921">
              <w:rPr>
                <w:b/>
                <w:bCs/>
                <w:sz w:val="24"/>
                <w:szCs w:val="24"/>
              </w:rPr>
              <w:t>2020</w:t>
            </w:r>
          </w:p>
        </w:tc>
        <w:tc>
          <w:tcPr>
            <w:tcW w:w="1134" w:type="dxa"/>
            <w:shd w:val="clear" w:color="auto" w:fill="BFBFBF" w:themeFill="background1" w:themeFillShade="BF"/>
            <w:vAlign w:val="center"/>
          </w:tcPr>
          <w:p w:rsidR="00A70D39" w:rsidRPr="00F66921" w:rsidRDefault="00A70D39" w:rsidP="002151A5">
            <w:pPr>
              <w:autoSpaceDE w:val="0"/>
              <w:autoSpaceDN w:val="0"/>
              <w:adjustRightInd w:val="0"/>
              <w:jc w:val="center"/>
              <w:rPr>
                <w:b/>
                <w:bCs/>
                <w:sz w:val="24"/>
                <w:szCs w:val="24"/>
              </w:rPr>
            </w:pPr>
            <w:r w:rsidRPr="00F66921">
              <w:rPr>
                <w:b/>
                <w:bCs/>
                <w:sz w:val="24"/>
                <w:szCs w:val="24"/>
              </w:rPr>
              <w:t>2021</w:t>
            </w:r>
          </w:p>
        </w:tc>
        <w:tc>
          <w:tcPr>
            <w:tcW w:w="1134" w:type="dxa"/>
            <w:shd w:val="clear" w:color="auto" w:fill="BFBFBF" w:themeFill="background1" w:themeFillShade="BF"/>
            <w:vAlign w:val="center"/>
          </w:tcPr>
          <w:p w:rsidR="00A70D39" w:rsidRPr="00F66921" w:rsidRDefault="00A70D39" w:rsidP="002151A5">
            <w:pPr>
              <w:autoSpaceDE w:val="0"/>
              <w:autoSpaceDN w:val="0"/>
              <w:adjustRightInd w:val="0"/>
              <w:jc w:val="center"/>
              <w:rPr>
                <w:b/>
                <w:bCs/>
                <w:sz w:val="24"/>
                <w:szCs w:val="24"/>
              </w:rPr>
            </w:pPr>
            <w:r w:rsidRPr="00F66921">
              <w:rPr>
                <w:b/>
                <w:bCs/>
                <w:sz w:val="24"/>
                <w:szCs w:val="24"/>
              </w:rPr>
              <w:t>2022</w:t>
            </w:r>
          </w:p>
        </w:tc>
        <w:tc>
          <w:tcPr>
            <w:tcW w:w="1134" w:type="dxa"/>
            <w:shd w:val="clear" w:color="auto" w:fill="BFBFBF" w:themeFill="background1" w:themeFillShade="BF"/>
            <w:vAlign w:val="center"/>
          </w:tcPr>
          <w:p w:rsidR="00A70D39" w:rsidRPr="00F66921" w:rsidRDefault="00A70D39" w:rsidP="002151A5">
            <w:pPr>
              <w:autoSpaceDE w:val="0"/>
              <w:autoSpaceDN w:val="0"/>
              <w:adjustRightInd w:val="0"/>
              <w:jc w:val="center"/>
              <w:rPr>
                <w:b/>
                <w:bCs/>
                <w:sz w:val="24"/>
                <w:szCs w:val="24"/>
              </w:rPr>
            </w:pPr>
            <w:r w:rsidRPr="00F66921">
              <w:rPr>
                <w:b/>
                <w:bCs/>
                <w:sz w:val="24"/>
                <w:szCs w:val="24"/>
              </w:rPr>
              <w:t>2023</w:t>
            </w:r>
          </w:p>
        </w:tc>
      </w:tr>
      <w:tr w:rsidR="00A70D39" w:rsidRPr="00F66921" w:rsidTr="002151A5">
        <w:trPr>
          <w:trHeight w:val="70"/>
        </w:trPr>
        <w:tc>
          <w:tcPr>
            <w:tcW w:w="4530" w:type="dxa"/>
          </w:tcPr>
          <w:p w:rsidR="00A70D39" w:rsidRPr="00F66921" w:rsidRDefault="00A70D39" w:rsidP="002151A5">
            <w:pPr>
              <w:autoSpaceDE w:val="0"/>
              <w:autoSpaceDN w:val="0"/>
              <w:adjustRightInd w:val="0"/>
              <w:rPr>
                <w:color w:val="000000"/>
                <w:sz w:val="24"/>
                <w:szCs w:val="24"/>
              </w:rPr>
            </w:pPr>
            <w:r w:rsidRPr="00F66921">
              <w:rPr>
                <w:color w:val="000000"/>
                <w:sz w:val="24"/>
                <w:szCs w:val="24"/>
              </w:rPr>
              <w:t>Indikátor ABC</w:t>
            </w:r>
          </w:p>
        </w:tc>
        <w:tc>
          <w:tcPr>
            <w:tcW w:w="1134" w:type="dxa"/>
          </w:tcPr>
          <w:p w:rsidR="00A70D39" w:rsidRPr="00F66921" w:rsidRDefault="00A70D39" w:rsidP="002151A5">
            <w:pPr>
              <w:autoSpaceDE w:val="0"/>
              <w:autoSpaceDN w:val="0"/>
              <w:adjustRightInd w:val="0"/>
              <w:jc w:val="right"/>
              <w:rPr>
                <w:color w:val="000000"/>
                <w:sz w:val="24"/>
                <w:szCs w:val="24"/>
              </w:rPr>
            </w:pPr>
          </w:p>
        </w:tc>
        <w:tc>
          <w:tcPr>
            <w:tcW w:w="1134" w:type="dxa"/>
          </w:tcPr>
          <w:p w:rsidR="00A70D39" w:rsidRPr="00F66921" w:rsidRDefault="00A70D39" w:rsidP="002151A5">
            <w:pPr>
              <w:autoSpaceDE w:val="0"/>
              <w:autoSpaceDN w:val="0"/>
              <w:adjustRightInd w:val="0"/>
              <w:jc w:val="right"/>
              <w:rPr>
                <w:color w:val="000000"/>
                <w:sz w:val="24"/>
                <w:szCs w:val="24"/>
              </w:rPr>
            </w:pPr>
          </w:p>
        </w:tc>
        <w:tc>
          <w:tcPr>
            <w:tcW w:w="1134" w:type="dxa"/>
          </w:tcPr>
          <w:p w:rsidR="00A70D39" w:rsidRPr="00F66921" w:rsidRDefault="00A70D39" w:rsidP="002151A5">
            <w:pPr>
              <w:autoSpaceDE w:val="0"/>
              <w:autoSpaceDN w:val="0"/>
              <w:adjustRightInd w:val="0"/>
              <w:jc w:val="right"/>
              <w:rPr>
                <w:color w:val="000000"/>
                <w:sz w:val="24"/>
                <w:szCs w:val="24"/>
              </w:rPr>
            </w:pPr>
          </w:p>
        </w:tc>
        <w:tc>
          <w:tcPr>
            <w:tcW w:w="1134" w:type="dxa"/>
          </w:tcPr>
          <w:p w:rsidR="00A70D39" w:rsidRPr="00F66921" w:rsidRDefault="00A70D39" w:rsidP="002151A5">
            <w:pPr>
              <w:autoSpaceDE w:val="0"/>
              <w:autoSpaceDN w:val="0"/>
              <w:adjustRightInd w:val="0"/>
              <w:jc w:val="right"/>
              <w:rPr>
                <w:color w:val="000000"/>
                <w:sz w:val="24"/>
                <w:szCs w:val="24"/>
              </w:rPr>
            </w:pPr>
          </w:p>
        </w:tc>
      </w:tr>
      <w:tr w:rsidR="00A70D39" w:rsidRPr="00F66921" w:rsidTr="002151A5">
        <w:trPr>
          <w:trHeight w:val="70"/>
        </w:trPr>
        <w:tc>
          <w:tcPr>
            <w:tcW w:w="4530" w:type="dxa"/>
          </w:tcPr>
          <w:p w:rsidR="00A70D39" w:rsidRPr="00F66921" w:rsidRDefault="00A70D39" w:rsidP="002151A5">
            <w:pPr>
              <w:autoSpaceDE w:val="0"/>
              <w:autoSpaceDN w:val="0"/>
              <w:adjustRightInd w:val="0"/>
              <w:rPr>
                <w:color w:val="000000"/>
                <w:sz w:val="24"/>
                <w:szCs w:val="24"/>
              </w:rPr>
            </w:pPr>
            <w:r w:rsidRPr="00F66921">
              <w:rPr>
                <w:color w:val="000000"/>
                <w:sz w:val="24"/>
                <w:szCs w:val="24"/>
              </w:rPr>
              <w:t>Indikátor KLM</w:t>
            </w:r>
          </w:p>
        </w:tc>
        <w:tc>
          <w:tcPr>
            <w:tcW w:w="1134" w:type="dxa"/>
          </w:tcPr>
          <w:p w:rsidR="00A70D39" w:rsidRPr="00F66921" w:rsidRDefault="00A70D39" w:rsidP="002151A5">
            <w:pPr>
              <w:autoSpaceDE w:val="0"/>
              <w:autoSpaceDN w:val="0"/>
              <w:adjustRightInd w:val="0"/>
              <w:jc w:val="right"/>
              <w:rPr>
                <w:color w:val="000000"/>
                <w:sz w:val="24"/>
                <w:szCs w:val="24"/>
              </w:rPr>
            </w:pPr>
          </w:p>
        </w:tc>
        <w:tc>
          <w:tcPr>
            <w:tcW w:w="1134" w:type="dxa"/>
          </w:tcPr>
          <w:p w:rsidR="00A70D39" w:rsidRPr="00F66921" w:rsidRDefault="00A70D39" w:rsidP="002151A5">
            <w:pPr>
              <w:autoSpaceDE w:val="0"/>
              <w:autoSpaceDN w:val="0"/>
              <w:adjustRightInd w:val="0"/>
              <w:jc w:val="right"/>
              <w:rPr>
                <w:color w:val="000000"/>
                <w:sz w:val="24"/>
                <w:szCs w:val="24"/>
              </w:rPr>
            </w:pPr>
          </w:p>
        </w:tc>
        <w:tc>
          <w:tcPr>
            <w:tcW w:w="1134" w:type="dxa"/>
          </w:tcPr>
          <w:p w:rsidR="00A70D39" w:rsidRPr="00F66921" w:rsidRDefault="00A70D39" w:rsidP="002151A5">
            <w:pPr>
              <w:autoSpaceDE w:val="0"/>
              <w:autoSpaceDN w:val="0"/>
              <w:adjustRightInd w:val="0"/>
              <w:jc w:val="right"/>
              <w:rPr>
                <w:color w:val="000000"/>
                <w:sz w:val="24"/>
                <w:szCs w:val="24"/>
              </w:rPr>
            </w:pPr>
          </w:p>
        </w:tc>
        <w:tc>
          <w:tcPr>
            <w:tcW w:w="1134" w:type="dxa"/>
          </w:tcPr>
          <w:p w:rsidR="00A70D39" w:rsidRPr="00F66921" w:rsidRDefault="00A70D39" w:rsidP="002151A5">
            <w:pPr>
              <w:autoSpaceDE w:val="0"/>
              <w:autoSpaceDN w:val="0"/>
              <w:adjustRightInd w:val="0"/>
              <w:jc w:val="right"/>
              <w:rPr>
                <w:color w:val="000000"/>
                <w:sz w:val="24"/>
                <w:szCs w:val="24"/>
              </w:rPr>
            </w:pPr>
          </w:p>
        </w:tc>
      </w:tr>
      <w:tr w:rsidR="00A70D39" w:rsidRPr="00F66921" w:rsidTr="002151A5">
        <w:trPr>
          <w:trHeight w:val="70"/>
        </w:trPr>
        <w:tc>
          <w:tcPr>
            <w:tcW w:w="4530" w:type="dxa"/>
          </w:tcPr>
          <w:p w:rsidR="00A70D39" w:rsidRPr="00F66921" w:rsidRDefault="00A70D39" w:rsidP="002151A5">
            <w:pPr>
              <w:autoSpaceDE w:val="0"/>
              <w:autoSpaceDN w:val="0"/>
              <w:adjustRightInd w:val="0"/>
              <w:rPr>
                <w:color w:val="000000"/>
                <w:sz w:val="24"/>
                <w:szCs w:val="24"/>
              </w:rPr>
            </w:pPr>
            <w:r w:rsidRPr="00F66921">
              <w:rPr>
                <w:color w:val="000000"/>
                <w:sz w:val="24"/>
                <w:szCs w:val="24"/>
              </w:rPr>
              <w:t>Indikátor XYZ</w:t>
            </w:r>
          </w:p>
        </w:tc>
        <w:tc>
          <w:tcPr>
            <w:tcW w:w="1134" w:type="dxa"/>
          </w:tcPr>
          <w:p w:rsidR="00A70D39" w:rsidRPr="00F66921" w:rsidRDefault="00A70D39" w:rsidP="002151A5">
            <w:pPr>
              <w:autoSpaceDE w:val="0"/>
              <w:autoSpaceDN w:val="0"/>
              <w:adjustRightInd w:val="0"/>
              <w:jc w:val="right"/>
              <w:rPr>
                <w:color w:val="000000"/>
                <w:sz w:val="24"/>
                <w:szCs w:val="24"/>
              </w:rPr>
            </w:pPr>
          </w:p>
        </w:tc>
        <w:tc>
          <w:tcPr>
            <w:tcW w:w="1134" w:type="dxa"/>
          </w:tcPr>
          <w:p w:rsidR="00A70D39" w:rsidRPr="00F66921" w:rsidRDefault="00A70D39" w:rsidP="002151A5">
            <w:pPr>
              <w:autoSpaceDE w:val="0"/>
              <w:autoSpaceDN w:val="0"/>
              <w:adjustRightInd w:val="0"/>
              <w:jc w:val="right"/>
              <w:rPr>
                <w:color w:val="000000"/>
                <w:sz w:val="24"/>
                <w:szCs w:val="24"/>
              </w:rPr>
            </w:pPr>
          </w:p>
        </w:tc>
        <w:tc>
          <w:tcPr>
            <w:tcW w:w="1134" w:type="dxa"/>
          </w:tcPr>
          <w:p w:rsidR="00A70D39" w:rsidRPr="00F66921" w:rsidRDefault="00A70D39" w:rsidP="002151A5">
            <w:pPr>
              <w:autoSpaceDE w:val="0"/>
              <w:autoSpaceDN w:val="0"/>
              <w:adjustRightInd w:val="0"/>
              <w:jc w:val="right"/>
              <w:rPr>
                <w:color w:val="000000"/>
                <w:sz w:val="24"/>
                <w:szCs w:val="24"/>
              </w:rPr>
            </w:pPr>
          </w:p>
        </w:tc>
        <w:tc>
          <w:tcPr>
            <w:tcW w:w="1134" w:type="dxa"/>
          </w:tcPr>
          <w:p w:rsidR="00A70D39" w:rsidRPr="00F66921" w:rsidRDefault="00A70D39" w:rsidP="002151A5">
            <w:pPr>
              <w:autoSpaceDE w:val="0"/>
              <w:autoSpaceDN w:val="0"/>
              <w:adjustRightInd w:val="0"/>
              <w:jc w:val="right"/>
              <w:rPr>
                <w:color w:val="000000"/>
                <w:sz w:val="24"/>
                <w:szCs w:val="24"/>
              </w:rPr>
            </w:pPr>
          </w:p>
        </w:tc>
      </w:tr>
    </w:tbl>
    <w:p w:rsidR="00A70D39" w:rsidRPr="00F66921" w:rsidRDefault="00A70D39" w:rsidP="00A70D39">
      <w:pPr>
        <w:rPr>
          <w:sz w:val="24"/>
          <w:szCs w:val="24"/>
        </w:rPr>
      </w:pPr>
    </w:p>
    <w:p w:rsidR="00A70D39" w:rsidRPr="00F66921" w:rsidRDefault="00A70D39" w:rsidP="00A70D39">
      <w:pPr>
        <w:rPr>
          <w:b/>
          <w:bCs/>
          <w:sz w:val="24"/>
          <w:szCs w:val="24"/>
        </w:rPr>
      </w:pPr>
      <w:r w:rsidRPr="00F66921">
        <w:rPr>
          <w:b/>
          <w:bCs/>
          <w:sz w:val="24"/>
          <w:szCs w:val="24"/>
        </w:rPr>
        <w:t>2.2.4. Výpočty vplyvov na verejné financie</w:t>
      </w:r>
    </w:p>
    <w:p w:rsidR="00A70D39" w:rsidRPr="00F66921" w:rsidRDefault="00A70D39" w:rsidP="00A70D39">
      <w:pPr>
        <w:rPr>
          <w:sz w:val="24"/>
          <w:szCs w:val="24"/>
        </w:rPr>
      </w:pPr>
    </w:p>
    <w:p w:rsidR="00A70D39" w:rsidRPr="00F66921" w:rsidRDefault="00A70D39" w:rsidP="00A70D39">
      <w:pPr>
        <w:ind w:firstLine="708"/>
        <w:jc w:val="both"/>
        <w:rPr>
          <w:sz w:val="24"/>
          <w:szCs w:val="24"/>
        </w:rPr>
      </w:pPr>
      <w:r w:rsidRPr="00F66921">
        <w:rPr>
          <w:sz w:val="24"/>
          <w:szCs w:val="24"/>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A70D39" w:rsidRPr="00F66921" w:rsidRDefault="00A70D39" w:rsidP="00A70D39">
      <w:pPr>
        <w:tabs>
          <w:tab w:val="num" w:pos="1080"/>
        </w:tabs>
        <w:jc w:val="both"/>
        <w:rPr>
          <w:bCs/>
          <w:sz w:val="24"/>
          <w:szCs w:val="24"/>
        </w:rPr>
      </w:pPr>
    </w:p>
    <w:p w:rsidR="00A70D39" w:rsidRPr="00F66921" w:rsidRDefault="00A70D39" w:rsidP="00A70D39">
      <w:pPr>
        <w:tabs>
          <w:tab w:val="num" w:pos="1080"/>
        </w:tabs>
        <w:jc w:val="both"/>
        <w:rPr>
          <w:bCs/>
          <w:sz w:val="24"/>
        </w:rPr>
        <w:sectPr w:rsidR="00A70D39" w:rsidRPr="00F66921" w:rsidSect="002151A5">
          <w:headerReference w:type="even" r:id="rId9"/>
          <w:footerReference w:type="even" r:id="rId10"/>
          <w:footerReference w:type="default" r:id="rId11"/>
          <w:headerReference w:type="first" r:id="rId12"/>
          <w:footerReference w:type="first" r:id="rId13"/>
          <w:pgSz w:w="11906" w:h="16838"/>
          <w:pgMar w:top="964" w:right="1418" w:bottom="964" w:left="1418" w:header="709" w:footer="709" w:gutter="0"/>
          <w:pgNumType w:start="1"/>
          <w:cols w:space="708"/>
          <w:docGrid w:linePitch="360"/>
        </w:sectPr>
      </w:pPr>
    </w:p>
    <w:p w:rsidR="00A70D39" w:rsidRPr="00F66921" w:rsidRDefault="00A70D39" w:rsidP="00A70D39">
      <w:pPr>
        <w:tabs>
          <w:tab w:val="num" w:pos="1080"/>
        </w:tabs>
        <w:jc w:val="right"/>
        <w:rPr>
          <w:bCs/>
          <w:sz w:val="24"/>
          <w:szCs w:val="24"/>
        </w:rPr>
      </w:pPr>
      <w:r w:rsidRPr="00F66921">
        <w:rPr>
          <w:bCs/>
          <w:sz w:val="24"/>
          <w:szCs w:val="24"/>
        </w:rPr>
        <w:t xml:space="preserve">Tabuľka č. 3 </w:t>
      </w:r>
    </w:p>
    <w:p w:rsidR="00A70D39" w:rsidRPr="00F66921" w:rsidRDefault="00A70D39" w:rsidP="00A70D39">
      <w:pPr>
        <w:tabs>
          <w:tab w:val="num" w:pos="1080"/>
        </w:tabs>
        <w:jc w:val="both"/>
        <w:rPr>
          <w:bCs/>
          <w:sz w:val="24"/>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A70D39" w:rsidRPr="00F66921" w:rsidTr="002151A5">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0D39" w:rsidRPr="00F66921" w:rsidRDefault="00A70D39" w:rsidP="002151A5">
            <w:pPr>
              <w:jc w:val="center"/>
              <w:rPr>
                <w:b/>
                <w:bCs/>
                <w:sz w:val="24"/>
                <w:szCs w:val="24"/>
              </w:rPr>
            </w:pPr>
            <w:r w:rsidRPr="00F66921">
              <w:rPr>
                <w:b/>
                <w:bCs/>
                <w:sz w:val="24"/>
                <w:szCs w:val="24"/>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A70D39" w:rsidRPr="00F66921" w:rsidRDefault="00A70D39" w:rsidP="002151A5">
            <w:pPr>
              <w:jc w:val="center"/>
              <w:rPr>
                <w:b/>
                <w:bCs/>
                <w:sz w:val="24"/>
                <w:szCs w:val="24"/>
              </w:rPr>
            </w:pPr>
            <w:r w:rsidRPr="00F66921">
              <w:rPr>
                <w:b/>
                <w:bCs/>
                <w:sz w:val="24"/>
                <w:szCs w:val="24"/>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70D39" w:rsidRPr="00F66921" w:rsidRDefault="00A70D39" w:rsidP="002151A5">
            <w:pPr>
              <w:jc w:val="center"/>
              <w:rPr>
                <w:b/>
                <w:bCs/>
                <w:sz w:val="24"/>
                <w:szCs w:val="24"/>
              </w:rPr>
            </w:pPr>
            <w:r w:rsidRPr="00F66921">
              <w:rPr>
                <w:b/>
                <w:bCs/>
                <w:sz w:val="24"/>
                <w:szCs w:val="24"/>
              </w:rPr>
              <w:t>poznámka</w:t>
            </w:r>
          </w:p>
        </w:tc>
      </w:tr>
      <w:tr w:rsidR="00A70D39" w:rsidRPr="00F66921" w:rsidTr="002151A5">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A70D39" w:rsidRPr="00F66921" w:rsidRDefault="00A70D39" w:rsidP="002151A5">
            <w:pPr>
              <w:rPr>
                <w:b/>
                <w:bCs/>
                <w:color w:val="FFFFFF"/>
                <w:sz w:val="24"/>
                <w:szCs w:val="24"/>
              </w:rPr>
            </w:pPr>
          </w:p>
        </w:tc>
        <w:tc>
          <w:tcPr>
            <w:tcW w:w="1500" w:type="dxa"/>
            <w:tcBorders>
              <w:top w:val="nil"/>
              <w:left w:val="nil"/>
              <w:bottom w:val="single" w:sz="4" w:space="0" w:color="auto"/>
              <w:right w:val="single" w:sz="4" w:space="0" w:color="auto"/>
            </w:tcBorders>
            <w:shd w:val="clear" w:color="auto" w:fill="BFBFBF" w:themeFill="background1" w:themeFillShade="BF"/>
          </w:tcPr>
          <w:p w:rsidR="00A70D39" w:rsidRPr="00F66921" w:rsidRDefault="00A70D39" w:rsidP="002151A5">
            <w:pPr>
              <w:jc w:val="center"/>
              <w:rPr>
                <w:b/>
                <w:bCs/>
                <w:sz w:val="24"/>
                <w:szCs w:val="24"/>
              </w:rPr>
            </w:pPr>
            <w:r w:rsidRPr="00F66921">
              <w:rPr>
                <w:b/>
                <w:bCs/>
                <w:sz w:val="24"/>
                <w:szCs w:val="24"/>
              </w:rPr>
              <w:t>2020</w:t>
            </w:r>
          </w:p>
        </w:tc>
        <w:tc>
          <w:tcPr>
            <w:tcW w:w="1500" w:type="dxa"/>
            <w:tcBorders>
              <w:top w:val="nil"/>
              <w:left w:val="nil"/>
              <w:bottom w:val="single" w:sz="4" w:space="0" w:color="auto"/>
              <w:right w:val="single" w:sz="4" w:space="0" w:color="auto"/>
            </w:tcBorders>
            <w:shd w:val="clear" w:color="auto" w:fill="BFBFBF" w:themeFill="background1" w:themeFillShade="BF"/>
          </w:tcPr>
          <w:p w:rsidR="00A70D39" w:rsidRPr="00F66921" w:rsidRDefault="00A70D39" w:rsidP="002151A5">
            <w:pPr>
              <w:jc w:val="center"/>
              <w:rPr>
                <w:b/>
                <w:bCs/>
                <w:sz w:val="24"/>
                <w:szCs w:val="24"/>
              </w:rPr>
            </w:pPr>
            <w:r w:rsidRPr="00F66921">
              <w:rPr>
                <w:b/>
                <w:bCs/>
                <w:sz w:val="24"/>
                <w:szCs w:val="24"/>
              </w:rPr>
              <w:t>2021</w:t>
            </w:r>
          </w:p>
        </w:tc>
        <w:tc>
          <w:tcPr>
            <w:tcW w:w="1500" w:type="dxa"/>
            <w:tcBorders>
              <w:top w:val="nil"/>
              <w:left w:val="nil"/>
              <w:bottom w:val="single" w:sz="4" w:space="0" w:color="auto"/>
              <w:right w:val="single" w:sz="4" w:space="0" w:color="auto"/>
            </w:tcBorders>
            <w:shd w:val="clear" w:color="auto" w:fill="BFBFBF" w:themeFill="background1" w:themeFillShade="BF"/>
          </w:tcPr>
          <w:p w:rsidR="00A70D39" w:rsidRPr="00F66921" w:rsidRDefault="00A70D39" w:rsidP="002151A5">
            <w:pPr>
              <w:jc w:val="center"/>
              <w:rPr>
                <w:b/>
                <w:bCs/>
                <w:sz w:val="24"/>
                <w:szCs w:val="24"/>
              </w:rPr>
            </w:pPr>
            <w:r w:rsidRPr="00F66921">
              <w:rPr>
                <w:b/>
                <w:bCs/>
                <w:sz w:val="24"/>
                <w:szCs w:val="24"/>
              </w:rPr>
              <w:t>2022</w:t>
            </w:r>
          </w:p>
        </w:tc>
        <w:tc>
          <w:tcPr>
            <w:tcW w:w="1500" w:type="dxa"/>
            <w:tcBorders>
              <w:top w:val="nil"/>
              <w:left w:val="nil"/>
              <w:bottom w:val="single" w:sz="4" w:space="0" w:color="auto"/>
              <w:right w:val="single" w:sz="4" w:space="0" w:color="auto"/>
            </w:tcBorders>
            <w:shd w:val="clear" w:color="auto" w:fill="BFBFBF" w:themeFill="background1" w:themeFillShade="BF"/>
          </w:tcPr>
          <w:p w:rsidR="00A70D39" w:rsidRPr="00F66921" w:rsidRDefault="00A70D39" w:rsidP="002151A5">
            <w:pPr>
              <w:jc w:val="center"/>
              <w:rPr>
                <w:b/>
                <w:bCs/>
                <w:sz w:val="24"/>
                <w:szCs w:val="24"/>
              </w:rPr>
            </w:pPr>
            <w:r w:rsidRPr="00F66921">
              <w:rPr>
                <w:b/>
                <w:bCs/>
                <w:sz w:val="24"/>
                <w:szCs w:val="24"/>
              </w:rPr>
              <w:t>2023</w:t>
            </w:r>
          </w:p>
        </w:tc>
        <w:tc>
          <w:tcPr>
            <w:tcW w:w="3000" w:type="dxa"/>
            <w:vMerge/>
            <w:tcBorders>
              <w:top w:val="single" w:sz="4" w:space="0" w:color="auto"/>
              <w:left w:val="single" w:sz="4" w:space="0" w:color="auto"/>
              <w:bottom w:val="single" w:sz="4" w:space="0" w:color="auto"/>
              <w:right w:val="single" w:sz="4" w:space="0" w:color="auto"/>
            </w:tcBorders>
            <w:vAlign w:val="center"/>
          </w:tcPr>
          <w:p w:rsidR="00A70D39" w:rsidRPr="00F66921" w:rsidRDefault="00A70D39" w:rsidP="002151A5">
            <w:pPr>
              <w:rPr>
                <w:b/>
                <w:bCs/>
                <w:color w:val="FFFFFF"/>
                <w:sz w:val="24"/>
                <w:szCs w:val="24"/>
              </w:rPr>
            </w:pPr>
          </w:p>
        </w:tc>
      </w:tr>
      <w:tr w:rsidR="00A70D39" w:rsidRPr="00F66921" w:rsidTr="002151A5">
        <w:trPr>
          <w:trHeight w:val="255"/>
        </w:trPr>
        <w:tc>
          <w:tcPr>
            <w:tcW w:w="4950" w:type="dxa"/>
            <w:tcBorders>
              <w:top w:val="nil"/>
              <w:left w:val="single" w:sz="4" w:space="0" w:color="auto"/>
              <w:bottom w:val="single" w:sz="4" w:space="0" w:color="auto"/>
              <w:right w:val="single" w:sz="4" w:space="0" w:color="auto"/>
            </w:tcBorders>
          </w:tcPr>
          <w:p w:rsidR="00A70D39" w:rsidRPr="00F66921" w:rsidRDefault="00A70D39" w:rsidP="002151A5">
            <w:pPr>
              <w:rPr>
                <w:b/>
                <w:bCs/>
                <w:sz w:val="24"/>
                <w:szCs w:val="24"/>
                <w:vertAlign w:val="superscript"/>
              </w:rPr>
            </w:pPr>
            <w:r w:rsidRPr="00F66921">
              <w:rPr>
                <w:b/>
                <w:bCs/>
                <w:sz w:val="24"/>
                <w:szCs w:val="24"/>
              </w:rPr>
              <w:t>Daňové príjmy (100)</w:t>
            </w:r>
            <w:r w:rsidRPr="00F66921">
              <w:rPr>
                <w:b/>
                <w:bCs/>
                <w:sz w:val="24"/>
                <w:szCs w:val="24"/>
                <w:vertAlign w:val="superscript"/>
              </w:rPr>
              <w:t>1</w:t>
            </w:r>
          </w:p>
        </w:tc>
        <w:tc>
          <w:tcPr>
            <w:tcW w:w="1500" w:type="dxa"/>
            <w:tcBorders>
              <w:top w:val="nil"/>
              <w:left w:val="nil"/>
              <w:bottom w:val="single" w:sz="4" w:space="0" w:color="auto"/>
              <w:right w:val="single" w:sz="4" w:space="0" w:color="auto"/>
            </w:tcBorders>
          </w:tcPr>
          <w:p w:rsidR="00A70D39" w:rsidRPr="00F66921" w:rsidRDefault="00A70D39" w:rsidP="002151A5">
            <w:pPr>
              <w:jc w:val="center"/>
              <w:rPr>
                <w:b/>
                <w:bCs/>
                <w:sz w:val="24"/>
                <w:szCs w:val="24"/>
              </w:rPr>
            </w:pPr>
          </w:p>
        </w:tc>
        <w:tc>
          <w:tcPr>
            <w:tcW w:w="1500" w:type="dxa"/>
            <w:tcBorders>
              <w:top w:val="nil"/>
              <w:left w:val="nil"/>
              <w:bottom w:val="single" w:sz="4" w:space="0" w:color="auto"/>
              <w:right w:val="single" w:sz="4" w:space="0" w:color="auto"/>
            </w:tcBorders>
          </w:tcPr>
          <w:p w:rsidR="00A70D39" w:rsidRPr="00F66921" w:rsidRDefault="00A70D39" w:rsidP="002151A5">
            <w:pPr>
              <w:jc w:val="center"/>
              <w:rPr>
                <w:b/>
                <w:bCs/>
                <w:sz w:val="24"/>
                <w:szCs w:val="24"/>
              </w:rPr>
            </w:pPr>
          </w:p>
        </w:tc>
        <w:tc>
          <w:tcPr>
            <w:tcW w:w="1500" w:type="dxa"/>
            <w:tcBorders>
              <w:top w:val="nil"/>
              <w:left w:val="nil"/>
              <w:bottom w:val="single" w:sz="4" w:space="0" w:color="auto"/>
              <w:right w:val="single" w:sz="4" w:space="0" w:color="auto"/>
            </w:tcBorders>
          </w:tcPr>
          <w:p w:rsidR="00A70D39" w:rsidRPr="00F66921" w:rsidRDefault="00A70D39" w:rsidP="002151A5">
            <w:pPr>
              <w:jc w:val="center"/>
              <w:rPr>
                <w:b/>
                <w:bCs/>
                <w:sz w:val="24"/>
                <w:szCs w:val="24"/>
              </w:rPr>
            </w:pPr>
          </w:p>
        </w:tc>
        <w:tc>
          <w:tcPr>
            <w:tcW w:w="1500" w:type="dxa"/>
            <w:tcBorders>
              <w:top w:val="nil"/>
              <w:left w:val="nil"/>
              <w:bottom w:val="single" w:sz="4" w:space="0" w:color="auto"/>
              <w:right w:val="single" w:sz="4" w:space="0" w:color="auto"/>
            </w:tcBorders>
          </w:tcPr>
          <w:p w:rsidR="00A70D39" w:rsidRPr="00F66921" w:rsidRDefault="00A70D39" w:rsidP="002151A5">
            <w:pPr>
              <w:jc w:val="center"/>
              <w:rPr>
                <w:b/>
                <w:bCs/>
                <w:sz w:val="24"/>
                <w:szCs w:val="24"/>
              </w:rPr>
            </w:pPr>
          </w:p>
        </w:tc>
        <w:tc>
          <w:tcPr>
            <w:tcW w:w="3000" w:type="dxa"/>
            <w:tcBorders>
              <w:top w:val="nil"/>
              <w:left w:val="nil"/>
              <w:bottom w:val="single" w:sz="4" w:space="0" w:color="auto"/>
              <w:right w:val="single" w:sz="4" w:space="0" w:color="auto"/>
            </w:tcBorders>
            <w:noWrap/>
            <w:vAlign w:val="bottom"/>
          </w:tcPr>
          <w:p w:rsidR="00A70D39" w:rsidRPr="00F66921" w:rsidRDefault="00A70D39" w:rsidP="002151A5">
            <w:pPr>
              <w:rPr>
                <w:sz w:val="24"/>
                <w:szCs w:val="24"/>
              </w:rPr>
            </w:pPr>
            <w:r w:rsidRPr="00F66921">
              <w:rPr>
                <w:sz w:val="24"/>
                <w:szCs w:val="24"/>
              </w:rPr>
              <w:t> </w:t>
            </w:r>
          </w:p>
        </w:tc>
      </w:tr>
      <w:tr w:rsidR="00A70D39" w:rsidRPr="00F66921" w:rsidTr="002151A5">
        <w:trPr>
          <w:trHeight w:val="255"/>
        </w:trPr>
        <w:tc>
          <w:tcPr>
            <w:tcW w:w="4950" w:type="dxa"/>
            <w:tcBorders>
              <w:top w:val="nil"/>
              <w:left w:val="single" w:sz="4" w:space="0" w:color="auto"/>
              <w:bottom w:val="single" w:sz="4" w:space="0" w:color="auto"/>
              <w:right w:val="single" w:sz="4" w:space="0" w:color="auto"/>
            </w:tcBorders>
          </w:tcPr>
          <w:p w:rsidR="00A70D39" w:rsidRPr="00F66921" w:rsidRDefault="00A70D39" w:rsidP="002151A5">
            <w:pPr>
              <w:rPr>
                <w:b/>
                <w:bCs/>
                <w:sz w:val="24"/>
                <w:szCs w:val="24"/>
              </w:rPr>
            </w:pPr>
            <w:r w:rsidRPr="00F66921">
              <w:rPr>
                <w:b/>
                <w:bCs/>
                <w:sz w:val="24"/>
                <w:szCs w:val="24"/>
              </w:rPr>
              <w:t>Nedaňové príjmy (200)</w:t>
            </w:r>
            <w:r w:rsidRPr="00F66921">
              <w:rPr>
                <w:b/>
                <w:bCs/>
                <w:sz w:val="24"/>
                <w:szCs w:val="24"/>
                <w:vertAlign w:val="superscript"/>
              </w:rPr>
              <w:t>1</w:t>
            </w:r>
          </w:p>
        </w:tc>
        <w:tc>
          <w:tcPr>
            <w:tcW w:w="1500" w:type="dxa"/>
            <w:tcBorders>
              <w:top w:val="nil"/>
              <w:left w:val="nil"/>
              <w:bottom w:val="single" w:sz="4" w:space="0" w:color="auto"/>
              <w:right w:val="single" w:sz="4" w:space="0" w:color="auto"/>
            </w:tcBorders>
          </w:tcPr>
          <w:p w:rsidR="00A70D39" w:rsidRPr="00F66921" w:rsidRDefault="00A70D39" w:rsidP="002151A5">
            <w:pPr>
              <w:jc w:val="center"/>
              <w:rPr>
                <w:b/>
                <w:bCs/>
                <w:sz w:val="24"/>
                <w:szCs w:val="24"/>
              </w:rPr>
            </w:pPr>
          </w:p>
        </w:tc>
        <w:tc>
          <w:tcPr>
            <w:tcW w:w="1500" w:type="dxa"/>
            <w:tcBorders>
              <w:top w:val="nil"/>
              <w:left w:val="nil"/>
              <w:bottom w:val="single" w:sz="4" w:space="0" w:color="auto"/>
              <w:right w:val="single" w:sz="4" w:space="0" w:color="auto"/>
            </w:tcBorders>
          </w:tcPr>
          <w:p w:rsidR="00A70D39" w:rsidRPr="00F66921" w:rsidRDefault="00A70D39" w:rsidP="002151A5">
            <w:pPr>
              <w:jc w:val="center"/>
              <w:rPr>
                <w:b/>
                <w:bCs/>
                <w:sz w:val="24"/>
                <w:szCs w:val="24"/>
              </w:rPr>
            </w:pPr>
          </w:p>
        </w:tc>
        <w:tc>
          <w:tcPr>
            <w:tcW w:w="1500" w:type="dxa"/>
            <w:tcBorders>
              <w:top w:val="nil"/>
              <w:left w:val="nil"/>
              <w:bottom w:val="single" w:sz="4" w:space="0" w:color="auto"/>
              <w:right w:val="single" w:sz="4" w:space="0" w:color="auto"/>
            </w:tcBorders>
          </w:tcPr>
          <w:p w:rsidR="00A70D39" w:rsidRPr="00F66921" w:rsidRDefault="00A70D39" w:rsidP="002151A5">
            <w:pPr>
              <w:jc w:val="center"/>
              <w:rPr>
                <w:b/>
                <w:bCs/>
                <w:sz w:val="24"/>
                <w:szCs w:val="24"/>
              </w:rPr>
            </w:pPr>
          </w:p>
        </w:tc>
        <w:tc>
          <w:tcPr>
            <w:tcW w:w="1500" w:type="dxa"/>
            <w:tcBorders>
              <w:top w:val="nil"/>
              <w:left w:val="nil"/>
              <w:bottom w:val="single" w:sz="4" w:space="0" w:color="auto"/>
              <w:right w:val="single" w:sz="4" w:space="0" w:color="auto"/>
            </w:tcBorders>
          </w:tcPr>
          <w:p w:rsidR="00A70D39" w:rsidRPr="00F66921" w:rsidRDefault="00A70D39" w:rsidP="002151A5">
            <w:pPr>
              <w:jc w:val="center"/>
              <w:rPr>
                <w:b/>
                <w:bCs/>
                <w:sz w:val="24"/>
                <w:szCs w:val="24"/>
              </w:rPr>
            </w:pPr>
          </w:p>
        </w:tc>
        <w:tc>
          <w:tcPr>
            <w:tcW w:w="3000" w:type="dxa"/>
            <w:tcBorders>
              <w:top w:val="nil"/>
              <w:left w:val="nil"/>
              <w:bottom w:val="single" w:sz="4" w:space="0" w:color="auto"/>
              <w:right w:val="single" w:sz="4" w:space="0" w:color="auto"/>
            </w:tcBorders>
            <w:noWrap/>
            <w:vAlign w:val="bottom"/>
          </w:tcPr>
          <w:p w:rsidR="00A70D39" w:rsidRPr="00F66921" w:rsidRDefault="00A70D39" w:rsidP="002151A5">
            <w:pPr>
              <w:rPr>
                <w:sz w:val="24"/>
                <w:szCs w:val="24"/>
              </w:rPr>
            </w:pPr>
            <w:r w:rsidRPr="00F66921">
              <w:rPr>
                <w:sz w:val="24"/>
                <w:szCs w:val="24"/>
              </w:rPr>
              <w:t> </w:t>
            </w:r>
          </w:p>
        </w:tc>
      </w:tr>
      <w:tr w:rsidR="00A70D39" w:rsidRPr="00F66921" w:rsidTr="002151A5">
        <w:trPr>
          <w:trHeight w:val="255"/>
        </w:trPr>
        <w:tc>
          <w:tcPr>
            <w:tcW w:w="4950" w:type="dxa"/>
            <w:tcBorders>
              <w:top w:val="nil"/>
              <w:left w:val="single" w:sz="4" w:space="0" w:color="auto"/>
              <w:bottom w:val="single" w:sz="4" w:space="0" w:color="auto"/>
              <w:right w:val="single" w:sz="4" w:space="0" w:color="auto"/>
            </w:tcBorders>
          </w:tcPr>
          <w:p w:rsidR="00A70D39" w:rsidRPr="00F66921" w:rsidRDefault="00A70D39" w:rsidP="002151A5">
            <w:pPr>
              <w:rPr>
                <w:b/>
                <w:bCs/>
                <w:sz w:val="24"/>
                <w:szCs w:val="24"/>
              </w:rPr>
            </w:pPr>
            <w:r w:rsidRPr="00F66921">
              <w:rPr>
                <w:b/>
                <w:bCs/>
                <w:sz w:val="24"/>
                <w:szCs w:val="24"/>
              </w:rPr>
              <w:t>Granty a transfery (300)</w:t>
            </w:r>
            <w:r w:rsidRPr="00F66921">
              <w:rPr>
                <w:b/>
                <w:bCs/>
                <w:sz w:val="24"/>
                <w:szCs w:val="24"/>
                <w:vertAlign w:val="superscript"/>
              </w:rPr>
              <w:t>1</w:t>
            </w:r>
          </w:p>
        </w:tc>
        <w:tc>
          <w:tcPr>
            <w:tcW w:w="1500" w:type="dxa"/>
            <w:tcBorders>
              <w:top w:val="nil"/>
              <w:left w:val="nil"/>
              <w:bottom w:val="single" w:sz="4" w:space="0" w:color="auto"/>
              <w:right w:val="single" w:sz="4" w:space="0" w:color="auto"/>
            </w:tcBorders>
          </w:tcPr>
          <w:p w:rsidR="00A70D39" w:rsidRPr="00F66921" w:rsidRDefault="00A70D39" w:rsidP="002151A5">
            <w:pPr>
              <w:jc w:val="center"/>
              <w:rPr>
                <w:b/>
                <w:bCs/>
                <w:sz w:val="24"/>
                <w:szCs w:val="24"/>
              </w:rPr>
            </w:pPr>
          </w:p>
        </w:tc>
        <w:tc>
          <w:tcPr>
            <w:tcW w:w="1500" w:type="dxa"/>
            <w:tcBorders>
              <w:top w:val="nil"/>
              <w:left w:val="nil"/>
              <w:bottom w:val="single" w:sz="4" w:space="0" w:color="auto"/>
              <w:right w:val="single" w:sz="4" w:space="0" w:color="auto"/>
            </w:tcBorders>
          </w:tcPr>
          <w:p w:rsidR="00A70D39" w:rsidRPr="00F66921" w:rsidRDefault="00A70D39" w:rsidP="002151A5">
            <w:pPr>
              <w:jc w:val="center"/>
              <w:rPr>
                <w:b/>
                <w:bCs/>
                <w:sz w:val="24"/>
                <w:szCs w:val="24"/>
              </w:rPr>
            </w:pPr>
          </w:p>
        </w:tc>
        <w:tc>
          <w:tcPr>
            <w:tcW w:w="1500" w:type="dxa"/>
            <w:tcBorders>
              <w:top w:val="nil"/>
              <w:left w:val="nil"/>
              <w:bottom w:val="single" w:sz="4" w:space="0" w:color="auto"/>
              <w:right w:val="single" w:sz="4" w:space="0" w:color="auto"/>
            </w:tcBorders>
          </w:tcPr>
          <w:p w:rsidR="00A70D39" w:rsidRPr="00F66921" w:rsidRDefault="00A70D39" w:rsidP="002151A5">
            <w:pPr>
              <w:jc w:val="center"/>
              <w:rPr>
                <w:b/>
                <w:bCs/>
                <w:sz w:val="24"/>
                <w:szCs w:val="24"/>
              </w:rPr>
            </w:pPr>
          </w:p>
        </w:tc>
        <w:tc>
          <w:tcPr>
            <w:tcW w:w="1500" w:type="dxa"/>
            <w:tcBorders>
              <w:top w:val="nil"/>
              <w:left w:val="nil"/>
              <w:bottom w:val="single" w:sz="4" w:space="0" w:color="auto"/>
              <w:right w:val="single" w:sz="4" w:space="0" w:color="auto"/>
            </w:tcBorders>
          </w:tcPr>
          <w:p w:rsidR="00A70D39" w:rsidRPr="00F66921" w:rsidRDefault="00A70D39" w:rsidP="002151A5">
            <w:pPr>
              <w:jc w:val="center"/>
              <w:rPr>
                <w:b/>
                <w:bCs/>
                <w:sz w:val="24"/>
                <w:szCs w:val="24"/>
              </w:rPr>
            </w:pPr>
          </w:p>
        </w:tc>
        <w:tc>
          <w:tcPr>
            <w:tcW w:w="3000" w:type="dxa"/>
            <w:tcBorders>
              <w:top w:val="nil"/>
              <w:left w:val="nil"/>
              <w:bottom w:val="single" w:sz="4" w:space="0" w:color="auto"/>
              <w:right w:val="single" w:sz="4" w:space="0" w:color="auto"/>
            </w:tcBorders>
            <w:noWrap/>
            <w:vAlign w:val="bottom"/>
          </w:tcPr>
          <w:p w:rsidR="00A70D39" w:rsidRPr="00F66921" w:rsidRDefault="00A70D39" w:rsidP="002151A5">
            <w:pPr>
              <w:rPr>
                <w:sz w:val="24"/>
                <w:szCs w:val="24"/>
              </w:rPr>
            </w:pPr>
            <w:r w:rsidRPr="00F66921">
              <w:rPr>
                <w:sz w:val="24"/>
                <w:szCs w:val="24"/>
              </w:rPr>
              <w:t> </w:t>
            </w:r>
          </w:p>
        </w:tc>
      </w:tr>
      <w:tr w:rsidR="00A70D39" w:rsidRPr="00F66921" w:rsidTr="002151A5">
        <w:trPr>
          <w:trHeight w:val="255"/>
        </w:trPr>
        <w:tc>
          <w:tcPr>
            <w:tcW w:w="4950" w:type="dxa"/>
            <w:tcBorders>
              <w:top w:val="nil"/>
              <w:left w:val="single" w:sz="4" w:space="0" w:color="auto"/>
              <w:bottom w:val="single" w:sz="4" w:space="0" w:color="auto"/>
              <w:right w:val="single" w:sz="4" w:space="0" w:color="auto"/>
            </w:tcBorders>
          </w:tcPr>
          <w:p w:rsidR="00A70D39" w:rsidRPr="00F66921" w:rsidRDefault="00A70D39" w:rsidP="002151A5">
            <w:pPr>
              <w:rPr>
                <w:b/>
                <w:bCs/>
                <w:sz w:val="24"/>
                <w:szCs w:val="24"/>
              </w:rPr>
            </w:pPr>
            <w:r w:rsidRPr="00F66921">
              <w:rPr>
                <w:b/>
                <w:bCs/>
                <w:sz w:val="24"/>
                <w:szCs w:val="24"/>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A70D39" w:rsidRPr="00F66921" w:rsidRDefault="00A70D39" w:rsidP="002151A5">
            <w:pPr>
              <w:jc w:val="center"/>
              <w:rPr>
                <w:b/>
                <w:bCs/>
                <w:sz w:val="24"/>
                <w:szCs w:val="24"/>
              </w:rPr>
            </w:pPr>
            <w:r w:rsidRPr="00F66921">
              <w:rPr>
                <w:b/>
                <w:bCs/>
                <w:sz w:val="24"/>
                <w:szCs w:val="24"/>
              </w:rPr>
              <w:t> </w:t>
            </w:r>
          </w:p>
        </w:tc>
        <w:tc>
          <w:tcPr>
            <w:tcW w:w="1500" w:type="dxa"/>
            <w:tcBorders>
              <w:top w:val="nil"/>
              <w:left w:val="nil"/>
              <w:bottom w:val="single" w:sz="4" w:space="0" w:color="auto"/>
              <w:right w:val="single" w:sz="4" w:space="0" w:color="auto"/>
            </w:tcBorders>
            <w:shd w:val="clear" w:color="auto" w:fill="FFFF99"/>
          </w:tcPr>
          <w:p w:rsidR="00A70D39" w:rsidRPr="00F66921" w:rsidRDefault="00A70D39" w:rsidP="002151A5">
            <w:pPr>
              <w:jc w:val="center"/>
              <w:rPr>
                <w:b/>
                <w:bCs/>
                <w:sz w:val="24"/>
                <w:szCs w:val="24"/>
              </w:rPr>
            </w:pPr>
            <w:r w:rsidRPr="00F66921">
              <w:rPr>
                <w:b/>
                <w:bCs/>
                <w:sz w:val="24"/>
                <w:szCs w:val="24"/>
              </w:rPr>
              <w:t> </w:t>
            </w:r>
          </w:p>
        </w:tc>
        <w:tc>
          <w:tcPr>
            <w:tcW w:w="1500" w:type="dxa"/>
            <w:tcBorders>
              <w:top w:val="nil"/>
              <w:left w:val="nil"/>
              <w:bottom w:val="single" w:sz="4" w:space="0" w:color="auto"/>
              <w:right w:val="single" w:sz="4" w:space="0" w:color="auto"/>
            </w:tcBorders>
            <w:shd w:val="clear" w:color="auto" w:fill="FFFF99"/>
          </w:tcPr>
          <w:p w:rsidR="00A70D39" w:rsidRPr="00F66921" w:rsidRDefault="00A70D39" w:rsidP="002151A5">
            <w:pPr>
              <w:jc w:val="center"/>
              <w:rPr>
                <w:b/>
                <w:bCs/>
                <w:sz w:val="24"/>
                <w:szCs w:val="24"/>
              </w:rPr>
            </w:pPr>
            <w:r w:rsidRPr="00F66921">
              <w:rPr>
                <w:b/>
                <w:bCs/>
                <w:sz w:val="24"/>
                <w:szCs w:val="24"/>
              </w:rPr>
              <w:t> </w:t>
            </w:r>
          </w:p>
        </w:tc>
        <w:tc>
          <w:tcPr>
            <w:tcW w:w="1500" w:type="dxa"/>
            <w:tcBorders>
              <w:top w:val="nil"/>
              <w:left w:val="nil"/>
              <w:bottom w:val="single" w:sz="4" w:space="0" w:color="auto"/>
              <w:right w:val="single" w:sz="4" w:space="0" w:color="auto"/>
            </w:tcBorders>
            <w:shd w:val="clear" w:color="auto" w:fill="FFFF99"/>
          </w:tcPr>
          <w:p w:rsidR="00A70D39" w:rsidRPr="00F66921" w:rsidRDefault="00A70D39" w:rsidP="002151A5">
            <w:pPr>
              <w:jc w:val="center"/>
              <w:rPr>
                <w:b/>
                <w:bCs/>
                <w:sz w:val="24"/>
                <w:szCs w:val="24"/>
              </w:rPr>
            </w:pPr>
            <w:r w:rsidRPr="00F66921">
              <w:rPr>
                <w:b/>
                <w:bCs/>
                <w:sz w:val="24"/>
                <w:szCs w:val="24"/>
              </w:rPr>
              <w:t> </w:t>
            </w:r>
          </w:p>
        </w:tc>
        <w:tc>
          <w:tcPr>
            <w:tcW w:w="3000" w:type="dxa"/>
            <w:tcBorders>
              <w:top w:val="nil"/>
              <w:left w:val="nil"/>
              <w:bottom w:val="single" w:sz="4" w:space="0" w:color="auto"/>
              <w:right w:val="single" w:sz="4" w:space="0" w:color="auto"/>
            </w:tcBorders>
            <w:noWrap/>
            <w:vAlign w:val="bottom"/>
          </w:tcPr>
          <w:p w:rsidR="00A70D39" w:rsidRPr="00F66921" w:rsidRDefault="00A70D39" w:rsidP="002151A5">
            <w:pPr>
              <w:rPr>
                <w:sz w:val="24"/>
                <w:szCs w:val="24"/>
              </w:rPr>
            </w:pPr>
            <w:r w:rsidRPr="00F66921">
              <w:rPr>
                <w:sz w:val="24"/>
                <w:szCs w:val="24"/>
              </w:rPr>
              <w:t> </w:t>
            </w:r>
          </w:p>
        </w:tc>
      </w:tr>
      <w:tr w:rsidR="00A70D39" w:rsidRPr="00F66921" w:rsidTr="002151A5">
        <w:trPr>
          <w:trHeight w:val="255"/>
        </w:trPr>
        <w:tc>
          <w:tcPr>
            <w:tcW w:w="4950" w:type="dxa"/>
            <w:tcBorders>
              <w:top w:val="nil"/>
              <w:left w:val="single" w:sz="4" w:space="0" w:color="auto"/>
              <w:bottom w:val="single" w:sz="4" w:space="0" w:color="auto"/>
              <w:right w:val="single" w:sz="4" w:space="0" w:color="auto"/>
            </w:tcBorders>
          </w:tcPr>
          <w:p w:rsidR="00A70D39" w:rsidRPr="00F66921" w:rsidRDefault="00A70D39" w:rsidP="002151A5">
            <w:pPr>
              <w:rPr>
                <w:b/>
                <w:bCs/>
                <w:sz w:val="24"/>
                <w:szCs w:val="24"/>
              </w:rPr>
            </w:pPr>
            <w:r w:rsidRPr="00F66921">
              <w:rPr>
                <w:b/>
                <w:bCs/>
                <w:sz w:val="24"/>
                <w:szCs w:val="24"/>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A70D39" w:rsidRPr="00F66921" w:rsidRDefault="00A70D39" w:rsidP="002151A5">
            <w:pPr>
              <w:jc w:val="center"/>
              <w:rPr>
                <w:b/>
                <w:bCs/>
                <w:sz w:val="24"/>
                <w:szCs w:val="24"/>
              </w:rPr>
            </w:pPr>
            <w:r w:rsidRPr="00F66921">
              <w:rPr>
                <w:b/>
                <w:bCs/>
                <w:sz w:val="24"/>
                <w:szCs w:val="24"/>
              </w:rPr>
              <w:t> </w:t>
            </w:r>
          </w:p>
        </w:tc>
        <w:tc>
          <w:tcPr>
            <w:tcW w:w="1500" w:type="dxa"/>
            <w:tcBorders>
              <w:top w:val="nil"/>
              <w:left w:val="nil"/>
              <w:bottom w:val="single" w:sz="4" w:space="0" w:color="auto"/>
              <w:right w:val="single" w:sz="4" w:space="0" w:color="auto"/>
            </w:tcBorders>
            <w:shd w:val="clear" w:color="auto" w:fill="FFFF99"/>
          </w:tcPr>
          <w:p w:rsidR="00A70D39" w:rsidRPr="00F66921" w:rsidRDefault="00A70D39" w:rsidP="002151A5">
            <w:pPr>
              <w:jc w:val="center"/>
              <w:rPr>
                <w:b/>
                <w:bCs/>
                <w:sz w:val="24"/>
                <w:szCs w:val="24"/>
              </w:rPr>
            </w:pPr>
            <w:r w:rsidRPr="00F66921">
              <w:rPr>
                <w:b/>
                <w:bCs/>
                <w:sz w:val="24"/>
                <w:szCs w:val="24"/>
              </w:rPr>
              <w:t> </w:t>
            </w:r>
          </w:p>
        </w:tc>
        <w:tc>
          <w:tcPr>
            <w:tcW w:w="1500" w:type="dxa"/>
            <w:tcBorders>
              <w:top w:val="nil"/>
              <w:left w:val="nil"/>
              <w:bottom w:val="single" w:sz="4" w:space="0" w:color="auto"/>
              <w:right w:val="single" w:sz="4" w:space="0" w:color="auto"/>
            </w:tcBorders>
            <w:shd w:val="clear" w:color="auto" w:fill="FFFF99"/>
          </w:tcPr>
          <w:p w:rsidR="00A70D39" w:rsidRPr="00F66921" w:rsidRDefault="00A70D39" w:rsidP="002151A5">
            <w:pPr>
              <w:jc w:val="center"/>
              <w:rPr>
                <w:b/>
                <w:bCs/>
                <w:sz w:val="24"/>
                <w:szCs w:val="24"/>
              </w:rPr>
            </w:pPr>
            <w:r w:rsidRPr="00F66921">
              <w:rPr>
                <w:b/>
                <w:bCs/>
                <w:sz w:val="24"/>
                <w:szCs w:val="24"/>
              </w:rPr>
              <w:t> </w:t>
            </w:r>
          </w:p>
        </w:tc>
        <w:tc>
          <w:tcPr>
            <w:tcW w:w="1500" w:type="dxa"/>
            <w:tcBorders>
              <w:top w:val="nil"/>
              <w:left w:val="nil"/>
              <w:bottom w:val="single" w:sz="4" w:space="0" w:color="auto"/>
              <w:right w:val="single" w:sz="4" w:space="0" w:color="auto"/>
            </w:tcBorders>
            <w:shd w:val="clear" w:color="auto" w:fill="FFFF99"/>
          </w:tcPr>
          <w:p w:rsidR="00A70D39" w:rsidRPr="00F66921" w:rsidRDefault="00A70D39" w:rsidP="002151A5">
            <w:pPr>
              <w:jc w:val="center"/>
              <w:rPr>
                <w:b/>
                <w:bCs/>
                <w:sz w:val="24"/>
                <w:szCs w:val="24"/>
              </w:rPr>
            </w:pPr>
            <w:r w:rsidRPr="00F66921">
              <w:rPr>
                <w:b/>
                <w:bCs/>
                <w:sz w:val="24"/>
                <w:szCs w:val="24"/>
              </w:rPr>
              <w:t> </w:t>
            </w:r>
          </w:p>
        </w:tc>
        <w:tc>
          <w:tcPr>
            <w:tcW w:w="3000" w:type="dxa"/>
            <w:tcBorders>
              <w:top w:val="nil"/>
              <w:left w:val="nil"/>
              <w:bottom w:val="single" w:sz="4" w:space="0" w:color="auto"/>
              <w:right w:val="single" w:sz="4" w:space="0" w:color="auto"/>
            </w:tcBorders>
            <w:noWrap/>
            <w:vAlign w:val="bottom"/>
          </w:tcPr>
          <w:p w:rsidR="00A70D39" w:rsidRPr="00F66921" w:rsidRDefault="00A70D39" w:rsidP="002151A5">
            <w:pPr>
              <w:rPr>
                <w:sz w:val="24"/>
                <w:szCs w:val="24"/>
              </w:rPr>
            </w:pPr>
            <w:r w:rsidRPr="00F66921">
              <w:rPr>
                <w:sz w:val="24"/>
                <w:szCs w:val="24"/>
              </w:rPr>
              <w:t> </w:t>
            </w:r>
          </w:p>
        </w:tc>
      </w:tr>
      <w:tr w:rsidR="00A70D39" w:rsidRPr="00F66921" w:rsidTr="002151A5">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A70D39" w:rsidRPr="00F66921" w:rsidRDefault="00A70D39" w:rsidP="002151A5">
            <w:pPr>
              <w:rPr>
                <w:b/>
                <w:bCs/>
                <w:sz w:val="24"/>
                <w:szCs w:val="24"/>
              </w:rPr>
            </w:pPr>
            <w:r w:rsidRPr="00F66921">
              <w:rPr>
                <w:b/>
                <w:bCs/>
                <w:sz w:val="24"/>
                <w:szCs w:val="24"/>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A70D39" w:rsidRPr="00F66921" w:rsidRDefault="00A70D39" w:rsidP="002151A5">
            <w:pPr>
              <w:jc w:val="center"/>
              <w:rPr>
                <w:b/>
                <w:bCs/>
                <w:sz w:val="24"/>
                <w:szCs w:val="24"/>
              </w:rPr>
            </w:pPr>
          </w:p>
        </w:tc>
        <w:tc>
          <w:tcPr>
            <w:tcW w:w="1500" w:type="dxa"/>
            <w:tcBorders>
              <w:top w:val="nil"/>
              <w:left w:val="nil"/>
              <w:bottom w:val="single" w:sz="4" w:space="0" w:color="auto"/>
              <w:right w:val="single" w:sz="4" w:space="0" w:color="auto"/>
            </w:tcBorders>
            <w:shd w:val="clear" w:color="auto" w:fill="BFBFBF" w:themeFill="background1" w:themeFillShade="BF"/>
          </w:tcPr>
          <w:p w:rsidR="00A70D39" w:rsidRPr="00F66921" w:rsidRDefault="00A70D39" w:rsidP="002151A5">
            <w:pPr>
              <w:jc w:val="center"/>
              <w:rPr>
                <w:b/>
                <w:bCs/>
                <w:sz w:val="24"/>
                <w:szCs w:val="24"/>
              </w:rPr>
            </w:pPr>
          </w:p>
        </w:tc>
        <w:tc>
          <w:tcPr>
            <w:tcW w:w="1500" w:type="dxa"/>
            <w:tcBorders>
              <w:top w:val="nil"/>
              <w:left w:val="nil"/>
              <w:bottom w:val="single" w:sz="4" w:space="0" w:color="auto"/>
              <w:right w:val="single" w:sz="4" w:space="0" w:color="auto"/>
            </w:tcBorders>
            <w:shd w:val="clear" w:color="auto" w:fill="BFBFBF" w:themeFill="background1" w:themeFillShade="BF"/>
          </w:tcPr>
          <w:p w:rsidR="00A70D39" w:rsidRPr="00F66921" w:rsidRDefault="00A70D39" w:rsidP="002151A5">
            <w:pPr>
              <w:jc w:val="center"/>
              <w:rPr>
                <w:b/>
                <w:bCs/>
                <w:sz w:val="24"/>
                <w:szCs w:val="24"/>
              </w:rPr>
            </w:pPr>
          </w:p>
        </w:tc>
        <w:tc>
          <w:tcPr>
            <w:tcW w:w="1500" w:type="dxa"/>
            <w:tcBorders>
              <w:top w:val="nil"/>
              <w:left w:val="nil"/>
              <w:bottom w:val="single" w:sz="4" w:space="0" w:color="auto"/>
              <w:right w:val="single" w:sz="4" w:space="0" w:color="auto"/>
            </w:tcBorders>
            <w:shd w:val="clear" w:color="auto" w:fill="BFBFBF" w:themeFill="background1" w:themeFillShade="BF"/>
          </w:tcPr>
          <w:p w:rsidR="00A70D39" w:rsidRPr="00F66921" w:rsidRDefault="00A70D39" w:rsidP="002151A5">
            <w:pPr>
              <w:jc w:val="center"/>
              <w:rPr>
                <w:b/>
                <w:bCs/>
                <w:sz w:val="24"/>
                <w:szCs w:val="24"/>
              </w:rPr>
            </w:pP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A70D39" w:rsidRPr="00F66921" w:rsidRDefault="00A70D39" w:rsidP="002151A5">
            <w:pPr>
              <w:rPr>
                <w:sz w:val="24"/>
                <w:szCs w:val="24"/>
              </w:rPr>
            </w:pPr>
            <w:r w:rsidRPr="00F66921">
              <w:rPr>
                <w:sz w:val="24"/>
                <w:szCs w:val="24"/>
              </w:rPr>
              <w:t> </w:t>
            </w:r>
          </w:p>
        </w:tc>
      </w:tr>
    </w:tbl>
    <w:p w:rsidR="00A70D39" w:rsidRPr="00F66921" w:rsidRDefault="00A70D39" w:rsidP="00A70D39">
      <w:pPr>
        <w:tabs>
          <w:tab w:val="num" w:pos="1080"/>
        </w:tabs>
        <w:jc w:val="both"/>
        <w:rPr>
          <w:bCs/>
        </w:rPr>
      </w:pPr>
      <w:r w:rsidRPr="00F66921">
        <w:rPr>
          <w:bCs/>
        </w:rPr>
        <w:t>1 –  príjmy rozpísať až do položiek platnej ekonomickej klasifikácie</w:t>
      </w:r>
    </w:p>
    <w:p w:rsidR="00A70D39" w:rsidRPr="00F66921" w:rsidRDefault="00A70D39" w:rsidP="00A70D39">
      <w:pPr>
        <w:tabs>
          <w:tab w:val="num" w:pos="1080"/>
        </w:tabs>
        <w:jc w:val="both"/>
        <w:rPr>
          <w:bCs/>
          <w:sz w:val="24"/>
        </w:rPr>
      </w:pPr>
    </w:p>
    <w:p w:rsidR="00A70D39" w:rsidRPr="00F66921" w:rsidRDefault="00A70D39" w:rsidP="00A70D39">
      <w:pPr>
        <w:tabs>
          <w:tab w:val="num" w:pos="1080"/>
        </w:tabs>
        <w:jc w:val="both"/>
        <w:rPr>
          <w:b/>
          <w:bCs/>
          <w:sz w:val="24"/>
        </w:rPr>
      </w:pPr>
      <w:r w:rsidRPr="00F66921">
        <w:rPr>
          <w:b/>
          <w:bCs/>
          <w:sz w:val="24"/>
        </w:rPr>
        <w:t>Poznámka:</w:t>
      </w:r>
    </w:p>
    <w:p w:rsidR="00A70D39" w:rsidRPr="00F66921" w:rsidRDefault="00A70D39" w:rsidP="00A70D39">
      <w:pPr>
        <w:tabs>
          <w:tab w:val="num" w:pos="1080"/>
        </w:tabs>
        <w:jc w:val="both"/>
        <w:rPr>
          <w:bCs/>
          <w:sz w:val="24"/>
        </w:rPr>
      </w:pPr>
      <w:r w:rsidRPr="00F66921">
        <w:rPr>
          <w:bCs/>
          <w:sz w:val="24"/>
        </w:rPr>
        <w:t>Ak sa vplyv týka viacerých subjektov verejnej správy, vypĺňa sa samostatná tabuľka za každý subjekt.</w:t>
      </w:r>
    </w:p>
    <w:p w:rsidR="00A70D39" w:rsidRPr="00F66921" w:rsidRDefault="00A70D39" w:rsidP="00A70D39">
      <w:pPr>
        <w:tabs>
          <w:tab w:val="num" w:pos="1080"/>
        </w:tabs>
        <w:ind w:right="-578"/>
        <w:jc w:val="right"/>
        <w:rPr>
          <w:bCs/>
          <w:sz w:val="24"/>
          <w:szCs w:val="24"/>
        </w:rPr>
      </w:pPr>
    </w:p>
    <w:p w:rsidR="00A70D39" w:rsidRPr="00F66921" w:rsidRDefault="00A70D39" w:rsidP="00A70D39">
      <w:pPr>
        <w:tabs>
          <w:tab w:val="num" w:pos="1080"/>
        </w:tabs>
        <w:ind w:right="-578"/>
        <w:jc w:val="right"/>
        <w:rPr>
          <w:bCs/>
          <w:sz w:val="24"/>
          <w:szCs w:val="24"/>
        </w:rPr>
      </w:pPr>
    </w:p>
    <w:p w:rsidR="00A70D39" w:rsidRPr="00F66921" w:rsidRDefault="00A70D39" w:rsidP="00A70D39">
      <w:pPr>
        <w:tabs>
          <w:tab w:val="num" w:pos="1080"/>
        </w:tabs>
        <w:ind w:right="-32"/>
        <w:jc w:val="right"/>
        <w:rPr>
          <w:bCs/>
          <w:sz w:val="24"/>
          <w:szCs w:val="24"/>
        </w:rPr>
      </w:pPr>
      <w:r w:rsidRPr="00F66921">
        <w:rPr>
          <w:bCs/>
          <w:sz w:val="24"/>
          <w:szCs w:val="24"/>
        </w:rPr>
        <w:t xml:space="preserve">Tabuľka č. 4 </w:t>
      </w:r>
    </w:p>
    <w:p w:rsidR="00A70D39" w:rsidRPr="00F66921" w:rsidRDefault="00A70D39" w:rsidP="00A70D39">
      <w:pPr>
        <w:tabs>
          <w:tab w:val="num" w:pos="1080"/>
        </w:tabs>
        <w:ind w:right="-32"/>
        <w:jc w:val="right"/>
        <w:rPr>
          <w:bCs/>
          <w:sz w:val="24"/>
          <w:szCs w:val="24"/>
        </w:rPr>
      </w:pPr>
    </w:p>
    <w:tbl>
      <w:tblPr>
        <w:tblW w:w="5315" w:type="pct"/>
        <w:tblInd w:w="-512" w:type="dxa"/>
        <w:tblLayout w:type="fixed"/>
        <w:tblCellMar>
          <w:left w:w="70" w:type="dxa"/>
          <w:right w:w="70" w:type="dxa"/>
        </w:tblCellMar>
        <w:tblLook w:val="04A0" w:firstRow="1" w:lastRow="0" w:firstColumn="1" w:lastColumn="0" w:noHBand="0" w:noVBand="1"/>
      </w:tblPr>
      <w:tblGrid>
        <w:gridCol w:w="6749"/>
        <w:gridCol w:w="1841"/>
        <w:gridCol w:w="1532"/>
        <w:gridCol w:w="1532"/>
        <w:gridCol w:w="1541"/>
        <w:gridCol w:w="1678"/>
      </w:tblGrid>
      <w:tr w:rsidR="00A70D39" w:rsidRPr="00F66921" w:rsidTr="002151A5">
        <w:trPr>
          <w:cantSplit/>
          <w:trHeight w:val="280"/>
          <w:tblHeader/>
        </w:trPr>
        <w:tc>
          <w:tcPr>
            <w:tcW w:w="2269" w:type="pct"/>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A70D39" w:rsidRPr="00F66921" w:rsidRDefault="00A70D39" w:rsidP="002151A5">
            <w:pPr>
              <w:jc w:val="center"/>
              <w:rPr>
                <w:b/>
                <w:bCs/>
                <w:color w:val="000000"/>
                <w:sz w:val="16"/>
                <w:szCs w:val="16"/>
              </w:rPr>
            </w:pPr>
            <w:r w:rsidRPr="00F66921">
              <w:rPr>
                <w:b/>
                <w:bCs/>
                <w:color w:val="000000"/>
                <w:sz w:val="16"/>
                <w:szCs w:val="16"/>
              </w:rPr>
              <w:t>Výdavky (v eurách)</w:t>
            </w:r>
          </w:p>
        </w:tc>
        <w:tc>
          <w:tcPr>
            <w:tcW w:w="2167" w:type="pct"/>
            <w:gridSpan w:val="4"/>
            <w:tcBorders>
              <w:top w:val="single" w:sz="4" w:space="0" w:color="auto"/>
              <w:left w:val="nil"/>
              <w:bottom w:val="single" w:sz="4" w:space="0" w:color="auto"/>
              <w:right w:val="single" w:sz="4" w:space="0" w:color="auto"/>
            </w:tcBorders>
            <w:shd w:val="clear" w:color="000000" w:fill="BFBFBF"/>
            <w:noWrap/>
            <w:vAlign w:val="center"/>
            <w:hideMark/>
          </w:tcPr>
          <w:p w:rsidR="00A70D39" w:rsidRPr="00F66921" w:rsidRDefault="00A70D39" w:rsidP="002151A5">
            <w:pPr>
              <w:jc w:val="center"/>
              <w:rPr>
                <w:b/>
                <w:bCs/>
                <w:color w:val="000000"/>
                <w:sz w:val="16"/>
                <w:szCs w:val="16"/>
              </w:rPr>
            </w:pPr>
            <w:r w:rsidRPr="00F66921">
              <w:rPr>
                <w:b/>
                <w:bCs/>
                <w:color w:val="000000"/>
                <w:sz w:val="16"/>
                <w:szCs w:val="16"/>
              </w:rPr>
              <w:t>Vplyv na rozpočet verejnej správy</w:t>
            </w:r>
          </w:p>
        </w:tc>
        <w:tc>
          <w:tcPr>
            <w:tcW w:w="564"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A70D39" w:rsidRPr="00F66921" w:rsidRDefault="00A70D39" w:rsidP="002151A5">
            <w:pPr>
              <w:jc w:val="center"/>
              <w:rPr>
                <w:b/>
                <w:bCs/>
                <w:color w:val="000000"/>
                <w:sz w:val="16"/>
                <w:szCs w:val="16"/>
              </w:rPr>
            </w:pPr>
            <w:r w:rsidRPr="00F66921">
              <w:rPr>
                <w:b/>
                <w:bCs/>
                <w:color w:val="000000"/>
                <w:sz w:val="16"/>
                <w:szCs w:val="16"/>
              </w:rPr>
              <w:t>poznámka</w:t>
            </w:r>
          </w:p>
        </w:tc>
      </w:tr>
      <w:tr w:rsidR="00A70D39" w:rsidRPr="00F66921" w:rsidTr="002151A5">
        <w:trPr>
          <w:trHeight w:val="280"/>
          <w:tblHeader/>
        </w:trPr>
        <w:tc>
          <w:tcPr>
            <w:tcW w:w="2269" w:type="pct"/>
            <w:vMerge/>
            <w:tcBorders>
              <w:top w:val="single" w:sz="4" w:space="0" w:color="auto"/>
              <w:left w:val="single" w:sz="4" w:space="0" w:color="auto"/>
              <w:bottom w:val="single" w:sz="4" w:space="0" w:color="auto"/>
              <w:right w:val="single" w:sz="4" w:space="0" w:color="auto"/>
            </w:tcBorders>
            <w:vAlign w:val="center"/>
            <w:hideMark/>
          </w:tcPr>
          <w:p w:rsidR="00A70D39" w:rsidRPr="00F66921" w:rsidRDefault="00A70D39" w:rsidP="002151A5">
            <w:pPr>
              <w:rPr>
                <w:b/>
                <w:bCs/>
                <w:color w:val="000000"/>
                <w:sz w:val="16"/>
                <w:szCs w:val="16"/>
              </w:rPr>
            </w:pPr>
          </w:p>
        </w:tc>
        <w:tc>
          <w:tcPr>
            <w:tcW w:w="619" w:type="pct"/>
            <w:tcBorders>
              <w:top w:val="nil"/>
              <w:left w:val="nil"/>
              <w:bottom w:val="single" w:sz="4" w:space="0" w:color="auto"/>
              <w:right w:val="single" w:sz="4" w:space="0" w:color="auto"/>
            </w:tcBorders>
            <w:shd w:val="clear" w:color="000000" w:fill="BFBFBF"/>
            <w:noWrap/>
            <w:vAlign w:val="center"/>
            <w:hideMark/>
          </w:tcPr>
          <w:p w:rsidR="00A70D39" w:rsidRPr="00F66921" w:rsidRDefault="00A70D39" w:rsidP="002151A5">
            <w:pPr>
              <w:jc w:val="center"/>
              <w:rPr>
                <w:b/>
                <w:bCs/>
                <w:color w:val="000000"/>
                <w:sz w:val="16"/>
                <w:szCs w:val="16"/>
              </w:rPr>
            </w:pPr>
            <w:r w:rsidRPr="00F66921">
              <w:rPr>
                <w:b/>
                <w:bCs/>
                <w:color w:val="000000"/>
                <w:sz w:val="16"/>
                <w:szCs w:val="16"/>
              </w:rPr>
              <w:t>2020</w:t>
            </w:r>
          </w:p>
        </w:tc>
        <w:tc>
          <w:tcPr>
            <w:tcW w:w="515" w:type="pct"/>
            <w:tcBorders>
              <w:top w:val="nil"/>
              <w:left w:val="nil"/>
              <w:bottom w:val="single" w:sz="4" w:space="0" w:color="auto"/>
              <w:right w:val="single" w:sz="4" w:space="0" w:color="auto"/>
            </w:tcBorders>
            <w:shd w:val="clear" w:color="000000" w:fill="BFBFBF"/>
            <w:noWrap/>
            <w:vAlign w:val="center"/>
            <w:hideMark/>
          </w:tcPr>
          <w:p w:rsidR="00A70D39" w:rsidRPr="00F66921" w:rsidRDefault="00A70D39" w:rsidP="002151A5">
            <w:pPr>
              <w:jc w:val="center"/>
              <w:rPr>
                <w:b/>
                <w:bCs/>
                <w:color w:val="000000"/>
                <w:sz w:val="16"/>
                <w:szCs w:val="16"/>
              </w:rPr>
            </w:pPr>
            <w:r w:rsidRPr="00F66921">
              <w:rPr>
                <w:b/>
                <w:bCs/>
                <w:color w:val="000000"/>
                <w:sz w:val="16"/>
                <w:szCs w:val="16"/>
              </w:rPr>
              <w:t>2021</w:t>
            </w:r>
          </w:p>
        </w:tc>
        <w:tc>
          <w:tcPr>
            <w:tcW w:w="515" w:type="pct"/>
            <w:tcBorders>
              <w:top w:val="nil"/>
              <w:left w:val="nil"/>
              <w:bottom w:val="single" w:sz="4" w:space="0" w:color="auto"/>
              <w:right w:val="single" w:sz="4" w:space="0" w:color="auto"/>
            </w:tcBorders>
            <w:shd w:val="clear" w:color="000000" w:fill="BFBFBF"/>
            <w:noWrap/>
            <w:vAlign w:val="center"/>
            <w:hideMark/>
          </w:tcPr>
          <w:p w:rsidR="00A70D39" w:rsidRPr="00F66921" w:rsidRDefault="00A70D39" w:rsidP="002151A5">
            <w:pPr>
              <w:jc w:val="center"/>
              <w:rPr>
                <w:b/>
                <w:bCs/>
                <w:color w:val="000000"/>
                <w:sz w:val="16"/>
                <w:szCs w:val="16"/>
              </w:rPr>
            </w:pPr>
            <w:r w:rsidRPr="00F66921">
              <w:rPr>
                <w:b/>
                <w:bCs/>
                <w:color w:val="000000"/>
                <w:sz w:val="16"/>
                <w:szCs w:val="16"/>
              </w:rPr>
              <w:t>2022</w:t>
            </w:r>
          </w:p>
        </w:tc>
        <w:tc>
          <w:tcPr>
            <w:tcW w:w="518" w:type="pct"/>
            <w:tcBorders>
              <w:top w:val="nil"/>
              <w:left w:val="nil"/>
              <w:bottom w:val="single" w:sz="4" w:space="0" w:color="auto"/>
              <w:right w:val="single" w:sz="4" w:space="0" w:color="auto"/>
            </w:tcBorders>
            <w:shd w:val="clear" w:color="000000" w:fill="BFBFBF"/>
            <w:noWrap/>
            <w:vAlign w:val="center"/>
            <w:hideMark/>
          </w:tcPr>
          <w:p w:rsidR="00A70D39" w:rsidRPr="00F66921" w:rsidRDefault="00A70D39" w:rsidP="002151A5">
            <w:pPr>
              <w:jc w:val="center"/>
              <w:rPr>
                <w:b/>
                <w:bCs/>
                <w:color w:val="000000"/>
                <w:sz w:val="16"/>
                <w:szCs w:val="16"/>
              </w:rPr>
            </w:pPr>
            <w:r w:rsidRPr="00F66921">
              <w:rPr>
                <w:b/>
                <w:bCs/>
                <w:color w:val="000000"/>
                <w:sz w:val="16"/>
                <w:szCs w:val="16"/>
              </w:rPr>
              <w:t>2023</w:t>
            </w:r>
          </w:p>
        </w:tc>
        <w:tc>
          <w:tcPr>
            <w:tcW w:w="56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70D39" w:rsidRPr="00F66921" w:rsidRDefault="00A70D39" w:rsidP="002151A5">
            <w:pPr>
              <w:rPr>
                <w:b/>
                <w:bCs/>
                <w:color w:val="000000"/>
                <w:sz w:val="16"/>
                <w:szCs w:val="16"/>
              </w:rPr>
            </w:pPr>
          </w:p>
        </w:tc>
      </w:tr>
      <w:tr w:rsidR="00A70D39" w:rsidRPr="00F66921" w:rsidTr="002151A5">
        <w:trPr>
          <w:trHeight w:val="280"/>
        </w:trPr>
        <w:tc>
          <w:tcPr>
            <w:tcW w:w="2269" w:type="pct"/>
            <w:tcBorders>
              <w:top w:val="nil"/>
              <w:left w:val="single" w:sz="4" w:space="0" w:color="auto"/>
              <w:bottom w:val="single" w:sz="4" w:space="0" w:color="auto"/>
              <w:right w:val="single" w:sz="4" w:space="0" w:color="auto"/>
            </w:tcBorders>
            <w:noWrap/>
            <w:vAlign w:val="center"/>
            <w:hideMark/>
          </w:tcPr>
          <w:p w:rsidR="00A70D39" w:rsidRPr="00F66921" w:rsidRDefault="00A70D39" w:rsidP="002151A5">
            <w:pPr>
              <w:rPr>
                <w:b/>
                <w:bCs/>
                <w:color w:val="000000"/>
                <w:sz w:val="16"/>
                <w:szCs w:val="16"/>
              </w:rPr>
            </w:pPr>
            <w:r w:rsidRPr="00F66921">
              <w:rPr>
                <w:b/>
                <w:bCs/>
                <w:color w:val="000000"/>
                <w:sz w:val="16"/>
                <w:szCs w:val="16"/>
              </w:rPr>
              <w:t>Bežné výdavky (600)</w:t>
            </w:r>
          </w:p>
        </w:tc>
        <w:tc>
          <w:tcPr>
            <w:tcW w:w="619"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b/>
                <w:bCs/>
                <w:color w:val="000000"/>
                <w:sz w:val="16"/>
                <w:szCs w:val="16"/>
              </w:rPr>
            </w:pPr>
            <w:r w:rsidRPr="00F66921">
              <w:rPr>
                <w:b/>
                <w:bCs/>
                <w:color w:val="000000"/>
                <w:sz w:val="16"/>
                <w:szCs w:val="16"/>
              </w:rPr>
              <w:t>0,00</w:t>
            </w:r>
          </w:p>
        </w:tc>
        <w:tc>
          <w:tcPr>
            <w:tcW w:w="515"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b/>
                <w:bCs/>
                <w:color w:val="000000"/>
                <w:sz w:val="16"/>
                <w:szCs w:val="16"/>
              </w:rPr>
            </w:pPr>
            <w:r w:rsidRPr="00F66921">
              <w:rPr>
                <w:b/>
                <w:bCs/>
                <w:color w:val="000000"/>
                <w:sz w:val="16"/>
                <w:szCs w:val="16"/>
              </w:rPr>
              <w:t>0,00</w:t>
            </w:r>
          </w:p>
        </w:tc>
        <w:tc>
          <w:tcPr>
            <w:tcW w:w="515"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b/>
                <w:bCs/>
                <w:color w:val="000000"/>
                <w:sz w:val="16"/>
                <w:szCs w:val="16"/>
              </w:rPr>
            </w:pPr>
            <w:r w:rsidRPr="00F66921">
              <w:rPr>
                <w:b/>
                <w:bCs/>
                <w:color w:val="000000"/>
                <w:sz w:val="16"/>
                <w:szCs w:val="16"/>
              </w:rPr>
              <w:t>0,00</w:t>
            </w:r>
          </w:p>
        </w:tc>
        <w:tc>
          <w:tcPr>
            <w:tcW w:w="518"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b/>
                <w:bCs/>
                <w:color w:val="000000"/>
                <w:sz w:val="16"/>
                <w:szCs w:val="16"/>
              </w:rPr>
            </w:pPr>
            <w:r w:rsidRPr="00F66921">
              <w:rPr>
                <w:b/>
                <w:bCs/>
                <w:color w:val="000000"/>
                <w:sz w:val="16"/>
                <w:szCs w:val="16"/>
              </w:rPr>
              <w:t>0,00</w:t>
            </w:r>
          </w:p>
        </w:tc>
        <w:tc>
          <w:tcPr>
            <w:tcW w:w="564" w:type="pct"/>
            <w:tcBorders>
              <w:top w:val="nil"/>
              <w:left w:val="nil"/>
              <w:bottom w:val="single" w:sz="4" w:space="0" w:color="auto"/>
              <w:right w:val="single" w:sz="4" w:space="0" w:color="auto"/>
            </w:tcBorders>
            <w:noWrap/>
            <w:vAlign w:val="center"/>
            <w:hideMark/>
          </w:tcPr>
          <w:p w:rsidR="00A70D39" w:rsidRPr="00F66921" w:rsidRDefault="00A70D39" w:rsidP="002151A5">
            <w:pPr>
              <w:rPr>
                <w:color w:val="000000"/>
                <w:sz w:val="16"/>
                <w:szCs w:val="16"/>
              </w:rPr>
            </w:pPr>
            <w:r w:rsidRPr="00F66921">
              <w:rPr>
                <w:color w:val="000000"/>
                <w:sz w:val="16"/>
                <w:szCs w:val="16"/>
              </w:rPr>
              <w:t> </w:t>
            </w:r>
          </w:p>
        </w:tc>
      </w:tr>
      <w:tr w:rsidR="00A70D39" w:rsidRPr="00F66921" w:rsidTr="002151A5">
        <w:trPr>
          <w:trHeight w:val="280"/>
        </w:trPr>
        <w:tc>
          <w:tcPr>
            <w:tcW w:w="2269" w:type="pct"/>
            <w:tcBorders>
              <w:top w:val="nil"/>
              <w:left w:val="single" w:sz="4" w:space="0" w:color="auto"/>
              <w:bottom w:val="single" w:sz="4" w:space="0" w:color="auto"/>
              <w:right w:val="single" w:sz="4" w:space="0" w:color="auto"/>
            </w:tcBorders>
            <w:noWrap/>
            <w:vAlign w:val="center"/>
            <w:hideMark/>
          </w:tcPr>
          <w:p w:rsidR="00A70D39" w:rsidRPr="00F66921" w:rsidRDefault="00A70D39" w:rsidP="002151A5">
            <w:pPr>
              <w:rPr>
                <w:color w:val="000000"/>
                <w:sz w:val="16"/>
                <w:szCs w:val="16"/>
              </w:rPr>
            </w:pPr>
            <w:r w:rsidRPr="00F66921">
              <w:rPr>
                <w:color w:val="000000"/>
                <w:sz w:val="16"/>
                <w:szCs w:val="16"/>
              </w:rPr>
              <w:t xml:space="preserve">  Mzdy, platy, služobné príjmy a OOV (610)</w:t>
            </w:r>
          </w:p>
        </w:tc>
        <w:tc>
          <w:tcPr>
            <w:tcW w:w="619"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0,00</w:t>
            </w:r>
          </w:p>
        </w:tc>
        <w:tc>
          <w:tcPr>
            <w:tcW w:w="515"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0,00</w:t>
            </w:r>
          </w:p>
        </w:tc>
        <w:tc>
          <w:tcPr>
            <w:tcW w:w="515"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0,00</w:t>
            </w:r>
          </w:p>
        </w:tc>
        <w:tc>
          <w:tcPr>
            <w:tcW w:w="518"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0,00</w:t>
            </w:r>
          </w:p>
        </w:tc>
        <w:tc>
          <w:tcPr>
            <w:tcW w:w="564" w:type="pct"/>
            <w:tcBorders>
              <w:top w:val="nil"/>
              <w:left w:val="nil"/>
              <w:bottom w:val="single" w:sz="4" w:space="0" w:color="auto"/>
              <w:right w:val="single" w:sz="4" w:space="0" w:color="auto"/>
            </w:tcBorders>
            <w:noWrap/>
            <w:vAlign w:val="center"/>
            <w:hideMark/>
          </w:tcPr>
          <w:p w:rsidR="00A70D39" w:rsidRPr="00F66921" w:rsidRDefault="00A70D39" w:rsidP="002151A5">
            <w:pPr>
              <w:rPr>
                <w:color w:val="000000"/>
                <w:sz w:val="16"/>
                <w:szCs w:val="16"/>
              </w:rPr>
            </w:pPr>
            <w:r w:rsidRPr="00F66921">
              <w:rPr>
                <w:color w:val="000000"/>
                <w:sz w:val="16"/>
                <w:szCs w:val="16"/>
              </w:rPr>
              <w:t> </w:t>
            </w:r>
          </w:p>
        </w:tc>
      </w:tr>
      <w:tr w:rsidR="00A70D39" w:rsidRPr="00F66921" w:rsidTr="002151A5">
        <w:trPr>
          <w:trHeight w:val="280"/>
        </w:trPr>
        <w:tc>
          <w:tcPr>
            <w:tcW w:w="2269" w:type="pct"/>
            <w:tcBorders>
              <w:top w:val="nil"/>
              <w:left w:val="single" w:sz="4" w:space="0" w:color="auto"/>
              <w:bottom w:val="single" w:sz="4" w:space="0" w:color="auto"/>
              <w:right w:val="single" w:sz="4" w:space="0" w:color="auto"/>
            </w:tcBorders>
            <w:noWrap/>
            <w:vAlign w:val="center"/>
            <w:hideMark/>
          </w:tcPr>
          <w:p w:rsidR="00A70D39" w:rsidRPr="00F66921" w:rsidRDefault="00A70D39" w:rsidP="002151A5">
            <w:pPr>
              <w:rPr>
                <w:color w:val="000000"/>
                <w:sz w:val="16"/>
                <w:szCs w:val="16"/>
              </w:rPr>
            </w:pPr>
            <w:r w:rsidRPr="00F66921">
              <w:rPr>
                <w:color w:val="000000"/>
                <w:sz w:val="16"/>
                <w:szCs w:val="16"/>
              </w:rPr>
              <w:t xml:space="preserve">  Poistné a príspevok do poisťovní (620)</w:t>
            </w:r>
          </w:p>
        </w:tc>
        <w:tc>
          <w:tcPr>
            <w:tcW w:w="619"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0,00</w:t>
            </w:r>
          </w:p>
        </w:tc>
        <w:tc>
          <w:tcPr>
            <w:tcW w:w="515"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0,00</w:t>
            </w:r>
          </w:p>
        </w:tc>
        <w:tc>
          <w:tcPr>
            <w:tcW w:w="515"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0,00</w:t>
            </w:r>
          </w:p>
        </w:tc>
        <w:tc>
          <w:tcPr>
            <w:tcW w:w="518"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0,00</w:t>
            </w:r>
          </w:p>
        </w:tc>
        <w:tc>
          <w:tcPr>
            <w:tcW w:w="564" w:type="pct"/>
            <w:tcBorders>
              <w:top w:val="nil"/>
              <w:left w:val="nil"/>
              <w:bottom w:val="single" w:sz="4" w:space="0" w:color="auto"/>
              <w:right w:val="single" w:sz="4" w:space="0" w:color="auto"/>
            </w:tcBorders>
            <w:noWrap/>
            <w:vAlign w:val="center"/>
            <w:hideMark/>
          </w:tcPr>
          <w:p w:rsidR="00A70D39" w:rsidRPr="00F66921" w:rsidRDefault="00A70D39" w:rsidP="002151A5">
            <w:pPr>
              <w:rPr>
                <w:color w:val="000000"/>
                <w:sz w:val="16"/>
                <w:szCs w:val="16"/>
              </w:rPr>
            </w:pPr>
            <w:r w:rsidRPr="00F66921">
              <w:rPr>
                <w:color w:val="000000"/>
                <w:sz w:val="16"/>
                <w:szCs w:val="16"/>
              </w:rPr>
              <w:t> </w:t>
            </w:r>
          </w:p>
        </w:tc>
      </w:tr>
      <w:tr w:rsidR="00A70D39" w:rsidRPr="00F66921" w:rsidTr="002151A5">
        <w:trPr>
          <w:trHeight w:val="280"/>
        </w:trPr>
        <w:tc>
          <w:tcPr>
            <w:tcW w:w="2269" w:type="pct"/>
            <w:tcBorders>
              <w:top w:val="nil"/>
              <w:left w:val="single" w:sz="4" w:space="0" w:color="auto"/>
              <w:bottom w:val="single" w:sz="4" w:space="0" w:color="auto"/>
              <w:right w:val="single" w:sz="4" w:space="0" w:color="auto"/>
            </w:tcBorders>
            <w:noWrap/>
            <w:vAlign w:val="center"/>
            <w:hideMark/>
          </w:tcPr>
          <w:p w:rsidR="00A70D39" w:rsidRPr="00F66921" w:rsidRDefault="00A70D39" w:rsidP="002151A5">
            <w:pPr>
              <w:rPr>
                <w:color w:val="000000"/>
                <w:sz w:val="16"/>
                <w:szCs w:val="16"/>
              </w:rPr>
            </w:pPr>
            <w:r w:rsidRPr="00F66921">
              <w:rPr>
                <w:color w:val="000000"/>
                <w:sz w:val="16"/>
                <w:szCs w:val="16"/>
              </w:rPr>
              <w:t xml:space="preserve">  Tovary a služby (630)</w:t>
            </w:r>
            <w:r w:rsidRPr="00F66921">
              <w:rPr>
                <w:color w:val="000000"/>
                <w:sz w:val="16"/>
                <w:szCs w:val="16"/>
                <w:vertAlign w:val="superscript"/>
              </w:rPr>
              <w:t>2</w:t>
            </w:r>
          </w:p>
        </w:tc>
        <w:tc>
          <w:tcPr>
            <w:tcW w:w="619"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0,00</w:t>
            </w:r>
          </w:p>
        </w:tc>
        <w:tc>
          <w:tcPr>
            <w:tcW w:w="515"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0,00</w:t>
            </w:r>
          </w:p>
        </w:tc>
        <w:tc>
          <w:tcPr>
            <w:tcW w:w="515"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0,00</w:t>
            </w:r>
          </w:p>
        </w:tc>
        <w:tc>
          <w:tcPr>
            <w:tcW w:w="518"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0,00</w:t>
            </w:r>
          </w:p>
        </w:tc>
        <w:tc>
          <w:tcPr>
            <w:tcW w:w="564" w:type="pct"/>
            <w:tcBorders>
              <w:top w:val="nil"/>
              <w:left w:val="nil"/>
              <w:bottom w:val="single" w:sz="4" w:space="0" w:color="auto"/>
              <w:right w:val="single" w:sz="4" w:space="0" w:color="auto"/>
            </w:tcBorders>
            <w:noWrap/>
            <w:vAlign w:val="center"/>
            <w:hideMark/>
          </w:tcPr>
          <w:p w:rsidR="00A70D39" w:rsidRPr="00F66921" w:rsidRDefault="00A70D39" w:rsidP="002151A5">
            <w:pPr>
              <w:rPr>
                <w:color w:val="000000"/>
                <w:sz w:val="16"/>
                <w:szCs w:val="16"/>
              </w:rPr>
            </w:pPr>
            <w:r w:rsidRPr="00F66921">
              <w:rPr>
                <w:color w:val="000000"/>
                <w:sz w:val="16"/>
                <w:szCs w:val="16"/>
              </w:rPr>
              <w:t> </w:t>
            </w:r>
          </w:p>
        </w:tc>
      </w:tr>
      <w:tr w:rsidR="00A70D39" w:rsidRPr="00F66921" w:rsidTr="002151A5">
        <w:trPr>
          <w:trHeight w:val="280"/>
        </w:trPr>
        <w:tc>
          <w:tcPr>
            <w:tcW w:w="2269" w:type="pct"/>
            <w:tcBorders>
              <w:top w:val="nil"/>
              <w:left w:val="single" w:sz="4" w:space="0" w:color="auto"/>
              <w:bottom w:val="single" w:sz="4" w:space="0" w:color="auto"/>
              <w:right w:val="single" w:sz="4" w:space="0" w:color="auto"/>
            </w:tcBorders>
            <w:noWrap/>
            <w:vAlign w:val="center"/>
            <w:hideMark/>
          </w:tcPr>
          <w:p w:rsidR="00A70D39" w:rsidRPr="00F66921" w:rsidRDefault="00A70D39" w:rsidP="002151A5">
            <w:pPr>
              <w:rPr>
                <w:color w:val="000000"/>
                <w:sz w:val="16"/>
                <w:szCs w:val="16"/>
              </w:rPr>
            </w:pPr>
            <w:r w:rsidRPr="00F66921">
              <w:rPr>
                <w:color w:val="000000"/>
                <w:sz w:val="16"/>
                <w:szCs w:val="16"/>
              </w:rPr>
              <w:t xml:space="preserve">  Bežné transfery (640)</w:t>
            </w:r>
            <w:r w:rsidRPr="00F66921">
              <w:rPr>
                <w:color w:val="000000"/>
                <w:sz w:val="16"/>
                <w:szCs w:val="16"/>
                <w:vertAlign w:val="superscript"/>
              </w:rPr>
              <w:t>2</w:t>
            </w:r>
          </w:p>
        </w:tc>
        <w:tc>
          <w:tcPr>
            <w:tcW w:w="619"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0,00</w:t>
            </w:r>
          </w:p>
        </w:tc>
        <w:tc>
          <w:tcPr>
            <w:tcW w:w="515"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0,00</w:t>
            </w:r>
          </w:p>
        </w:tc>
        <w:tc>
          <w:tcPr>
            <w:tcW w:w="515"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0,00</w:t>
            </w:r>
          </w:p>
        </w:tc>
        <w:tc>
          <w:tcPr>
            <w:tcW w:w="518"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0,00</w:t>
            </w:r>
          </w:p>
        </w:tc>
        <w:tc>
          <w:tcPr>
            <w:tcW w:w="564" w:type="pct"/>
            <w:tcBorders>
              <w:top w:val="nil"/>
              <w:left w:val="nil"/>
              <w:bottom w:val="single" w:sz="4" w:space="0" w:color="auto"/>
              <w:right w:val="single" w:sz="4" w:space="0" w:color="auto"/>
            </w:tcBorders>
            <w:noWrap/>
            <w:vAlign w:val="center"/>
            <w:hideMark/>
          </w:tcPr>
          <w:p w:rsidR="00A70D39" w:rsidRPr="00F66921" w:rsidRDefault="00A70D39" w:rsidP="002151A5">
            <w:pPr>
              <w:rPr>
                <w:color w:val="000000"/>
                <w:sz w:val="16"/>
                <w:szCs w:val="16"/>
              </w:rPr>
            </w:pPr>
            <w:r w:rsidRPr="00F66921">
              <w:rPr>
                <w:color w:val="000000"/>
                <w:sz w:val="16"/>
                <w:szCs w:val="16"/>
              </w:rPr>
              <w:t> </w:t>
            </w:r>
          </w:p>
        </w:tc>
      </w:tr>
      <w:tr w:rsidR="00A70D39" w:rsidRPr="00F66921" w:rsidTr="002151A5">
        <w:trPr>
          <w:trHeight w:val="280"/>
        </w:trPr>
        <w:tc>
          <w:tcPr>
            <w:tcW w:w="2269" w:type="pct"/>
            <w:tcBorders>
              <w:top w:val="nil"/>
              <w:left w:val="single" w:sz="4" w:space="0" w:color="auto"/>
              <w:bottom w:val="single" w:sz="4" w:space="0" w:color="auto"/>
              <w:right w:val="single" w:sz="4" w:space="0" w:color="auto"/>
            </w:tcBorders>
            <w:noWrap/>
            <w:vAlign w:val="center"/>
            <w:hideMark/>
          </w:tcPr>
          <w:p w:rsidR="00A70D39" w:rsidRPr="00F66921" w:rsidRDefault="00A70D39" w:rsidP="002151A5">
            <w:pPr>
              <w:rPr>
                <w:color w:val="000000"/>
                <w:sz w:val="16"/>
                <w:szCs w:val="16"/>
              </w:rPr>
            </w:pPr>
            <w:r w:rsidRPr="00F66921">
              <w:rPr>
                <w:color w:val="000000"/>
                <w:sz w:val="16"/>
                <w:szCs w:val="16"/>
              </w:rPr>
              <w:t xml:space="preserve">  Splácanie úrokov a ostatné platby súvisiace s úverom... (650)</w:t>
            </w:r>
            <w:r w:rsidRPr="00F66921">
              <w:rPr>
                <w:color w:val="000000"/>
                <w:sz w:val="16"/>
                <w:szCs w:val="16"/>
                <w:vertAlign w:val="superscript"/>
              </w:rPr>
              <w:t xml:space="preserve"> 2</w:t>
            </w:r>
          </w:p>
        </w:tc>
        <w:tc>
          <w:tcPr>
            <w:tcW w:w="619"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0,00</w:t>
            </w:r>
          </w:p>
        </w:tc>
        <w:tc>
          <w:tcPr>
            <w:tcW w:w="515"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0,00</w:t>
            </w:r>
          </w:p>
        </w:tc>
        <w:tc>
          <w:tcPr>
            <w:tcW w:w="515"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0,00</w:t>
            </w:r>
          </w:p>
        </w:tc>
        <w:tc>
          <w:tcPr>
            <w:tcW w:w="518"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0,00</w:t>
            </w:r>
          </w:p>
        </w:tc>
        <w:tc>
          <w:tcPr>
            <w:tcW w:w="564" w:type="pct"/>
            <w:tcBorders>
              <w:top w:val="nil"/>
              <w:left w:val="nil"/>
              <w:bottom w:val="single" w:sz="4" w:space="0" w:color="auto"/>
              <w:right w:val="single" w:sz="4" w:space="0" w:color="auto"/>
            </w:tcBorders>
            <w:noWrap/>
            <w:vAlign w:val="center"/>
            <w:hideMark/>
          </w:tcPr>
          <w:p w:rsidR="00A70D39" w:rsidRPr="00F66921" w:rsidRDefault="00A70D39" w:rsidP="002151A5">
            <w:pPr>
              <w:rPr>
                <w:color w:val="000000"/>
                <w:sz w:val="16"/>
                <w:szCs w:val="16"/>
              </w:rPr>
            </w:pPr>
            <w:r w:rsidRPr="00F66921">
              <w:rPr>
                <w:color w:val="000000"/>
                <w:sz w:val="16"/>
                <w:szCs w:val="16"/>
              </w:rPr>
              <w:t> </w:t>
            </w:r>
          </w:p>
        </w:tc>
      </w:tr>
      <w:tr w:rsidR="00A70D39" w:rsidRPr="00F66921" w:rsidTr="002151A5">
        <w:trPr>
          <w:trHeight w:val="280"/>
        </w:trPr>
        <w:tc>
          <w:tcPr>
            <w:tcW w:w="2269" w:type="pct"/>
            <w:tcBorders>
              <w:top w:val="nil"/>
              <w:left w:val="single" w:sz="4" w:space="0" w:color="auto"/>
              <w:bottom w:val="single" w:sz="4" w:space="0" w:color="auto"/>
              <w:right w:val="single" w:sz="4" w:space="0" w:color="auto"/>
            </w:tcBorders>
            <w:noWrap/>
            <w:vAlign w:val="center"/>
            <w:hideMark/>
          </w:tcPr>
          <w:p w:rsidR="00A70D39" w:rsidRPr="00F66921" w:rsidRDefault="00A70D39" w:rsidP="002151A5">
            <w:pPr>
              <w:rPr>
                <w:b/>
                <w:bCs/>
                <w:color w:val="000000"/>
                <w:sz w:val="16"/>
                <w:szCs w:val="16"/>
              </w:rPr>
            </w:pPr>
            <w:r w:rsidRPr="00F66921">
              <w:rPr>
                <w:b/>
                <w:bCs/>
                <w:color w:val="000000"/>
                <w:sz w:val="16"/>
                <w:szCs w:val="16"/>
              </w:rPr>
              <w:t>Kapitálové výdavky (700)</w:t>
            </w:r>
          </w:p>
        </w:tc>
        <w:tc>
          <w:tcPr>
            <w:tcW w:w="619"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b/>
                <w:bCs/>
                <w:color w:val="000000"/>
                <w:sz w:val="16"/>
                <w:szCs w:val="16"/>
              </w:rPr>
            </w:pPr>
            <w:r w:rsidRPr="00F66921">
              <w:rPr>
                <w:b/>
                <w:bCs/>
                <w:color w:val="000000"/>
                <w:sz w:val="16"/>
                <w:szCs w:val="16"/>
              </w:rPr>
              <w:t>342 888,00</w:t>
            </w:r>
          </w:p>
        </w:tc>
        <w:tc>
          <w:tcPr>
            <w:tcW w:w="515"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b/>
                <w:color w:val="000000"/>
                <w:sz w:val="16"/>
                <w:szCs w:val="16"/>
              </w:rPr>
            </w:pPr>
            <w:r w:rsidRPr="00F66921">
              <w:rPr>
                <w:b/>
                <w:color w:val="000000"/>
                <w:sz w:val="16"/>
                <w:szCs w:val="16"/>
              </w:rPr>
              <w:t>213 888,00</w:t>
            </w:r>
          </w:p>
        </w:tc>
        <w:tc>
          <w:tcPr>
            <w:tcW w:w="515"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b/>
                <w:color w:val="000000"/>
                <w:sz w:val="16"/>
                <w:szCs w:val="16"/>
              </w:rPr>
            </w:pPr>
            <w:r w:rsidRPr="00F66921">
              <w:rPr>
                <w:b/>
                <w:color w:val="000000"/>
                <w:sz w:val="16"/>
                <w:szCs w:val="16"/>
              </w:rPr>
              <w:t>0,00</w:t>
            </w:r>
          </w:p>
        </w:tc>
        <w:tc>
          <w:tcPr>
            <w:tcW w:w="518"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b/>
                <w:color w:val="000000"/>
                <w:sz w:val="16"/>
                <w:szCs w:val="16"/>
              </w:rPr>
            </w:pPr>
            <w:r w:rsidRPr="00F66921">
              <w:rPr>
                <w:b/>
                <w:color w:val="000000"/>
                <w:sz w:val="16"/>
                <w:szCs w:val="16"/>
              </w:rPr>
              <w:t>0,00</w:t>
            </w:r>
          </w:p>
        </w:tc>
        <w:tc>
          <w:tcPr>
            <w:tcW w:w="564" w:type="pct"/>
            <w:tcBorders>
              <w:top w:val="nil"/>
              <w:left w:val="nil"/>
              <w:bottom w:val="single" w:sz="4" w:space="0" w:color="auto"/>
              <w:right w:val="single" w:sz="4" w:space="0" w:color="auto"/>
            </w:tcBorders>
            <w:noWrap/>
            <w:vAlign w:val="center"/>
            <w:hideMark/>
          </w:tcPr>
          <w:p w:rsidR="00A70D39" w:rsidRPr="00F66921" w:rsidRDefault="00A70D39" w:rsidP="002151A5">
            <w:pPr>
              <w:rPr>
                <w:color w:val="000000"/>
                <w:sz w:val="16"/>
                <w:szCs w:val="16"/>
              </w:rPr>
            </w:pPr>
            <w:r w:rsidRPr="00F66921">
              <w:rPr>
                <w:color w:val="000000"/>
                <w:sz w:val="16"/>
                <w:szCs w:val="16"/>
              </w:rPr>
              <w:t> </w:t>
            </w:r>
          </w:p>
        </w:tc>
      </w:tr>
      <w:tr w:rsidR="00A70D39" w:rsidRPr="00F66921" w:rsidTr="002151A5">
        <w:trPr>
          <w:trHeight w:val="280"/>
        </w:trPr>
        <w:tc>
          <w:tcPr>
            <w:tcW w:w="2269" w:type="pct"/>
            <w:tcBorders>
              <w:top w:val="nil"/>
              <w:left w:val="single" w:sz="4" w:space="0" w:color="auto"/>
              <w:bottom w:val="single" w:sz="4" w:space="0" w:color="auto"/>
              <w:right w:val="single" w:sz="4" w:space="0" w:color="auto"/>
            </w:tcBorders>
            <w:noWrap/>
            <w:vAlign w:val="center"/>
            <w:hideMark/>
          </w:tcPr>
          <w:p w:rsidR="00A70D39" w:rsidRPr="00F66921" w:rsidRDefault="00A70D39" w:rsidP="002151A5">
            <w:pPr>
              <w:rPr>
                <w:color w:val="000000"/>
                <w:sz w:val="16"/>
                <w:szCs w:val="16"/>
              </w:rPr>
            </w:pPr>
            <w:r w:rsidRPr="00F66921">
              <w:rPr>
                <w:color w:val="000000"/>
                <w:sz w:val="16"/>
                <w:szCs w:val="16"/>
              </w:rPr>
              <w:t xml:space="preserve">  Obstarávanie kapitálových aktív (710)</w:t>
            </w:r>
            <w:r w:rsidRPr="00F66921">
              <w:rPr>
                <w:color w:val="000000"/>
                <w:sz w:val="16"/>
                <w:szCs w:val="16"/>
                <w:vertAlign w:val="superscript"/>
              </w:rPr>
              <w:t>2</w:t>
            </w:r>
          </w:p>
        </w:tc>
        <w:tc>
          <w:tcPr>
            <w:tcW w:w="619"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342 888,00</w:t>
            </w:r>
          </w:p>
        </w:tc>
        <w:tc>
          <w:tcPr>
            <w:tcW w:w="515"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213 888,00</w:t>
            </w:r>
          </w:p>
        </w:tc>
        <w:tc>
          <w:tcPr>
            <w:tcW w:w="515"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0,00</w:t>
            </w:r>
          </w:p>
        </w:tc>
        <w:tc>
          <w:tcPr>
            <w:tcW w:w="518"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0,00</w:t>
            </w:r>
          </w:p>
        </w:tc>
        <w:tc>
          <w:tcPr>
            <w:tcW w:w="564" w:type="pct"/>
            <w:tcBorders>
              <w:top w:val="nil"/>
              <w:left w:val="nil"/>
              <w:bottom w:val="single" w:sz="4" w:space="0" w:color="auto"/>
              <w:right w:val="single" w:sz="4" w:space="0" w:color="auto"/>
            </w:tcBorders>
            <w:noWrap/>
            <w:vAlign w:val="center"/>
            <w:hideMark/>
          </w:tcPr>
          <w:p w:rsidR="00A70D39" w:rsidRPr="00F66921" w:rsidRDefault="00A70D39" w:rsidP="002151A5">
            <w:pPr>
              <w:rPr>
                <w:color w:val="000000"/>
                <w:sz w:val="16"/>
                <w:szCs w:val="16"/>
              </w:rPr>
            </w:pPr>
            <w:r w:rsidRPr="00F66921">
              <w:rPr>
                <w:color w:val="000000"/>
                <w:sz w:val="16"/>
                <w:szCs w:val="16"/>
              </w:rPr>
              <w:t> </w:t>
            </w:r>
          </w:p>
        </w:tc>
      </w:tr>
      <w:tr w:rsidR="00A70D39" w:rsidRPr="00F66921" w:rsidTr="002151A5">
        <w:trPr>
          <w:trHeight w:val="280"/>
        </w:trPr>
        <w:tc>
          <w:tcPr>
            <w:tcW w:w="2269" w:type="pct"/>
            <w:tcBorders>
              <w:top w:val="nil"/>
              <w:left w:val="single" w:sz="4" w:space="0" w:color="auto"/>
              <w:bottom w:val="single" w:sz="4" w:space="0" w:color="auto"/>
              <w:right w:val="single" w:sz="4" w:space="0" w:color="auto"/>
            </w:tcBorders>
            <w:noWrap/>
            <w:vAlign w:val="center"/>
            <w:hideMark/>
          </w:tcPr>
          <w:p w:rsidR="00A70D39" w:rsidRPr="00F66921" w:rsidRDefault="00A70D39" w:rsidP="002151A5">
            <w:pPr>
              <w:rPr>
                <w:color w:val="000000"/>
                <w:sz w:val="16"/>
                <w:szCs w:val="16"/>
              </w:rPr>
            </w:pPr>
            <w:r w:rsidRPr="00F66921">
              <w:rPr>
                <w:color w:val="000000"/>
                <w:sz w:val="16"/>
                <w:szCs w:val="16"/>
              </w:rPr>
              <w:t xml:space="preserve">        RP EKRK 718 Rekonštrukcia a modernizácia</w:t>
            </w:r>
          </w:p>
        </w:tc>
        <w:tc>
          <w:tcPr>
            <w:tcW w:w="619"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342 888,00</w:t>
            </w:r>
          </w:p>
        </w:tc>
        <w:tc>
          <w:tcPr>
            <w:tcW w:w="515"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213 888,00</w:t>
            </w:r>
          </w:p>
        </w:tc>
        <w:tc>
          <w:tcPr>
            <w:tcW w:w="515"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0,00</w:t>
            </w:r>
          </w:p>
        </w:tc>
        <w:tc>
          <w:tcPr>
            <w:tcW w:w="518"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0,00</w:t>
            </w:r>
          </w:p>
        </w:tc>
        <w:tc>
          <w:tcPr>
            <w:tcW w:w="564" w:type="pct"/>
            <w:tcBorders>
              <w:top w:val="nil"/>
              <w:left w:val="nil"/>
              <w:bottom w:val="single" w:sz="4" w:space="0" w:color="auto"/>
              <w:right w:val="single" w:sz="4" w:space="0" w:color="auto"/>
            </w:tcBorders>
            <w:noWrap/>
            <w:vAlign w:val="center"/>
            <w:hideMark/>
          </w:tcPr>
          <w:p w:rsidR="00A70D39" w:rsidRPr="00F66921" w:rsidRDefault="00A70D39" w:rsidP="002151A5">
            <w:pPr>
              <w:rPr>
                <w:color w:val="000000"/>
                <w:sz w:val="16"/>
                <w:szCs w:val="16"/>
              </w:rPr>
            </w:pPr>
            <w:r w:rsidRPr="00F66921">
              <w:rPr>
                <w:color w:val="000000"/>
                <w:sz w:val="16"/>
                <w:szCs w:val="16"/>
              </w:rPr>
              <w:t> </w:t>
            </w:r>
          </w:p>
        </w:tc>
      </w:tr>
      <w:tr w:rsidR="00A70D39" w:rsidRPr="00F66921" w:rsidTr="002151A5">
        <w:trPr>
          <w:trHeight w:val="280"/>
        </w:trPr>
        <w:tc>
          <w:tcPr>
            <w:tcW w:w="2269" w:type="pct"/>
            <w:tcBorders>
              <w:top w:val="nil"/>
              <w:left w:val="single" w:sz="4" w:space="0" w:color="auto"/>
              <w:bottom w:val="single" w:sz="4" w:space="0" w:color="auto"/>
              <w:right w:val="single" w:sz="4" w:space="0" w:color="auto"/>
            </w:tcBorders>
            <w:noWrap/>
            <w:vAlign w:val="center"/>
            <w:hideMark/>
          </w:tcPr>
          <w:p w:rsidR="00A70D39" w:rsidRPr="00F66921" w:rsidRDefault="00A70D39" w:rsidP="002151A5">
            <w:pPr>
              <w:rPr>
                <w:color w:val="000000"/>
                <w:sz w:val="16"/>
                <w:szCs w:val="16"/>
              </w:rPr>
            </w:pPr>
            <w:r w:rsidRPr="00F66921">
              <w:rPr>
                <w:color w:val="000000"/>
                <w:sz w:val="16"/>
                <w:szCs w:val="16"/>
              </w:rPr>
              <w:t xml:space="preserve">  Kapitálové transfery (720)</w:t>
            </w:r>
            <w:r w:rsidRPr="00F66921">
              <w:rPr>
                <w:color w:val="000000"/>
                <w:sz w:val="16"/>
                <w:szCs w:val="16"/>
                <w:vertAlign w:val="superscript"/>
              </w:rPr>
              <w:t>2</w:t>
            </w:r>
          </w:p>
        </w:tc>
        <w:tc>
          <w:tcPr>
            <w:tcW w:w="619"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0,00</w:t>
            </w:r>
          </w:p>
        </w:tc>
        <w:tc>
          <w:tcPr>
            <w:tcW w:w="515"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0,00</w:t>
            </w:r>
          </w:p>
        </w:tc>
        <w:tc>
          <w:tcPr>
            <w:tcW w:w="515"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0,00</w:t>
            </w:r>
          </w:p>
        </w:tc>
        <w:tc>
          <w:tcPr>
            <w:tcW w:w="518" w:type="pct"/>
            <w:tcBorders>
              <w:top w:val="nil"/>
              <w:left w:val="nil"/>
              <w:bottom w:val="single" w:sz="4" w:space="0" w:color="auto"/>
              <w:right w:val="single" w:sz="4" w:space="0" w:color="auto"/>
            </w:tcBorders>
            <w:noWrap/>
            <w:vAlign w:val="center"/>
            <w:hideMark/>
          </w:tcPr>
          <w:p w:rsidR="00A70D39" w:rsidRPr="00F66921" w:rsidRDefault="00A70D39" w:rsidP="002151A5">
            <w:pPr>
              <w:jc w:val="right"/>
              <w:rPr>
                <w:color w:val="000000"/>
                <w:sz w:val="16"/>
                <w:szCs w:val="16"/>
              </w:rPr>
            </w:pPr>
            <w:r w:rsidRPr="00F66921">
              <w:rPr>
                <w:color w:val="000000"/>
                <w:sz w:val="16"/>
                <w:szCs w:val="16"/>
              </w:rPr>
              <w:t>0,00</w:t>
            </w:r>
          </w:p>
        </w:tc>
        <w:tc>
          <w:tcPr>
            <w:tcW w:w="564" w:type="pct"/>
            <w:tcBorders>
              <w:top w:val="nil"/>
              <w:left w:val="nil"/>
              <w:bottom w:val="single" w:sz="4" w:space="0" w:color="auto"/>
              <w:right w:val="single" w:sz="4" w:space="0" w:color="auto"/>
            </w:tcBorders>
            <w:noWrap/>
            <w:vAlign w:val="center"/>
            <w:hideMark/>
          </w:tcPr>
          <w:p w:rsidR="00A70D39" w:rsidRPr="00F66921" w:rsidRDefault="00A70D39" w:rsidP="002151A5">
            <w:pPr>
              <w:rPr>
                <w:color w:val="000000"/>
                <w:sz w:val="16"/>
                <w:szCs w:val="16"/>
              </w:rPr>
            </w:pPr>
            <w:r w:rsidRPr="00F66921">
              <w:rPr>
                <w:color w:val="000000"/>
                <w:sz w:val="16"/>
                <w:szCs w:val="16"/>
              </w:rPr>
              <w:t> </w:t>
            </w:r>
          </w:p>
        </w:tc>
      </w:tr>
      <w:tr w:rsidR="00A70D39" w:rsidRPr="00F66921" w:rsidTr="002151A5">
        <w:trPr>
          <w:trHeight w:val="280"/>
        </w:trPr>
        <w:tc>
          <w:tcPr>
            <w:tcW w:w="2269" w:type="pct"/>
            <w:tcBorders>
              <w:top w:val="nil"/>
              <w:left w:val="single" w:sz="4" w:space="0" w:color="auto"/>
              <w:bottom w:val="single" w:sz="4" w:space="0" w:color="auto"/>
              <w:right w:val="single" w:sz="4" w:space="0" w:color="auto"/>
            </w:tcBorders>
            <w:noWrap/>
            <w:vAlign w:val="center"/>
            <w:hideMark/>
          </w:tcPr>
          <w:p w:rsidR="00A70D39" w:rsidRPr="00F66921" w:rsidRDefault="00A70D39" w:rsidP="002151A5">
            <w:pPr>
              <w:rPr>
                <w:b/>
                <w:bCs/>
                <w:color w:val="000000"/>
                <w:sz w:val="16"/>
                <w:szCs w:val="16"/>
              </w:rPr>
            </w:pPr>
            <w:r w:rsidRPr="00F66921">
              <w:rPr>
                <w:b/>
                <w:bCs/>
                <w:color w:val="000000"/>
                <w:sz w:val="16"/>
                <w:szCs w:val="16"/>
              </w:rPr>
              <w:t>Výdavky z transakcií s FA a FP pasívami (800)</w:t>
            </w:r>
          </w:p>
        </w:tc>
        <w:tc>
          <w:tcPr>
            <w:tcW w:w="619" w:type="pct"/>
            <w:tcBorders>
              <w:top w:val="nil"/>
              <w:left w:val="nil"/>
              <w:bottom w:val="single" w:sz="4" w:space="0" w:color="auto"/>
              <w:right w:val="single" w:sz="4" w:space="0" w:color="auto"/>
            </w:tcBorders>
            <w:shd w:val="clear" w:color="000000" w:fill="FFFFFF"/>
            <w:noWrap/>
            <w:vAlign w:val="center"/>
            <w:hideMark/>
          </w:tcPr>
          <w:p w:rsidR="00A70D39" w:rsidRPr="00F66921" w:rsidRDefault="00A70D39" w:rsidP="002151A5">
            <w:pPr>
              <w:jc w:val="right"/>
              <w:rPr>
                <w:b/>
                <w:color w:val="000000"/>
                <w:sz w:val="16"/>
                <w:szCs w:val="16"/>
              </w:rPr>
            </w:pPr>
            <w:r w:rsidRPr="00F66921">
              <w:rPr>
                <w:b/>
                <w:color w:val="000000"/>
                <w:sz w:val="16"/>
                <w:szCs w:val="16"/>
              </w:rPr>
              <w:t>0,00</w:t>
            </w:r>
          </w:p>
        </w:tc>
        <w:tc>
          <w:tcPr>
            <w:tcW w:w="515" w:type="pct"/>
            <w:tcBorders>
              <w:top w:val="nil"/>
              <w:left w:val="nil"/>
              <w:bottom w:val="single" w:sz="4" w:space="0" w:color="auto"/>
              <w:right w:val="single" w:sz="4" w:space="0" w:color="auto"/>
            </w:tcBorders>
            <w:shd w:val="clear" w:color="000000" w:fill="FFFFFF"/>
            <w:noWrap/>
            <w:vAlign w:val="center"/>
            <w:hideMark/>
          </w:tcPr>
          <w:p w:rsidR="00A70D39" w:rsidRPr="00F66921" w:rsidRDefault="00A70D39" w:rsidP="002151A5">
            <w:pPr>
              <w:jc w:val="right"/>
              <w:rPr>
                <w:b/>
                <w:color w:val="000000"/>
                <w:sz w:val="16"/>
                <w:szCs w:val="16"/>
              </w:rPr>
            </w:pPr>
            <w:r w:rsidRPr="00F66921">
              <w:rPr>
                <w:b/>
                <w:color w:val="000000"/>
                <w:sz w:val="16"/>
                <w:szCs w:val="16"/>
              </w:rPr>
              <w:t>0,00</w:t>
            </w:r>
          </w:p>
        </w:tc>
        <w:tc>
          <w:tcPr>
            <w:tcW w:w="515" w:type="pct"/>
            <w:tcBorders>
              <w:top w:val="nil"/>
              <w:left w:val="nil"/>
              <w:bottom w:val="single" w:sz="4" w:space="0" w:color="auto"/>
              <w:right w:val="single" w:sz="4" w:space="0" w:color="auto"/>
            </w:tcBorders>
            <w:shd w:val="clear" w:color="000000" w:fill="FFFFFF"/>
            <w:noWrap/>
            <w:vAlign w:val="center"/>
            <w:hideMark/>
          </w:tcPr>
          <w:p w:rsidR="00A70D39" w:rsidRPr="00F66921" w:rsidRDefault="00A70D39" w:rsidP="002151A5">
            <w:pPr>
              <w:jc w:val="right"/>
              <w:rPr>
                <w:b/>
                <w:color w:val="000000"/>
                <w:sz w:val="16"/>
                <w:szCs w:val="16"/>
              </w:rPr>
            </w:pPr>
            <w:r w:rsidRPr="00F66921">
              <w:rPr>
                <w:b/>
                <w:color w:val="000000"/>
                <w:sz w:val="16"/>
                <w:szCs w:val="16"/>
              </w:rPr>
              <w:t>0,00</w:t>
            </w:r>
          </w:p>
        </w:tc>
        <w:tc>
          <w:tcPr>
            <w:tcW w:w="518" w:type="pct"/>
            <w:tcBorders>
              <w:top w:val="nil"/>
              <w:left w:val="nil"/>
              <w:bottom w:val="single" w:sz="4" w:space="0" w:color="auto"/>
              <w:right w:val="single" w:sz="4" w:space="0" w:color="auto"/>
            </w:tcBorders>
            <w:shd w:val="clear" w:color="000000" w:fill="FFFFFF"/>
            <w:noWrap/>
            <w:vAlign w:val="center"/>
            <w:hideMark/>
          </w:tcPr>
          <w:p w:rsidR="00A70D39" w:rsidRPr="00F66921" w:rsidRDefault="00A70D39" w:rsidP="002151A5">
            <w:pPr>
              <w:jc w:val="right"/>
              <w:rPr>
                <w:b/>
                <w:color w:val="000000"/>
                <w:sz w:val="16"/>
                <w:szCs w:val="16"/>
              </w:rPr>
            </w:pPr>
            <w:r w:rsidRPr="00F66921">
              <w:rPr>
                <w:b/>
                <w:color w:val="000000"/>
                <w:sz w:val="16"/>
                <w:szCs w:val="16"/>
              </w:rPr>
              <w:t>0,00</w:t>
            </w:r>
          </w:p>
        </w:tc>
        <w:tc>
          <w:tcPr>
            <w:tcW w:w="564" w:type="pct"/>
            <w:tcBorders>
              <w:top w:val="nil"/>
              <w:left w:val="nil"/>
              <w:bottom w:val="single" w:sz="4" w:space="0" w:color="auto"/>
              <w:right w:val="single" w:sz="4" w:space="0" w:color="auto"/>
            </w:tcBorders>
            <w:noWrap/>
            <w:vAlign w:val="center"/>
            <w:hideMark/>
          </w:tcPr>
          <w:p w:rsidR="00A70D39" w:rsidRPr="00F66921" w:rsidRDefault="00A70D39" w:rsidP="002151A5">
            <w:pPr>
              <w:rPr>
                <w:color w:val="000000"/>
                <w:sz w:val="16"/>
                <w:szCs w:val="16"/>
              </w:rPr>
            </w:pPr>
            <w:r w:rsidRPr="00F66921">
              <w:rPr>
                <w:color w:val="000000"/>
                <w:sz w:val="16"/>
                <w:szCs w:val="16"/>
              </w:rPr>
              <w:t> </w:t>
            </w:r>
          </w:p>
        </w:tc>
      </w:tr>
      <w:tr w:rsidR="00A70D39" w:rsidRPr="00F66921" w:rsidTr="002151A5">
        <w:trPr>
          <w:trHeight w:val="280"/>
        </w:trPr>
        <w:tc>
          <w:tcPr>
            <w:tcW w:w="2269" w:type="pct"/>
            <w:tcBorders>
              <w:top w:val="nil"/>
              <w:left w:val="single" w:sz="4" w:space="0" w:color="auto"/>
              <w:bottom w:val="single" w:sz="4" w:space="0" w:color="auto"/>
              <w:right w:val="single" w:sz="4" w:space="0" w:color="auto"/>
            </w:tcBorders>
            <w:shd w:val="clear" w:color="000000" w:fill="BFBFBF"/>
            <w:noWrap/>
            <w:vAlign w:val="center"/>
            <w:hideMark/>
          </w:tcPr>
          <w:p w:rsidR="00A70D39" w:rsidRPr="00F66921" w:rsidRDefault="00A70D39" w:rsidP="002151A5">
            <w:pPr>
              <w:rPr>
                <w:b/>
                <w:bCs/>
                <w:color w:val="000000"/>
                <w:sz w:val="16"/>
                <w:szCs w:val="16"/>
              </w:rPr>
            </w:pPr>
            <w:r w:rsidRPr="00F66921">
              <w:rPr>
                <w:b/>
                <w:bCs/>
                <w:color w:val="000000"/>
                <w:sz w:val="16"/>
                <w:szCs w:val="16"/>
              </w:rPr>
              <w:t>Dopad na výdavky verejnej správy celkom</w:t>
            </w:r>
          </w:p>
        </w:tc>
        <w:tc>
          <w:tcPr>
            <w:tcW w:w="619" w:type="pct"/>
            <w:tcBorders>
              <w:top w:val="nil"/>
              <w:left w:val="nil"/>
              <w:bottom w:val="single" w:sz="4" w:space="0" w:color="auto"/>
              <w:right w:val="single" w:sz="4" w:space="0" w:color="auto"/>
            </w:tcBorders>
            <w:shd w:val="clear" w:color="000000" w:fill="BFBFBF"/>
            <w:noWrap/>
            <w:vAlign w:val="center"/>
            <w:hideMark/>
          </w:tcPr>
          <w:p w:rsidR="00A70D39" w:rsidRPr="00F66921" w:rsidRDefault="00A70D39" w:rsidP="002151A5">
            <w:pPr>
              <w:jc w:val="right"/>
              <w:rPr>
                <w:b/>
                <w:bCs/>
                <w:color w:val="000000"/>
                <w:sz w:val="16"/>
                <w:szCs w:val="16"/>
              </w:rPr>
            </w:pPr>
            <w:r w:rsidRPr="00F66921">
              <w:rPr>
                <w:b/>
                <w:bCs/>
                <w:color w:val="000000"/>
                <w:sz w:val="16"/>
                <w:szCs w:val="16"/>
              </w:rPr>
              <w:t>342 888,00</w:t>
            </w:r>
          </w:p>
        </w:tc>
        <w:tc>
          <w:tcPr>
            <w:tcW w:w="515" w:type="pct"/>
            <w:tcBorders>
              <w:top w:val="nil"/>
              <w:left w:val="nil"/>
              <w:bottom w:val="single" w:sz="4" w:space="0" w:color="auto"/>
              <w:right w:val="single" w:sz="4" w:space="0" w:color="auto"/>
            </w:tcBorders>
            <w:shd w:val="clear" w:color="000000" w:fill="BFBFBF"/>
            <w:noWrap/>
            <w:vAlign w:val="center"/>
            <w:hideMark/>
          </w:tcPr>
          <w:p w:rsidR="00A70D39" w:rsidRPr="00F66921" w:rsidRDefault="00A70D39" w:rsidP="002151A5">
            <w:pPr>
              <w:jc w:val="right"/>
              <w:rPr>
                <w:b/>
                <w:bCs/>
                <w:color w:val="000000"/>
                <w:sz w:val="16"/>
                <w:szCs w:val="16"/>
              </w:rPr>
            </w:pPr>
            <w:r w:rsidRPr="00F66921">
              <w:rPr>
                <w:b/>
                <w:bCs/>
                <w:color w:val="000000"/>
                <w:sz w:val="16"/>
                <w:szCs w:val="16"/>
              </w:rPr>
              <w:t>213 888,00</w:t>
            </w:r>
          </w:p>
        </w:tc>
        <w:tc>
          <w:tcPr>
            <w:tcW w:w="515" w:type="pct"/>
            <w:tcBorders>
              <w:top w:val="nil"/>
              <w:left w:val="nil"/>
              <w:bottom w:val="single" w:sz="4" w:space="0" w:color="auto"/>
              <w:right w:val="single" w:sz="4" w:space="0" w:color="auto"/>
            </w:tcBorders>
            <w:shd w:val="clear" w:color="000000" w:fill="BFBFBF"/>
            <w:noWrap/>
            <w:vAlign w:val="center"/>
            <w:hideMark/>
          </w:tcPr>
          <w:p w:rsidR="00A70D39" w:rsidRPr="00F66921" w:rsidRDefault="00A70D39" w:rsidP="002151A5">
            <w:pPr>
              <w:jc w:val="right"/>
              <w:rPr>
                <w:b/>
                <w:bCs/>
                <w:color w:val="000000"/>
                <w:sz w:val="16"/>
                <w:szCs w:val="16"/>
              </w:rPr>
            </w:pPr>
            <w:r w:rsidRPr="00F66921">
              <w:rPr>
                <w:b/>
                <w:bCs/>
                <w:color w:val="000000"/>
                <w:sz w:val="16"/>
                <w:szCs w:val="16"/>
              </w:rPr>
              <w:t>0,00</w:t>
            </w:r>
          </w:p>
        </w:tc>
        <w:tc>
          <w:tcPr>
            <w:tcW w:w="518" w:type="pct"/>
            <w:tcBorders>
              <w:top w:val="nil"/>
              <w:left w:val="nil"/>
              <w:bottom w:val="single" w:sz="4" w:space="0" w:color="auto"/>
              <w:right w:val="single" w:sz="4" w:space="0" w:color="auto"/>
            </w:tcBorders>
            <w:shd w:val="clear" w:color="000000" w:fill="BFBFBF"/>
            <w:noWrap/>
            <w:vAlign w:val="center"/>
            <w:hideMark/>
          </w:tcPr>
          <w:p w:rsidR="00A70D39" w:rsidRPr="00F66921" w:rsidRDefault="00A70D39" w:rsidP="002151A5">
            <w:pPr>
              <w:jc w:val="right"/>
              <w:rPr>
                <w:b/>
                <w:bCs/>
                <w:color w:val="000000"/>
                <w:sz w:val="16"/>
                <w:szCs w:val="16"/>
              </w:rPr>
            </w:pPr>
            <w:r w:rsidRPr="00F66921">
              <w:rPr>
                <w:b/>
                <w:bCs/>
                <w:color w:val="000000"/>
                <w:sz w:val="16"/>
                <w:szCs w:val="16"/>
              </w:rPr>
              <w:t>0,00</w:t>
            </w:r>
          </w:p>
        </w:tc>
        <w:tc>
          <w:tcPr>
            <w:tcW w:w="564" w:type="pct"/>
            <w:tcBorders>
              <w:top w:val="nil"/>
              <w:left w:val="nil"/>
              <w:bottom w:val="single" w:sz="4" w:space="0" w:color="auto"/>
              <w:right w:val="single" w:sz="4" w:space="0" w:color="auto"/>
            </w:tcBorders>
            <w:shd w:val="clear" w:color="000000" w:fill="BFBFBF"/>
            <w:noWrap/>
            <w:vAlign w:val="center"/>
            <w:hideMark/>
          </w:tcPr>
          <w:p w:rsidR="00A70D39" w:rsidRPr="00F66921" w:rsidRDefault="00A70D39" w:rsidP="002151A5">
            <w:pPr>
              <w:rPr>
                <w:color w:val="000000"/>
                <w:sz w:val="16"/>
                <w:szCs w:val="16"/>
              </w:rPr>
            </w:pPr>
            <w:r w:rsidRPr="00F66921">
              <w:rPr>
                <w:color w:val="000000"/>
                <w:sz w:val="16"/>
                <w:szCs w:val="16"/>
              </w:rPr>
              <w:t> </w:t>
            </w:r>
          </w:p>
        </w:tc>
      </w:tr>
    </w:tbl>
    <w:p w:rsidR="00A70D39" w:rsidRPr="00F66921" w:rsidRDefault="00A70D39" w:rsidP="00A70D39">
      <w:pPr>
        <w:tabs>
          <w:tab w:val="num" w:pos="1080"/>
        </w:tabs>
        <w:ind w:right="-32"/>
        <w:jc w:val="right"/>
        <w:rPr>
          <w:bCs/>
          <w:sz w:val="24"/>
          <w:szCs w:val="24"/>
        </w:rPr>
      </w:pPr>
    </w:p>
    <w:p w:rsidR="00A70D39" w:rsidRPr="00F66921" w:rsidRDefault="00A70D39" w:rsidP="00A70D39">
      <w:pPr>
        <w:tabs>
          <w:tab w:val="num" w:pos="1080"/>
        </w:tabs>
        <w:ind w:left="-900"/>
        <w:jc w:val="both"/>
        <w:rPr>
          <w:bCs/>
        </w:rPr>
      </w:pPr>
      <w:r w:rsidRPr="00F66921">
        <w:rPr>
          <w:bCs/>
        </w:rPr>
        <w:t>2 –  výdavky rozpísať až do položiek platnej ekonomickej klasifikácie</w:t>
      </w:r>
    </w:p>
    <w:p w:rsidR="00A70D39" w:rsidRPr="00F66921" w:rsidRDefault="00A70D39" w:rsidP="00A70D39">
      <w:pPr>
        <w:tabs>
          <w:tab w:val="num" w:pos="1080"/>
        </w:tabs>
        <w:ind w:left="-900"/>
        <w:jc w:val="both"/>
        <w:rPr>
          <w:b/>
          <w:bCs/>
        </w:rPr>
      </w:pPr>
      <w:r w:rsidRPr="00F66921">
        <w:rPr>
          <w:b/>
          <w:bCs/>
          <w:sz w:val="24"/>
        </w:rPr>
        <w:t>Poznámka:</w:t>
      </w:r>
    </w:p>
    <w:p w:rsidR="002151A5" w:rsidRDefault="00A70D39" w:rsidP="002151A5">
      <w:pPr>
        <w:tabs>
          <w:tab w:val="num" w:pos="1080"/>
        </w:tabs>
        <w:ind w:left="-900"/>
        <w:jc w:val="both"/>
        <w:rPr>
          <w:bCs/>
          <w:sz w:val="24"/>
        </w:rPr>
      </w:pPr>
      <w:r w:rsidRPr="00F66921">
        <w:rPr>
          <w:bCs/>
          <w:sz w:val="24"/>
        </w:rPr>
        <w:t>Ak sa vplyv týka viacerých subjektov verejnej správy, vypĺňa sa samostatná tabuľka za každý subjekt.</w:t>
      </w:r>
    </w:p>
    <w:p w:rsidR="00A70D39" w:rsidRPr="00F66921" w:rsidRDefault="00A70D39" w:rsidP="002151A5">
      <w:pPr>
        <w:tabs>
          <w:tab w:val="num" w:pos="1080"/>
        </w:tabs>
        <w:spacing w:after="0" w:line="240" w:lineRule="auto"/>
        <w:ind w:left="-900"/>
        <w:jc w:val="both"/>
        <w:rPr>
          <w:bCs/>
          <w:sz w:val="24"/>
          <w:szCs w:val="24"/>
        </w:rPr>
      </w:pPr>
      <w:r w:rsidRPr="00F66921">
        <w:rPr>
          <w:bCs/>
          <w:sz w:val="24"/>
          <w:szCs w:val="24"/>
        </w:rPr>
        <w:t xml:space="preserve">             </w:t>
      </w:r>
      <w:r w:rsidR="002151A5">
        <w:rPr>
          <w:bCs/>
          <w:sz w:val="24"/>
          <w:szCs w:val="24"/>
        </w:rPr>
        <w:tab/>
      </w:r>
      <w:r w:rsidR="002151A5">
        <w:rPr>
          <w:bCs/>
          <w:sz w:val="24"/>
          <w:szCs w:val="24"/>
        </w:rPr>
        <w:tab/>
      </w:r>
      <w:r w:rsidR="002151A5">
        <w:rPr>
          <w:bCs/>
          <w:sz w:val="24"/>
          <w:szCs w:val="24"/>
        </w:rPr>
        <w:tab/>
      </w:r>
      <w:r w:rsidR="002151A5">
        <w:rPr>
          <w:bCs/>
          <w:sz w:val="24"/>
          <w:szCs w:val="24"/>
        </w:rPr>
        <w:tab/>
      </w:r>
      <w:r w:rsidR="002151A5">
        <w:rPr>
          <w:bCs/>
          <w:sz w:val="24"/>
          <w:szCs w:val="24"/>
        </w:rPr>
        <w:tab/>
      </w:r>
      <w:r w:rsidR="002151A5">
        <w:rPr>
          <w:bCs/>
          <w:sz w:val="24"/>
          <w:szCs w:val="24"/>
        </w:rPr>
        <w:tab/>
      </w:r>
      <w:r w:rsidR="002151A5">
        <w:rPr>
          <w:bCs/>
          <w:sz w:val="24"/>
          <w:szCs w:val="24"/>
        </w:rPr>
        <w:tab/>
      </w:r>
      <w:r w:rsidR="002151A5">
        <w:rPr>
          <w:bCs/>
          <w:sz w:val="24"/>
          <w:szCs w:val="24"/>
        </w:rPr>
        <w:tab/>
      </w:r>
      <w:r w:rsidR="002151A5">
        <w:rPr>
          <w:bCs/>
          <w:sz w:val="24"/>
          <w:szCs w:val="24"/>
        </w:rPr>
        <w:tab/>
      </w:r>
      <w:r w:rsidR="002151A5">
        <w:rPr>
          <w:bCs/>
          <w:sz w:val="24"/>
          <w:szCs w:val="24"/>
        </w:rPr>
        <w:tab/>
      </w:r>
      <w:r w:rsidR="002151A5">
        <w:rPr>
          <w:bCs/>
          <w:sz w:val="24"/>
          <w:szCs w:val="24"/>
        </w:rPr>
        <w:tab/>
      </w:r>
      <w:r w:rsidR="002151A5">
        <w:rPr>
          <w:bCs/>
          <w:sz w:val="24"/>
          <w:szCs w:val="24"/>
        </w:rPr>
        <w:tab/>
      </w:r>
      <w:r w:rsidR="002151A5">
        <w:rPr>
          <w:bCs/>
          <w:sz w:val="24"/>
          <w:szCs w:val="24"/>
        </w:rPr>
        <w:tab/>
      </w:r>
      <w:r w:rsidR="002151A5">
        <w:rPr>
          <w:bCs/>
          <w:sz w:val="24"/>
          <w:szCs w:val="24"/>
        </w:rPr>
        <w:tab/>
      </w:r>
      <w:r w:rsidR="002151A5">
        <w:rPr>
          <w:bCs/>
          <w:sz w:val="24"/>
          <w:szCs w:val="24"/>
        </w:rPr>
        <w:tab/>
      </w:r>
      <w:r w:rsidR="002151A5">
        <w:rPr>
          <w:bCs/>
          <w:sz w:val="24"/>
          <w:szCs w:val="24"/>
        </w:rPr>
        <w:tab/>
      </w:r>
      <w:r w:rsidR="002151A5">
        <w:rPr>
          <w:bCs/>
          <w:sz w:val="24"/>
          <w:szCs w:val="24"/>
        </w:rPr>
        <w:tab/>
      </w:r>
      <w:r w:rsidRPr="00F66921">
        <w:rPr>
          <w:bCs/>
          <w:sz w:val="24"/>
          <w:szCs w:val="24"/>
        </w:rPr>
        <w:t xml:space="preserve">    Tabuľka č. 5 </w:t>
      </w:r>
    </w:p>
    <w:p w:rsidR="00A70D39" w:rsidRPr="00F66921" w:rsidRDefault="00A70D39" w:rsidP="002151A5">
      <w:pPr>
        <w:tabs>
          <w:tab w:val="num" w:pos="1080"/>
        </w:tabs>
        <w:spacing w:after="0" w:line="240" w:lineRule="auto"/>
        <w:jc w:val="both"/>
        <w:rPr>
          <w:bCs/>
          <w:sz w:val="24"/>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A70D39" w:rsidRPr="00F66921" w:rsidTr="002151A5">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0D39" w:rsidRPr="00F66921" w:rsidRDefault="00A70D39" w:rsidP="002151A5">
            <w:pPr>
              <w:jc w:val="center"/>
              <w:rPr>
                <w:b/>
                <w:bCs/>
                <w:sz w:val="24"/>
                <w:szCs w:val="24"/>
              </w:rPr>
            </w:pPr>
            <w:r w:rsidRPr="00F66921">
              <w:rPr>
                <w:b/>
                <w:bCs/>
                <w:sz w:val="24"/>
                <w:szCs w:val="24"/>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A70D39" w:rsidRPr="00F66921" w:rsidRDefault="00A70D39" w:rsidP="002151A5">
            <w:pPr>
              <w:jc w:val="center"/>
              <w:rPr>
                <w:b/>
                <w:bCs/>
                <w:sz w:val="24"/>
                <w:szCs w:val="24"/>
              </w:rPr>
            </w:pPr>
            <w:r w:rsidRPr="00F66921">
              <w:rPr>
                <w:b/>
                <w:bCs/>
                <w:sz w:val="24"/>
                <w:szCs w:val="24"/>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70D39" w:rsidRPr="00F66921" w:rsidRDefault="00A70D39" w:rsidP="002151A5">
            <w:pPr>
              <w:jc w:val="center"/>
              <w:rPr>
                <w:b/>
                <w:bCs/>
                <w:sz w:val="24"/>
                <w:szCs w:val="24"/>
              </w:rPr>
            </w:pPr>
            <w:r w:rsidRPr="00F66921">
              <w:rPr>
                <w:b/>
                <w:bCs/>
                <w:sz w:val="24"/>
                <w:szCs w:val="24"/>
              </w:rPr>
              <w:t>poznámka</w:t>
            </w:r>
          </w:p>
        </w:tc>
      </w:tr>
      <w:tr w:rsidR="00A70D39" w:rsidRPr="00F66921" w:rsidTr="002151A5">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0D39" w:rsidRPr="00F66921" w:rsidRDefault="00A70D39" w:rsidP="002151A5">
            <w:pPr>
              <w:rPr>
                <w:b/>
                <w:bCs/>
                <w:sz w:val="24"/>
                <w:szCs w:val="24"/>
              </w:rPr>
            </w:pPr>
          </w:p>
        </w:tc>
        <w:tc>
          <w:tcPr>
            <w:tcW w:w="1698" w:type="dxa"/>
            <w:tcBorders>
              <w:top w:val="nil"/>
              <w:left w:val="nil"/>
              <w:bottom w:val="single" w:sz="4" w:space="0" w:color="auto"/>
              <w:right w:val="single" w:sz="4" w:space="0" w:color="auto"/>
            </w:tcBorders>
            <w:shd w:val="clear" w:color="auto" w:fill="BFBFBF" w:themeFill="background1" w:themeFillShade="BF"/>
          </w:tcPr>
          <w:p w:rsidR="00A70D39" w:rsidRPr="00F66921" w:rsidRDefault="00A70D39" w:rsidP="002151A5">
            <w:pPr>
              <w:jc w:val="center"/>
              <w:rPr>
                <w:b/>
                <w:bCs/>
                <w:sz w:val="24"/>
                <w:szCs w:val="24"/>
              </w:rPr>
            </w:pPr>
            <w:r w:rsidRPr="00F66921">
              <w:rPr>
                <w:b/>
                <w:bCs/>
                <w:sz w:val="24"/>
                <w:szCs w:val="24"/>
              </w:rPr>
              <w:t>2020</w:t>
            </w:r>
          </w:p>
        </w:tc>
        <w:tc>
          <w:tcPr>
            <w:tcW w:w="1788" w:type="dxa"/>
            <w:tcBorders>
              <w:top w:val="nil"/>
              <w:left w:val="nil"/>
              <w:bottom w:val="single" w:sz="4" w:space="0" w:color="auto"/>
              <w:right w:val="single" w:sz="4" w:space="0" w:color="auto"/>
            </w:tcBorders>
            <w:shd w:val="clear" w:color="auto" w:fill="BFBFBF" w:themeFill="background1" w:themeFillShade="BF"/>
          </w:tcPr>
          <w:p w:rsidR="00A70D39" w:rsidRPr="00F66921" w:rsidRDefault="00A70D39" w:rsidP="002151A5">
            <w:pPr>
              <w:jc w:val="center"/>
              <w:rPr>
                <w:b/>
                <w:bCs/>
                <w:sz w:val="24"/>
                <w:szCs w:val="24"/>
              </w:rPr>
            </w:pPr>
            <w:r w:rsidRPr="00F66921">
              <w:rPr>
                <w:b/>
                <w:bCs/>
                <w:sz w:val="24"/>
                <w:szCs w:val="24"/>
              </w:rPr>
              <w:t>2021</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A70D39" w:rsidRPr="00F66921" w:rsidRDefault="00A70D39" w:rsidP="002151A5">
            <w:pPr>
              <w:jc w:val="center"/>
              <w:rPr>
                <w:b/>
                <w:bCs/>
                <w:sz w:val="24"/>
                <w:szCs w:val="24"/>
              </w:rPr>
            </w:pPr>
            <w:r w:rsidRPr="00F66921">
              <w:rPr>
                <w:b/>
                <w:bCs/>
                <w:sz w:val="24"/>
                <w:szCs w:val="24"/>
              </w:rPr>
              <w:t>2022</w:t>
            </w:r>
          </w:p>
        </w:tc>
        <w:tc>
          <w:tcPr>
            <w:tcW w:w="1722" w:type="dxa"/>
            <w:tcBorders>
              <w:top w:val="nil"/>
              <w:left w:val="nil"/>
              <w:bottom w:val="single" w:sz="4" w:space="0" w:color="auto"/>
              <w:right w:val="single" w:sz="4" w:space="0" w:color="auto"/>
            </w:tcBorders>
            <w:shd w:val="clear" w:color="auto" w:fill="BFBFBF" w:themeFill="background1" w:themeFillShade="BF"/>
          </w:tcPr>
          <w:p w:rsidR="00A70D39" w:rsidRPr="00F66921" w:rsidRDefault="00A70D39" w:rsidP="002151A5">
            <w:pPr>
              <w:jc w:val="center"/>
              <w:rPr>
                <w:b/>
                <w:bCs/>
                <w:sz w:val="24"/>
                <w:szCs w:val="24"/>
              </w:rPr>
            </w:pPr>
            <w:r w:rsidRPr="00F66921">
              <w:rPr>
                <w:b/>
                <w:bCs/>
                <w:sz w:val="24"/>
                <w:szCs w:val="24"/>
              </w:rPr>
              <w:t>2023</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0D39" w:rsidRPr="00F66921" w:rsidRDefault="00A70D39" w:rsidP="002151A5">
            <w:pPr>
              <w:rPr>
                <w:b/>
                <w:bCs/>
                <w:color w:val="FFFFFF"/>
                <w:sz w:val="24"/>
                <w:szCs w:val="24"/>
              </w:rPr>
            </w:pPr>
          </w:p>
        </w:tc>
      </w:tr>
      <w:tr w:rsidR="00A70D39" w:rsidRPr="00F66921" w:rsidTr="002151A5">
        <w:trPr>
          <w:trHeight w:val="255"/>
        </w:trPr>
        <w:tc>
          <w:tcPr>
            <w:tcW w:w="6188" w:type="dxa"/>
            <w:tcBorders>
              <w:top w:val="nil"/>
              <w:left w:val="single" w:sz="4" w:space="0" w:color="auto"/>
              <w:bottom w:val="single" w:sz="4" w:space="0" w:color="auto"/>
              <w:right w:val="single" w:sz="4" w:space="0" w:color="auto"/>
            </w:tcBorders>
          </w:tcPr>
          <w:p w:rsidR="00A70D39" w:rsidRPr="00F66921" w:rsidRDefault="00A70D39" w:rsidP="002151A5">
            <w:pPr>
              <w:rPr>
                <w:b/>
                <w:bCs/>
                <w:sz w:val="24"/>
                <w:szCs w:val="24"/>
              </w:rPr>
            </w:pPr>
            <w:r w:rsidRPr="00F66921">
              <w:rPr>
                <w:b/>
                <w:bCs/>
                <w:sz w:val="24"/>
                <w:szCs w:val="24"/>
              </w:rPr>
              <w:t>Počet zamestnancov celkom</w:t>
            </w:r>
          </w:p>
        </w:tc>
        <w:tc>
          <w:tcPr>
            <w:tcW w:w="1698" w:type="dxa"/>
            <w:tcBorders>
              <w:top w:val="nil"/>
              <w:left w:val="nil"/>
              <w:bottom w:val="single" w:sz="4" w:space="0" w:color="auto"/>
              <w:right w:val="single" w:sz="4" w:space="0" w:color="auto"/>
            </w:tcBorders>
          </w:tcPr>
          <w:p w:rsidR="00A70D39" w:rsidRPr="00F66921" w:rsidRDefault="00A70D39" w:rsidP="002151A5">
            <w:pPr>
              <w:jc w:val="center"/>
              <w:rPr>
                <w:b/>
                <w:bCs/>
                <w:sz w:val="24"/>
                <w:szCs w:val="24"/>
              </w:rPr>
            </w:pPr>
          </w:p>
        </w:tc>
        <w:tc>
          <w:tcPr>
            <w:tcW w:w="1788" w:type="dxa"/>
            <w:tcBorders>
              <w:top w:val="nil"/>
              <w:left w:val="nil"/>
              <w:bottom w:val="single" w:sz="4" w:space="0" w:color="auto"/>
              <w:right w:val="single" w:sz="4" w:space="0" w:color="auto"/>
            </w:tcBorders>
          </w:tcPr>
          <w:p w:rsidR="00A70D39" w:rsidRPr="00F66921" w:rsidRDefault="00A70D39" w:rsidP="002151A5">
            <w:pPr>
              <w:jc w:val="center"/>
              <w:rPr>
                <w:b/>
                <w:bCs/>
                <w:sz w:val="24"/>
                <w:szCs w:val="24"/>
              </w:rPr>
            </w:pPr>
          </w:p>
        </w:tc>
        <w:tc>
          <w:tcPr>
            <w:tcW w:w="2418" w:type="dxa"/>
            <w:gridSpan w:val="2"/>
            <w:tcBorders>
              <w:top w:val="nil"/>
              <w:left w:val="nil"/>
              <w:bottom w:val="single" w:sz="4" w:space="0" w:color="auto"/>
              <w:right w:val="single" w:sz="4" w:space="0" w:color="auto"/>
            </w:tcBorders>
          </w:tcPr>
          <w:p w:rsidR="00A70D39" w:rsidRPr="00F66921" w:rsidRDefault="00A70D39" w:rsidP="002151A5">
            <w:pPr>
              <w:jc w:val="center"/>
              <w:rPr>
                <w:b/>
                <w:bCs/>
                <w:sz w:val="24"/>
                <w:szCs w:val="24"/>
              </w:rPr>
            </w:pPr>
          </w:p>
        </w:tc>
        <w:tc>
          <w:tcPr>
            <w:tcW w:w="1722" w:type="dxa"/>
            <w:tcBorders>
              <w:top w:val="nil"/>
              <w:left w:val="nil"/>
              <w:bottom w:val="single" w:sz="4" w:space="0" w:color="auto"/>
              <w:right w:val="single" w:sz="4" w:space="0" w:color="auto"/>
            </w:tcBorders>
          </w:tcPr>
          <w:p w:rsidR="00A70D39" w:rsidRPr="00F66921" w:rsidRDefault="00A70D39" w:rsidP="002151A5">
            <w:pPr>
              <w:jc w:val="center"/>
              <w:rPr>
                <w:b/>
                <w:bCs/>
                <w:sz w:val="24"/>
                <w:szCs w:val="24"/>
              </w:rPr>
            </w:pPr>
          </w:p>
        </w:tc>
        <w:tc>
          <w:tcPr>
            <w:tcW w:w="1620" w:type="dxa"/>
            <w:gridSpan w:val="2"/>
            <w:tcBorders>
              <w:top w:val="nil"/>
              <w:left w:val="nil"/>
              <w:bottom w:val="single" w:sz="4" w:space="0" w:color="auto"/>
              <w:right w:val="single" w:sz="4" w:space="0" w:color="auto"/>
            </w:tcBorders>
            <w:noWrap/>
            <w:vAlign w:val="bottom"/>
          </w:tcPr>
          <w:p w:rsidR="00A70D39" w:rsidRPr="00F66921" w:rsidRDefault="00A70D39" w:rsidP="002151A5">
            <w:pPr>
              <w:rPr>
                <w:sz w:val="24"/>
                <w:szCs w:val="24"/>
              </w:rPr>
            </w:pPr>
            <w:r w:rsidRPr="00F66921">
              <w:rPr>
                <w:sz w:val="24"/>
                <w:szCs w:val="24"/>
              </w:rPr>
              <w:t> </w:t>
            </w:r>
          </w:p>
        </w:tc>
      </w:tr>
      <w:tr w:rsidR="00A70D39" w:rsidRPr="00F66921" w:rsidTr="002151A5">
        <w:trPr>
          <w:trHeight w:val="255"/>
        </w:trPr>
        <w:tc>
          <w:tcPr>
            <w:tcW w:w="6188" w:type="dxa"/>
            <w:tcBorders>
              <w:top w:val="nil"/>
              <w:left w:val="single" w:sz="4" w:space="0" w:color="auto"/>
              <w:bottom w:val="single" w:sz="4" w:space="0" w:color="auto"/>
              <w:right w:val="single" w:sz="4" w:space="0" w:color="auto"/>
            </w:tcBorders>
          </w:tcPr>
          <w:p w:rsidR="00A70D39" w:rsidRPr="00F66921" w:rsidRDefault="00A70D39" w:rsidP="002151A5">
            <w:pPr>
              <w:rPr>
                <w:b/>
                <w:bCs/>
                <w:sz w:val="24"/>
                <w:szCs w:val="24"/>
              </w:rPr>
            </w:pPr>
            <w:r w:rsidRPr="00F66921">
              <w:rPr>
                <w:b/>
                <w:bCs/>
                <w:sz w:val="24"/>
                <w:szCs w:val="24"/>
              </w:rPr>
              <w:t xml:space="preserve">   z toho vplyv na ŠR</w:t>
            </w:r>
          </w:p>
        </w:tc>
        <w:tc>
          <w:tcPr>
            <w:tcW w:w="1698" w:type="dxa"/>
            <w:tcBorders>
              <w:top w:val="single" w:sz="4" w:space="0" w:color="auto"/>
              <w:left w:val="nil"/>
              <w:bottom w:val="single" w:sz="4" w:space="0" w:color="auto"/>
              <w:right w:val="single" w:sz="4" w:space="0" w:color="auto"/>
            </w:tcBorders>
          </w:tcPr>
          <w:p w:rsidR="00A70D39" w:rsidRPr="00F66921" w:rsidRDefault="00A70D39" w:rsidP="002151A5">
            <w:pPr>
              <w:jc w:val="center"/>
              <w:rPr>
                <w:b/>
                <w:bCs/>
                <w:sz w:val="24"/>
                <w:szCs w:val="24"/>
              </w:rPr>
            </w:pPr>
          </w:p>
        </w:tc>
        <w:tc>
          <w:tcPr>
            <w:tcW w:w="1788" w:type="dxa"/>
            <w:tcBorders>
              <w:top w:val="single" w:sz="4" w:space="0" w:color="auto"/>
              <w:left w:val="nil"/>
              <w:bottom w:val="single" w:sz="4" w:space="0" w:color="auto"/>
              <w:right w:val="single" w:sz="4" w:space="0" w:color="auto"/>
            </w:tcBorders>
          </w:tcPr>
          <w:p w:rsidR="00A70D39" w:rsidRPr="00F66921" w:rsidRDefault="00A70D39" w:rsidP="002151A5">
            <w:pPr>
              <w:jc w:val="center"/>
              <w:rPr>
                <w:b/>
                <w:bCs/>
                <w:sz w:val="24"/>
                <w:szCs w:val="24"/>
              </w:rPr>
            </w:pPr>
          </w:p>
        </w:tc>
        <w:tc>
          <w:tcPr>
            <w:tcW w:w="2418" w:type="dxa"/>
            <w:gridSpan w:val="2"/>
            <w:tcBorders>
              <w:top w:val="single" w:sz="4" w:space="0" w:color="auto"/>
              <w:left w:val="nil"/>
              <w:bottom w:val="single" w:sz="4" w:space="0" w:color="auto"/>
              <w:right w:val="single" w:sz="4" w:space="0" w:color="auto"/>
            </w:tcBorders>
          </w:tcPr>
          <w:p w:rsidR="00A70D39" w:rsidRPr="00F66921" w:rsidRDefault="00A70D39" w:rsidP="002151A5">
            <w:pPr>
              <w:jc w:val="center"/>
              <w:rPr>
                <w:b/>
                <w:bCs/>
                <w:sz w:val="24"/>
                <w:szCs w:val="24"/>
              </w:rPr>
            </w:pPr>
          </w:p>
        </w:tc>
        <w:tc>
          <w:tcPr>
            <w:tcW w:w="1722" w:type="dxa"/>
            <w:tcBorders>
              <w:top w:val="single" w:sz="4" w:space="0" w:color="auto"/>
              <w:left w:val="nil"/>
              <w:bottom w:val="single" w:sz="4" w:space="0" w:color="auto"/>
              <w:right w:val="single" w:sz="4" w:space="0" w:color="auto"/>
            </w:tcBorders>
          </w:tcPr>
          <w:p w:rsidR="00A70D39" w:rsidRPr="00F66921" w:rsidRDefault="00A70D39" w:rsidP="002151A5">
            <w:pPr>
              <w:jc w:val="center"/>
              <w:rPr>
                <w:b/>
                <w:bCs/>
                <w:sz w:val="24"/>
                <w:szCs w:val="24"/>
              </w:rPr>
            </w:pPr>
          </w:p>
        </w:tc>
        <w:tc>
          <w:tcPr>
            <w:tcW w:w="1620" w:type="dxa"/>
            <w:gridSpan w:val="2"/>
            <w:tcBorders>
              <w:top w:val="nil"/>
              <w:left w:val="nil"/>
              <w:bottom w:val="single" w:sz="4" w:space="0" w:color="auto"/>
              <w:right w:val="single" w:sz="4" w:space="0" w:color="auto"/>
            </w:tcBorders>
            <w:noWrap/>
            <w:vAlign w:val="bottom"/>
          </w:tcPr>
          <w:p w:rsidR="00A70D39" w:rsidRPr="00F66921" w:rsidRDefault="00A70D39" w:rsidP="002151A5">
            <w:pPr>
              <w:rPr>
                <w:sz w:val="24"/>
                <w:szCs w:val="24"/>
              </w:rPr>
            </w:pPr>
          </w:p>
        </w:tc>
      </w:tr>
      <w:tr w:rsidR="00A70D39" w:rsidRPr="00F66921" w:rsidTr="002151A5">
        <w:trPr>
          <w:trHeight w:val="255"/>
        </w:trPr>
        <w:tc>
          <w:tcPr>
            <w:tcW w:w="6188" w:type="dxa"/>
            <w:tcBorders>
              <w:top w:val="nil"/>
              <w:left w:val="single" w:sz="4" w:space="0" w:color="auto"/>
              <w:bottom w:val="single" w:sz="4" w:space="0" w:color="auto"/>
              <w:right w:val="single" w:sz="4" w:space="0" w:color="auto"/>
            </w:tcBorders>
          </w:tcPr>
          <w:p w:rsidR="00A70D39" w:rsidRPr="00F66921" w:rsidRDefault="00A70D39" w:rsidP="002151A5">
            <w:pPr>
              <w:rPr>
                <w:b/>
                <w:bCs/>
                <w:sz w:val="24"/>
                <w:szCs w:val="24"/>
              </w:rPr>
            </w:pPr>
            <w:r w:rsidRPr="00F66921">
              <w:rPr>
                <w:b/>
                <w:bCs/>
                <w:sz w:val="24"/>
                <w:szCs w:val="24"/>
              </w:rPr>
              <w:t>Priemerný mzdový výdavok (v eurách)</w:t>
            </w:r>
          </w:p>
        </w:tc>
        <w:tc>
          <w:tcPr>
            <w:tcW w:w="1698" w:type="dxa"/>
            <w:tcBorders>
              <w:top w:val="single" w:sz="4" w:space="0" w:color="auto"/>
              <w:left w:val="nil"/>
              <w:bottom w:val="single" w:sz="4" w:space="0" w:color="auto"/>
              <w:right w:val="single" w:sz="4" w:space="0" w:color="auto"/>
            </w:tcBorders>
          </w:tcPr>
          <w:p w:rsidR="00A70D39" w:rsidRPr="00F66921" w:rsidRDefault="00A70D39" w:rsidP="002151A5">
            <w:pPr>
              <w:jc w:val="center"/>
              <w:rPr>
                <w:b/>
                <w:bCs/>
                <w:sz w:val="24"/>
                <w:szCs w:val="24"/>
              </w:rPr>
            </w:pPr>
          </w:p>
        </w:tc>
        <w:tc>
          <w:tcPr>
            <w:tcW w:w="1788" w:type="dxa"/>
            <w:tcBorders>
              <w:top w:val="single" w:sz="4" w:space="0" w:color="auto"/>
              <w:left w:val="nil"/>
              <w:bottom w:val="single" w:sz="4" w:space="0" w:color="auto"/>
              <w:right w:val="single" w:sz="4" w:space="0" w:color="auto"/>
            </w:tcBorders>
          </w:tcPr>
          <w:p w:rsidR="00A70D39" w:rsidRPr="00F66921" w:rsidRDefault="00A70D39" w:rsidP="002151A5">
            <w:pPr>
              <w:jc w:val="center"/>
              <w:rPr>
                <w:b/>
                <w:bCs/>
                <w:sz w:val="24"/>
                <w:szCs w:val="24"/>
              </w:rPr>
            </w:pPr>
          </w:p>
        </w:tc>
        <w:tc>
          <w:tcPr>
            <w:tcW w:w="2418" w:type="dxa"/>
            <w:gridSpan w:val="2"/>
            <w:tcBorders>
              <w:top w:val="single" w:sz="4" w:space="0" w:color="auto"/>
              <w:left w:val="nil"/>
              <w:bottom w:val="single" w:sz="4" w:space="0" w:color="auto"/>
              <w:right w:val="single" w:sz="4" w:space="0" w:color="auto"/>
            </w:tcBorders>
          </w:tcPr>
          <w:p w:rsidR="00A70D39" w:rsidRPr="00F66921" w:rsidRDefault="00A70D39" w:rsidP="002151A5">
            <w:pPr>
              <w:jc w:val="center"/>
              <w:rPr>
                <w:b/>
                <w:bCs/>
                <w:sz w:val="24"/>
                <w:szCs w:val="24"/>
              </w:rPr>
            </w:pPr>
          </w:p>
        </w:tc>
        <w:tc>
          <w:tcPr>
            <w:tcW w:w="1722" w:type="dxa"/>
            <w:tcBorders>
              <w:top w:val="single" w:sz="4" w:space="0" w:color="auto"/>
              <w:left w:val="nil"/>
              <w:bottom w:val="single" w:sz="4" w:space="0" w:color="auto"/>
              <w:right w:val="single" w:sz="4" w:space="0" w:color="auto"/>
            </w:tcBorders>
          </w:tcPr>
          <w:p w:rsidR="00A70D39" w:rsidRPr="00F66921" w:rsidRDefault="00A70D39" w:rsidP="002151A5">
            <w:pPr>
              <w:jc w:val="center"/>
              <w:rPr>
                <w:b/>
                <w:bCs/>
                <w:sz w:val="24"/>
                <w:szCs w:val="24"/>
              </w:rPr>
            </w:pPr>
          </w:p>
        </w:tc>
        <w:tc>
          <w:tcPr>
            <w:tcW w:w="1620" w:type="dxa"/>
            <w:gridSpan w:val="2"/>
            <w:tcBorders>
              <w:top w:val="nil"/>
              <w:left w:val="nil"/>
              <w:bottom w:val="single" w:sz="4" w:space="0" w:color="auto"/>
              <w:right w:val="single" w:sz="4" w:space="0" w:color="auto"/>
            </w:tcBorders>
            <w:noWrap/>
            <w:vAlign w:val="bottom"/>
          </w:tcPr>
          <w:p w:rsidR="00A70D39" w:rsidRPr="00F66921" w:rsidRDefault="00A70D39" w:rsidP="002151A5">
            <w:pPr>
              <w:rPr>
                <w:sz w:val="24"/>
                <w:szCs w:val="24"/>
              </w:rPr>
            </w:pPr>
            <w:r w:rsidRPr="00F66921">
              <w:rPr>
                <w:sz w:val="24"/>
                <w:szCs w:val="24"/>
              </w:rPr>
              <w:t> </w:t>
            </w:r>
          </w:p>
        </w:tc>
      </w:tr>
      <w:tr w:rsidR="00A70D39" w:rsidRPr="00F66921" w:rsidTr="002151A5">
        <w:trPr>
          <w:trHeight w:val="255"/>
        </w:trPr>
        <w:tc>
          <w:tcPr>
            <w:tcW w:w="6188" w:type="dxa"/>
            <w:tcBorders>
              <w:top w:val="nil"/>
              <w:left w:val="single" w:sz="4" w:space="0" w:color="auto"/>
              <w:bottom w:val="single" w:sz="4" w:space="0" w:color="auto"/>
              <w:right w:val="single" w:sz="4" w:space="0" w:color="auto"/>
            </w:tcBorders>
          </w:tcPr>
          <w:p w:rsidR="00A70D39" w:rsidRPr="00F66921" w:rsidRDefault="00A70D39" w:rsidP="002151A5">
            <w:pPr>
              <w:rPr>
                <w:sz w:val="24"/>
                <w:szCs w:val="24"/>
              </w:rPr>
            </w:pPr>
            <w:r w:rsidRPr="00F66921">
              <w:rPr>
                <w:b/>
                <w:bCs/>
                <w:sz w:val="24"/>
                <w:szCs w:val="24"/>
              </w:rPr>
              <w:t xml:space="preserve">   z toho vplyv na ŠR</w:t>
            </w:r>
          </w:p>
        </w:tc>
        <w:tc>
          <w:tcPr>
            <w:tcW w:w="1698" w:type="dxa"/>
            <w:tcBorders>
              <w:top w:val="single" w:sz="4" w:space="0" w:color="auto"/>
              <w:left w:val="nil"/>
              <w:bottom w:val="single" w:sz="4" w:space="0" w:color="auto"/>
              <w:right w:val="single" w:sz="4" w:space="0" w:color="auto"/>
            </w:tcBorders>
          </w:tcPr>
          <w:p w:rsidR="00A70D39" w:rsidRPr="00F66921" w:rsidRDefault="00A70D39" w:rsidP="002151A5">
            <w:pPr>
              <w:jc w:val="center"/>
              <w:rPr>
                <w:sz w:val="24"/>
                <w:szCs w:val="24"/>
              </w:rPr>
            </w:pPr>
            <w:r w:rsidRPr="00F66921">
              <w:rPr>
                <w:sz w:val="24"/>
                <w:szCs w:val="24"/>
              </w:rPr>
              <w:t> </w:t>
            </w:r>
          </w:p>
        </w:tc>
        <w:tc>
          <w:tcPr>
            <w:tcW w:w="1788" w:type="dxa"/>
            <w:tcBorders>
              <w:top w:val="single" w:sz="4" w:space="0" w:color="auto"/>
              <w:left w:val="nil"/>
              <w:bottom w:val="single" w:sz="4" w:space="0" w:color="auto"/>
              <w:right w:val="single" w:sz="4" w:space="0" w:color="auto"/>
            </w:tcBorders>
          </w:tcPr>
          <w:p w:rsidR="00A70D39" w:rsidRPr="00F66921" w:rsidRDefault="00A70D39" w:rsidP="002151A5">
            <w:pPr>
              <w:jc w:val="center"/>
              <w:rPr>
                <w:sz w:val="24"/>
                <w:szCs w:val="24"/>
              </w:rPr>
            </w:pPr>
            <w:r w:rsidRPr="00F66921">
              <w:rPr>
                <w:sz w:val="24"/>
                <w:szCs w:val="24"/>
              </w:rPr>
              <w:t> </w:t>
            </w:r>
          </w:p>
        </w:tc>
        <w:tc>
          <w:tcPr>
            <w:tcW w:w="2418" w:type="dxa"/>
            <w:gridSpan w:val="2"/>
            <w:tcBorders>
              <w:top w:val="single" w:sz="4" w:space="0" w:color="auto"/>
              <w:left w:val="nil"/>
              <w:bottom w:val="single" w:sz="4" w:space="0" w:color="auto"/>
              <w:right w:val="single" w:sz="4" w:space="0" w:color="auto"/>
            </w:tcBorders>
          </w:tcPr>
          <w:p w:rsidR="00A70D39" w:rsidRPr="00F66921" w:rsidRDefault="00A70D39" w:rsidP="002151A5">
            <w:pPr>
              <w:jc w:val="center"/>
              <w:rPr>
                <w:sz w:val="24"/>
                <w:szCs w:val="24"/>
              </w:rPr>
            </w:pPr>
            <w:r w:rsidRPr="00F66921">
              <w:rPr>
                <w:sz w:val="24"/>
                <w:szCs w:val="24"/>
              </w:rPr>
              <w:t> </w:t>
            </w:r>
          </w:p>
        </w:tc>
        <w:tc>
          <w:tcPr>
            <w:tcW w:w="1722" w:type="dxa"/>
            <w:tcBorders>
              <w:top w:val="single" w:sz="4" w:space="0" w:color="auto"/>
              <w:left w:val="nil"/>
              <w:bottom w:val="single" w:sz="4" w:space="0" w:color="auto"/>
              <w:right w:val="single" w:sz="4" w:space="0" w:color="auto"/>
            </w:tcBorders>
          </w:tcPr>
          <w:p w:rsidR="00A70D39" w:rsidRPr="00F66921" w:rsidRDefault="00A70D39" w:rsidP="002151A5">
            <w:pPr>
              <w:jc w:val="center"/>
              <w:rPr>
                <w:sz w:val="24"/>
                <w:szCs w:val="24"/>
              </w:rPr>
            </w:pPr>
            <w:r w:rsidRPr="00F66921">
              <w:rPr>
                <w:sz w:val="24"/>
                <w:szCs w:val="24"/>
              </w:rPr>
              <w:t> </w:t>
            </w:r>
          </w:p>
        </w:tc>
        <w:tc>
          <w:tcPr>
            <w:tcW w:w="1620" w:type="dxa"/>
            <w:gridSpan w:val="2"/>
            <w:tcBorders>
              <w:top w:val="nil"/>
              <w:left w:val="nil"/>
              <w:bottom w:val="single" w:sz="4" w:space="0" w:color="auto"/>
              <w:right w:val="single" w:sz="4" w:space="0" w:color="auto"/>
            </w:tcBorders>
            <w:noWrap/>
            <w:vAlign w:val="bottom"/>
          </w:tcPr>
          <w:p w:rsidR="00A70D39" w:rsidRPr="00F66921" w:rsidRDefault="00A70D39" w:rsidP="002151A5">
            <w:pPr>
              <w:rPr>
                <w:sz w:val="24"/>
                <w:szCs w:val="24"/>
              </w:rPr>
            </w:pPr>
            <w:r w:rsidRPr="00F66921">
              <w:rPr>
                <w:sz w:val="24"/>
                <w:szCs w:val="24"/>
              </w:rPr>
              <w:t> </w:t>
            </w:r>
          </w:p>
        </w:tc>
      </w:tr>
      <w:tr w:rsidR="00A70D39" w:rsidRPr="00F66921" w:rsidTr="002151A5">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A70D39" w:rsidRPr="00F66921" w:rsidRDefault="00A70D39" w:rsidP="002151A5">
            <w:pPr>
              <w:rPr>
                <w:b/>
                <w:bCs/>
                <w:sz w:val="24"/>
                <w:szCs w:val="24"/>
              </w:rPr>
            </w:pPr>
            <w:r w:rsidRPr="00F66921">
              <w:rPr>
                <w:b/>
                <w:bCs/>
                <w:sz w:val="24"/>
                <w:szCs w:val="24"/>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A70D39" w:rsidRPr="00F66921" w:rsidRDefault="00A70D39" w:rsidP="002151A5">
            <w:pPr>
              <w:jc w:val="center"/>
              <w:rPr>
                <w:b/>
                <w:bCs/>
                <w:sz w:val="24"/>
                <w:szCs w:val="24"/>
              </w:rPr>
            </w:pPr>
            <w:r w:rsidRPr="00F66921">
              <w:rPr>
                <w:b/>
                <w:bCs/>
                <w:sz w:val="24"/>
                <w:szCs w:val="24"/>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A70D39" w:rsidRPr="00F66921" w:rsidRDefault="00A70D39" w:rsidP="002151A5">
            <w:pPr>
              <w:jc w:val="center"/>
              <w:rPr>
                <w:b/>
                <w:bCs/>
                <w:sz w:val="24"/>
                <w:szCs w:val="24"/>
              </w:rPr>
            </w:pPr>
            <w:r w:rsidRPr="00F66921">
              <w:rPr>
                <w:b/>
                <w:bCs/>
                <w:sz w:val="24"/>
                <w:szCs w:val="24"/>
              </w:rPr>
              <w:t>0</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A70D39" w:rsidRPr="00F66921" w:rsidRDefault="00A70D39" w:rsidP="002151A5">
            <w:pPr>
              <w:jc w:val="center"/>
              <w:rPr>
                <w:b/>
                <w:bCs/>
                <w:sz w:val="24"/>
                <w:szCs w:val="24"/>
              </w:rPr>
            </w:pPr>
            <w:r w:rsidRPr="00F66921">
              <w:rPr>
                <w:b/>
                <w:bCs/>
                <w:sz w:val="24"/>
                <w:szCs w:val="24"/>
              </w:rPr>
              <w:t>0</w:t>
            </w:r>
          </w:p>
        </w:tc>
        <w:tc>
          <w:tcPr>
            <w:tcW w:w="1722" w:type="dxa"/>
            <w:tcBorders>
              <w:top w:val="nil"/>
              <w:left w:val="nil"/>
              <w:bottom w:val="single" w:sz="4" w:space="0" w:color="auto"/>
              <w:right w:val="single" w:sz="4" w:space="0" w:color="auto"/>
            </w:tcBorders>
            <w:shd w:val="clear" w:color="auto" w:fill="BFBFBF" w:themeFill="background1" w:themeFillShade="BF"/>
          </w:tcPr>
          <w:p w:rsidR="00A70D39" w:rsidRPr="00F66921" w:rsidRDefault="00A70D39" w:rsidP="002151A5">
            <w:pPr>
              <w:jc w:val="center"/>
              <w:rPr>
                <w:b/>
                <w:bCs/>
                <w:sz w:val="24"/>
                <w:szCs w:val="24"/>
              </w:rPr>
            </w:pPr>
            <w:r w:rsidRPr="00F66921">
              <w:rPr>
                <w:b/>
                <w:bCs/>
                <w:sz w:val="24"/>
                <w:szCs w:val="24"/>
              </w:rPr>
              <w:t>0</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A70D39" w:rsidRPr="00F66921" w:rsidRDefault="00A70D39" w:rsidP="002151A5">
            <w:pPr>
              <w:rPr>
                <w:b/>
                <w:bCs/>
                <w:sz w:val="24"/>
                <w:szCs w:val="24"/>
              </w:rPr>
            </w:pPr>
            <w:r w:rsidRPr="00F66921">
              <w:rPr>
                <w:b/>
                <w:bCs/>
                <w:sz w:val="24"/>
                <w:szCs w:val="24"/>
              </w:rPr>
              <w:t> </w:t>
            </w:r>
          </w:p>
        </w:tc>
      </w:tr>
      <w:tr w:rsidR="00A70D39" w:rsidRPr="00F66921" w:rsidTr="002151A5">
        <w:trPr>
          <w:trHeight w:val="255"/>
        </w:trPr>
        <w:tc>
          <w:tcPr>
            <w:tcW w:w="6188" w:type="dxa"/>
            <w:tcBorders>
              <w:top w:val="nil"/>
              <w:left w:val="single" w:sz="4" w:space="0" w:color="auto"/>
              <w:bottom w:val="single" w:sz="4" w:space="0" w:color="auto"/>
              <w:right w:val="single" w:sz="4" w:space="0" w:color="auto"/>
            </w:tcBorders>
          </w:tcPr>
          <w:p w:rsidR="00A70D39" w:rsidRPr="00F66921" w:rsidRDefault="00A70D39" w:rsidP="002151A5">
            <w:pPr>
              <w:rPr>
                <w:b/>
                <w:bCs/>
                <w:sz w:val="24"/>
                <w:szCs w:val="24"/>
              </w:rPr>
            </w:pPr>
            <w:r w:rsidRPr="00F66921">
              <w:rPr>
                <w:b/>
                <w:bCs/>
                <w:sz w:val="24"/>
                <w:szCs w:val="24"/>
              </w:rPr>
              <w:t>Mzdy, platy, služobné príjmy a ostatné osobné vyrovnania (610)</w:t>
            </w:r>
          </w:p>
        </w:tc>
        <w:tc>
          <w:tcPr>
            <w:tcW w:w="1698" w:type="dxa"/>
            <w:tcBorders>
              <w:top w:val="nil"/>
              <w:left w:val="nil"/>
              <w:bottom w:val="single" w:sz="4" w:space="0" w:color="auto"/>
              <w:right w:val="single" w:sz="4" w:space="0" w:color="auto"/>
            </w:tcBorders>
          </w:tcPr>
          <w:p w:rsidR="00A70D39" w:rsidRPr="00F66921" w:rsidRDefault="00A70D39" w:rsidP="002151A5">
            <w:pPr>
              <w:jc w:val="center"/>
              <w:rPr>
                <w:b/>
                <w:bCs/>
                <w:sz w:val="24"/>
                <w:szCs w:val="24"/>
              </w:rPr>
            </w:pPr>
          </w:p>
        </w:tc>
        <w:tc>
          <w:tcPr>
            <w:tcW w:w="1788" w:type="dxa"/>
            <w:tcBorders>
              <w:top w:val="nil"/>
              <w:left w:val="nil"/>
              <w:bottom w:val="single" w:sz="4" w:space="0" w:color="auto"/>
              <w:right w:val="single" w:sz="4" w:space="0" w:color="auto"/>
            </w:tcBorders>
          </w:tcPr>
          <w:p w:rsidR="00A70D39" w:rsidRPr="00F66921" w:rsidRDefault="00A70D39" w:rsidP="002151A5">
            <w:pPr>
              <w:jc w:val="center"/>
              <w:rPr>
                <w:b/>
                <w:bCs/>
                <w:sz w:val="24"/>
                <w:szCs w:val="24"/>
              </w:rPr>
            </w:pPr>
          </w:p>
        </w:tc>
        <w:tc>
          <w:tcPr>
            <w:tcW w:w="2418" w:type="dxa"/>
            <w:gridSpan w:val="2"/>
            <w:tcBorders>
              <w:top w:val="nil"/>
              <w:left w:val="nil"/>
              <w:bottom w:val="single" w:sz="4" w:space="0" w:color="auto"/>
              <w:right w:val="single" w:sz="4" w:space="0" w:color="auto"/>
            </w:tcBorders>
          </w:tcPr>
          <w:p w:rsidR="00A70D39" w:rsidRPr="00F66921" w:rsidRDefault="00A70D39" w:rsidP="002151A5">
            <w:pPr>
              <w:jc w:val="center"/>
              <w:rPr>
                <w:b/>
                <w:bCs/>
                <w:sz w:val="24"/>
                <w:szCs w:val="24"/>
              </w:rPr>
            </w:pPr>
          </w:p>
        </w:tc>
        <w:tc>
          <w:tcPr>
            <w:tcW w:w="1722" w:type="dxa"/>
            <w:tcBorders>
              <w:top w:val="nil"/>
              <w:left w:val="nil"/>
              <w:bottom w:val="single" w:sz="4" w:space="0" w:color="auto"/>
              <w:right w:val="single" w:sz="4" w:space="0" w:color="auto"/>
            </w:tcBorders>
          </w:tcPr>
          <w:p w:rsidR="00A70D39" w:rsidRPr="00F66921" w:rsidRDefault="00A70D39" w:rsidP="002151A5">
            <w:pPr>
              <w:jc w:val="center"/>
              <w:rPr>
                <w:b/>
                <w:bCs/>
                <w:sz w:val="24"/>
                <w:szCs w:val="24"/>
              </w:rPr>
            </w:pPr>
          </w:p>
        </w:tc>
        <w:tc>
          <w:tcPr>
            <w:tcW w:w="1620" w:type="dxa"/>
            <w:gridSpan w:val="2"/>
            <w:tcBorders>
              <w:top w:val="nil"/>
              <w:left w:val="nil"/>
              <w:bottom w:val="single" w:sz="4" w:space="0" w:color="auto"/>
              <w:right w:val="single" w:sz="4" w:space="0" w:color="auto"/>
            </w:tcBorders>
            <w:noWrap/>
            <w:vAlign w:val="bottom"/>
          </w:tcPr>
          <w:p w:rsidR="00A70D39" w:rsidRPr="00F66921" w:rsidRDefault="00A70D39" w:rsidP="002151A5">
            <w:pPr>
              <w:rPr>
                <w:b/>
                <w:bCs/>
                <w:sz w:val="24"/>
                <w:szCs w:val="24"/>
              </w:rPr>
            </w:pPr>
            <w:r w:rsidRPr="00F66921">
              <w:rPr>
                <w:b/>
                <w:bCs/>
                <w:sz w:val="24"/>
                <w:szCs w:val="24"/>
              </w:rPr>
              <w:t> </w:t>
            </w:r>
          </w:p>
        </w:tc>
      </w:tr>
      <w:tr w:rsidR="00A70D39" w:rsidRPr="00F66921" w:rsidTr="002151A5">
        <w:trPr>
          <w:trHeight w:val="255"/>
        </w:trPr>
        <w:tc>
          <w:tcPr>
            <w:tcW w:w="6188" w:type="dxa"/>
            <w:tcBorders>
              <w:top w:val="nil"/>
              <w:left w:val="single" w:sz="4" w:space="0" w:color="auto"/>
              <w:bottom w:val="single" w:sz="4" w:space="0" w:color="auto"/>
              <w:right w:val="single" w:sz="4" w:space="0" w:color="auto"/>
            </w:tcBorders>
          </w:tcPr>
          <w:p w:rsidR="00A70D39" w:rsidRPr="00F66921" w:rsidRDefault="00A70D39" w:rsidP="002151A5">
            <w:pPr>
              <w:rPr>
                <w:sz w:val="24"/>
                <w:szCs w:val="24"/>
              </w:rPr>
            </w:pPr>
            <w:r w:rsidRPr="00F66921">
              <w:rPr>
                <w:b/>
                <w:bCs/>
                <w:sz w:val="24"/>
                <w:szCs w:val="24"/>
              </w:rPr>
              <w:t xml:space="preserve">   z toho vplyv na ŠR</w:t>
            </w:r>
          </w:p>
        </w:tc>
        <w:tc>
          <w:tcPr>
            <w:tcW w:w="1698" w:type="dxa"/>
            <w:tcBorders>
              <w:top w:val="nil"/>
              <w:left w:val="nil"/>
              <w:bottom w:val="single" w:sz="4" w:space="0" w:color="auto"/>
              <w:right w:val="single" w:sz="4" w:space="0" w:color="auto"/>
            </w:tcBorders>
          </w:tcPr>
          <w:p w:rsidR="00A70D39" w:rsidRPr="00F66921" w:rsidRDefault="00A70D39" w:rsidP="002151A5">
            <w:pPr>
              <w:jc w:val="center"/>
              <w:rPr>
                <w:sz w:val="24"/>
                <w:szCs w:val="24"/>
              </w:rPr>
            </w:pPr>
          </w:p>
        </w:tc>
        <w:tc>
          <w:tcPr>
            <w:tcW w:w="1788" w:type="dxa"/>
            <w:tcBorders>
              <w:top w:val="nil"/>
              <w:left w:val="nil"/>
              <w:bottom w:val="single" w:sz="4" w:space="0" w:color="auto"/>
              <w:right w:val="single" w:sz="4" w:space="0" w:color="auto"/>
            </w:tcBorders>
          </w:tcPr>
          <w:p w:rsidR="00A70D39" w:rsidRPr="00F66921" w:rsidRDefault="00A70D39" w:rsidP="002151A5">
            <w:pPr>
              <w:jc w:val="center"/>
              <w:rPr>
                <w:sz w:val="24"/>
                <w:szCs w:val="24"/>
              </w:rPr>
            </w:pPr>
          </w:p>
        </w:tc>
        <w:tc>
          <w:tcPr>
            <w:tcW w:w="2418" w:type="dxa"/>
            <w:gridSpan w:val="2"/>
            <w:tcBorders>
              <w:top w:val="nil"/>
              <w:left w:val="nil"/>
              <w:bottom w:val="single" w:sz="4" w:space="0" w:color="auto"/>
              <w:right w:val="single" w:sz="4" w:space="0" w:color="auto"/>
            </w:tcBorders>
          </w:tcPr>
          <w:p w:rsidR="00A70D39" w:rsidRPr="00F66921" w:rsidRDefault="00A70D39" w:rsidP="002151A5">
            <w:pPr>
              <w:jc w:val="center"/>
              <w:rPr>
                <w:sz w:val="24"/>
                <w:szCs w:val="24"/>
              </w:rPr>
            </w:pPr>
          </w:p>
        </w:tc>
        <w:tc>
          <w:tcPr>
            <w:tcW w:w="1722" w:type="dxa"/>
            <w:tcBorders>
              <w:top w:val="nil"/>
              <w:left w:val="nil"/>
              <w:bottom w:val="single" w:sz="4" w:space="0" w:color="auto"/>
              <w:right w:val="single" w:sz="4" w:space="0" w:color="auto"/>
            </w:tcBorders>
          </w:tcPr>
          <w:p w:rsidR="00A70D39" w:rsidRPr="00F66921" w:rsidRDefault="00A70D39" w:rsidP="002151A5">
            <w:pPr>
              <w:jc w:val="center"/>
              <w:rPr>
                <w:sz w:val="24"/>
                <w:szCs w:val="24"/>
              </w:rPr>
            </w:pPr>
          </w:p>
        </w:tc>
        <w:tc>
          <w:tcPr>
            <w:tcW w:w="1620" w:type="dxa"/>
            <w:gridSpan w:val="2"/>
            <w:tcBorders>
              <w:top w:val="nil"/>
              <w:left w:val="nil"/>
              <w:bottom w:val="single" w:sz="4" w:space="0" w:color="auto"/>
              <w:right w:val="single" w:sz="4" w:space="0" w:color="auto"/>
            </w:tcBorders>
            <w:noWrap/>
            <w:vAlign w:val="bottom"/>
          </w:tcPr>
          <w:p w:rsidR="00A70D39" w:rsidRPr="00F66921" w:rsidRDefault="00A70D39" w:rsidP="002151A5">
            <w:pPr>
              <w:rPr>
                <w:sz w:val="24"/>
                <w:szCs w:val="24"/>
              </w:rPr>
            </w:pPr>
            <w:r w:rsidRPr="00F66921">
              <w:rPr>
                <w:sz w:val="24"/>
                <w:szCs w:val="24"/>
              </w:rPr>
              <w:t> </w:t>
            </w:r>
          </w:p>
        </w:tc>
      </w:tr>
      <w:tr w:rsidR="00A70D39" w:rsidRPr="00F66921" w:rsidTr="002151A5">
        <w:trPr>
          <w:trHeight w:val="255"/>
        </w:trPr>
        <w:tc>
          <w:tcPr>
            <w:tcW w:w="6188" w:type="dxa"/>
            <w:tcBorders>
              <w:top w:val="nil"/>
              <w:left w:val="single" w:sz="4" w:space="0" w:color="auto"/>
              <w:bottom w:val="single" w:sz="4" w:space="0" w:color="auto"/>
              <w:right w:val="single" w:sz="4" w:space="0" w:color="auto"/>
            </w:tcBorders>
          </w:tcPr>
          <w:p w:rsidR="00A70D39" w:rsidRPr="00F66921" w:rsidRDefault="00A70D39" w:rsidP="002151A5">
            <w:pPr>
              <w:rPr>
                <w:b/>
                <w:bCs/>
                <w:sz w:val="24"/>
                <w:szCs w:val="24"/>
              </w:rPr>
            </w:pPr>
            <w:r w:rsidRPr="00F66921">
              <w:rPr>
                <w:b/>
                <w:bCs/>
                <w:sz w:val="24"/>
                <w:szCs w:val="24"/>
              </w:rPr>
              <w:t>Poistné a príspevok do poisťovní (620)</w:t>
            </w:r>
          </w:p>
        </w:tc>
        <w:tc>
          <w:tcPr>
            <w:tcW w:w="1698" w:type="dxa"/>
            <w:tcBorders>
              <w:top w:val="nil"/>
              <w:left w:val="nil"/>
              <w:bottom w:val="single" w:sz="4" w:space="0" w:color="auto"/>
              <w:right w:val="single" w:sz="4" w:space="0" w:color="auto"/>
            </w:tcBorders>
          </w:tcPr>
          <w:p w:rsidR="00A70D39" w:rsidRPr="00F66921" w:rsidRDefault="00A70D39" w:rsidP="002151A5">
            <w:pPr>
              <w:jc w:val="center"/>
              <w:rPr>
                <w:b/>
                <w:bCs/>
                <w:sz w:val="24"/>
                <w:szCs w:val="24"/>
              </w:rPr>
            </w:pPr>
          </w:p>
        </w:tc>
        <w:tc>
          <w:tcPr>
            <w:tcW w:w="1788" w:type="dxa"/>
            <w:tcBorders>
              <w:top w:val="nil"/>
              <w:left w:val="nil"/>
              <w:bottom w:val="single" w:sz="4" w:space="0" w:color="auto"/>
              <w:right w:val="single" w:sz="4" w:space="0" w:color="auto"/>
            </w:tcBorders>
          </w:tcPr>
          <w:p w:rsidR="00A70D39" w:rsidRPr="00F66921" w:rsidRDefault="00A70D39" w:rsidP="002151A5">
            <w:pPr>
              <w:jc w:val="center"/>
              <w:rPr>
                <w:b/>
                <w:bCs/>
                <w:sz w:val="24"/>
                <w:szCs w:val="24"/>
              </w:rPr>
            </w:pPr>
          </w:p>
        </w:tc>
        <w:tc>
          <w:tcPr>
            <w:tcW w:w="2418" w:type="dxa"/>
            <w:gridSpan w:val="2"/>
            <w:tcBorders>
              <w:top w:val="nil"/>
              <w:left w:val="nil"/>
              <w:bottom w:val="single" w:sz="4" w:space="0" w:color="auto"/>
              <w:right w:val="single" w:sz="4" w:space="0" w:color="auto"/>
            </w:tcBorders>
          </w:tcPr>
          <w:p w:rsidR="00A70D39" w:rsidRPr="00F66921" w:rsidRDefault="00A70D39" w:rsidP="002151A5">
            <w:pPr>
              <w:jc w:val="center"/>
              <w:rPr>
                <w:b/>
                <w:bCs/>
                <w:sz w:val="24"/>
                <w:szCs w:val="24"/>
              </w:rPr>
            </w:pPr>
          </w:p>
        </w:tc>
        <w:tc>
          <w:tcPr>
            <w:tcW w:w="1722" w:type="dxa"/>
            <w:tcBorders>
              <w:top w:val="nil"/>
              <w:left w:val="nil"/>
              <w:bottom w:val="single" w:sz="4" w:space="0" w:color="auto"/>
              <w:right w:val="single" w:sz="4" w:space="0" w:color="auto"/>
            </w:tcBorders>
          </w:tcPr>
          <w:p w:rsidR="00A70D39" w:rsidRPr="00F66921" w:rsidRDefault="00A70D39" w:rsidP="002151A5">
            <w:pPr>
              <w:jc w:val="center"/>
              <w:rPr>
                <w:b/>
                <w:bCs/>
                <w:sz w:val="24"/>
                <w:szCs w:val="24"/>
              </w:rPr>
            </w:pPr>
          </w:p>
        </w:tc>
        <w:tc>
          <w:tcPr>
            <w:tcW w:w="1620" w:type="dxa"/>
            <w:gridSpan w:val="2"/>
            <w:tcBorders>
              <w:top w:val="nil"/>
              <w:left w:val="nil"/>
              <w:bottom w:val="single" w:sz="4" w:space="0" w:color="auto"/>
              <w:right w:val="single" w:sz="4" w:space="0" w:color="auto"/>
            </w:tcBorders>
            <w:noWrap/>
            <w:vAlign w:val="bottom"/>
          </w:tcPr>
          <w:p w:rsidR="00A70D39" w:rsidRPr="00F66921" w:rsidRDefault="00A70D39" w:rsidP="002151A5">
            <w:pPr>
              <w:rPr>
                <w:b/>
                <w:bCs/>
                <w:sz w:val="24"/>
                <w:szCs w:val="24"/>
              </w:rPr>
            </w:pPr>
            <w:r w:rsidRPr="00F66921">
              <w:rPr>
                <w:b/>
                <w:bCs/>
                <w:sz w:val="24"/>
                <w:szCs w:val="24"/>
              </w:rPr>
              <w:t> </w:t>
            </w:r>
          </w:p>
        </w:tc>
      </w:tr>
      <w:tr w:rsidR="00A70D39" w:rsidRPr="00F66921" w:rsidTr="002151A5">
        <w:trPr>
          <w:trHeight w:val="255"/>
        </w:trPr>
        <w:tc>
          <w:tcPr>
            <w:tcW w:w="6188" w:type="dxa"/>
            <w:tcBorders>
              <w:top w:val="nil"/>
              <w:left w:val="single" w:sz="4" w:space="0" w:color="auto"/>
              <w:bottom w:val="single" w:sz="4" w:space="0" w:color="auto"/>
              <w:right w:val="single" w:sz="4" w:space="0" w:color="auto"/>
            </w:tcBorders>
          </w:tcPr>
          <w:p w:rsidR="00A70D39" w:rsidRPr="00F66921" w:rsidRDefault="00A70D39" w:rsidP="002151A5">
            <w:pPr>
              <w:rPr>
                <w:sz w:val="24"/>
                <w:szCs w:val="24"/>
              </w:rPr>
            </w:pPr>
            <w:r w:rsidRPr="00F66921">
              <w:rPr>
                <w:b/>
                <w:bCs/>
                <w:sz w:val="24"/>
                <w:szCs w:val="24"/>
              </w:rPr>
              <w:t xml:space="preserve">   z toho vplyv na ŠR</w:t>
            </w:r>
          </w:p>
        </w:tc>
        <w:tc>
          <w:tcPr>
            <w:tcW w:w="1698" w:type="dxa"/>
            <w:tcBorders>
              <w:top w:val="nil"/>
              <w:left w:val="nil"/>
              <w:bottom w:val="single" w:sz="4" w:space="0" w:color="auto"/>
              <w:right w:val="single" w:sz="4" w:space="0" w:color="auto"/>
            </w:tcBorders>
          </w:tcPr>
          <w:p w:rsidR="00A70D39" w:rsidRPr="00F66921" w:rsidRDefault="00A70D39" w:rsidP="002151A5">
            <w:pPr>
              <w:jc w:val="center"/>
              <w:rPr>
                <w:sz w:val="24"/>
                <w:szCs w:val="24"/>
              </w:rPr>
            </w:pPr>
          </w:p>
        </w:tc>
        <w:tc>
          <w:tcPr>
            <w:tcW w:w="1788" w:type="dxa"/>
            <w:tcBorders>
              <w:top w:val="nil"/>
              <w:left w:val="nil"/>
              <w:bottom w:val="single" w:sz="4" w:space="0" w:color="auto"/>
              <w:right w:val="single" w:sz="4" w:space="0" w:color="auto"/>
            </w:tcBorders>
          </w:tcPr>
          <w:p w:rsidR="00A70D39" w:rsidRPr="00F66921" w:rsidRDefault="00A70D39" w:rsidP="002151A5">
            <w:pPr>
              <w:jc w:val="center"/>
              <w:rPr>
                <w:sz w:val="24"/>
                <w:szCs w:val="24"/>
              </w:rPr>
            </w:pPr>
          </w:p>
        </w:tc>
        <w:tc>
          <w:tcPr>
            <w:tcW w:w="2418" w:type="dxa"/>
            <w:gridSpan w:val="2"/>
            <w:tcBorders>
              <w:top w:val="nil"/>
              <w:left w:val="nil"/>
              <w:bottom w:val="single" w:sz="4" w:space="0" w:color="auto"/>
              <w:right w:val="single" w:sz="4" w:space="0" w:color="auto"/>
            </w:tcBorders>
          </w:tcPr>
          <w:p w:rsidR="00A70D39" w:rsidRPr="00F66921" w:rsidRDefault="00A70D39" w:rsidP="002151A5">
            <w:pPr>
              <w:jc w:val="center"/>
              <w:rPr>
                <w:sz w:val="24"/>
                <w:szCs w:val="24"/>
              </w:rPr>
            </w:pPr>
          </w:p>
        </w:tc>
        <w:tc>
          <w:tcPr>
            <w:tcW w:w="1722" w:type="dxa"/>
            <w:tcBorders>
              <w:top w:val="nil"/>
              <w:left w:val="nil"/>
              <w:bottom w:val="single" w:sz="4" w:space="0" w:color="auto"/>
              <w:right w:val="single" w:sz="4" w:space="0" w:color="auto"/>
            </w:tcBorders>
          </w:tcPr>
          <w:p w:rsidR="00A70D39" w:rsidRPr="00F66921" w:rsidRDefault="00A70D39" w:rsidP="002151A5">
            <w:pPr>
              <w:jc w:val="center"/>
              <w:rPr>
                <w:sz w:val="24"/>
                <w:szCs w:val="24"/>
              </w:rPr>
            </w:pPr>
          </w:p>
        </w:tc>
        <w:tc>
          <w:tcPr>
            <w:tcW w:w="1620" w:type="dxa"/>
            <w:gridSpan w:val="2"/>
            <w:tcBorders>
              <w:top w:val="nil"/>
              <w:left w:val="nil"/>
              <w:bottom w:val="single" w:sz="4" w:space="0" w:color="auto"/>
              <w:right w:val="single" w:sz="4" w:space="0" w:color="auto"/>
            </w:tcBorders>
            <w:noWrap/>
            <w:vAlign w:val="bottom"/>
          </w:tcPr>
          <w:p w:rsidR="00A70D39" w:rsidRPr="00F66921" w:rsidRDefault="00A70D39" w:rsidP="002151A5">
            <w:pPr>
              <w:rPr>
                <w:sz w:val="24"/>
                <w:szCs w:val="24"/>
              </w:rPr>
            </w:pPr>
            <w:r w:rsidRPr="00F66921">
              <w:rPr>
                <w:sz w:val="24"/>
                <w:szCs w:val="24"/>
              </w:rPr>
              <w:t> </w:t>
            </w:r>
          </w:p>
        </w:tc>
      </w:tr>
      <w:tr w:rsidR="00A70D39" w:rsidRPr="00F66921" w:rsidTr="002151A5">
        <w:trPr>
          <w:trHeight w:val="255"/>
        </w:trPr>
        <w:tc>
          <w:tcPr>
            <w:tcW w:w="6188" w:type="dxa"/>
            <w:tcBorders>
              <w:top w:val="nil"/>
              <w:left w:val="nil"/>
              <w:bottom w:val="nil"/>
              <w:right w:val="nil"/>
            </w:tcBorders>
            <w:noWrap/>
            <w:vAlign w:val="bottom"/>
          </w:tcPr>
          <w:p w:rsidR="00A70D39" w:rsidRPr="00F66921" w:rsidRDefault="00A70D39" w:rsidP="002151A5">
            <w:pPr>
              <w:rPr>
                <w:sz w:val="24"/>
                <w:szCs w:val="24"/>
              </w:rPr>
            </w:pPr>
          </w:p>
        </w:tc>
        <w:tc>
          <w:tcPr>
            <w:tcW w:w="1698" w:type="dxa"/>
            <w:tcBorders>
              <w:top w:val="nil"/>
              <w:left w:val="nil"/>
              <w:bottom w:val="nil"/>
              <w:right w:val="nil"/>
            </w:tcBorders>
            <w:noWrap/>
            <w:vAlign w:val="bottom"/>
          </w:tcPr>
          <w:p w:rsidR="00A70D39" w:rsidRPr="00F66921" w:rsidRDefault="00A70D39" w:rsidP="002151A5">
            <w:pPr>
              <w:rPr>
                <w:sz w:val="24"/>
                <w:szCs w:val="24"/>
              </w:rPr>
            </w:pPr>
          </w:p>
        </w:tc>
        <w:tc>
          <w:tcPr>
            <w:tcW w:w="1788" w:type="dxa"/>
            <w:tcBorders>
              <w:top w:val="nil"/>
              <w:left w:val="nil"/>
              <w:bottom w:val="nil"/>
              <w:right w:val="nil"/>
            </w:tcBorders>
            <w:noWrap/>
            <w:vAlign w:val="bottom"/>
          </w:tcPr>
          <w:p w:rsidR="00A70D39" w:rsidRPr="00F66921" w:rsidRDefault="00A70D39" w:rsidP="002151A5">
            <w:pPr>
              <w:rPr>
                <w:sz w:val="24"/>
                <w:szCs w:val="24"/>
              </w:rPr>
            </w:pPr>
          </w:p>
        </w:tc>
        <w:tc>
          <w:tcPr>
            <w:tcW w:w="2418" w:type="dxa"/>
            <w:gridSpan w:val="2"/>
            <w:tcBorders>
              <w:top w:val="nil"/>
              <w:left w:val="nil"/>
              <w:bottom w:val="nil"/>
              <w:right w:val="nil"/>
            </w:tcBorders>
            <w:noWrap/>
            <w:vAlign w:val="bottom"/>
          </w:tcPr>
          <w:p w:rsidR="00A70D39" w:rsidRPr="00F66921" w:rsidRDefault="00A70D39" w:rsidP="002151A5">
            <w:pPr>
              <w:rPr>
                <w:sz w:val="24"/>
                <w:szCs w:val="24"/>
              </w:rPr>
            </w:pPr>
          </w:p>
        </w:tc>
        <w:tc>
          <w:tcPr>
            <w:tcW w:w="1722" w:type="dxa"/>
            <w:tcBorders>
              <w:top w:val="nil"/>
              <w:left w:val="nil"/>
              <w:bottom w:val="nil"/>
              <w:right w:val="nil"/>
            </w:tcBorders>
            <w:noWrap/>
            <w:vAlign w:val="bottom"/>
          </w:tcPr>
          <w:p w:rsidR="00A70D39" w:rsidRPr="00F66921" w:rsidRDefault="00A70D39" w:rsidP="002151A5">
            <w:pPr>
              <w:rPr>
                <w:sz w:val="24"/>
                <w:szCs w:val="24"/>
              </w:rPr>
            </w:pPr>
          </w:p>
        </w:tc>
        <w:tc>
          <w:tcPr>
            <w:tcW w:w="1620" w:type="dxa"/>
            <w:gridSpan w:val="2"/>
            <w:tcBorders>
              <w:top w:val="nil"/>
              <w:left w:val="nil"/>
              <w:bottom w:val="nil"/>
              <w:right w:val="nil"/>
            </w:tcBorders>
            <w:noWrap/>
            <w:vAlign w:val="bottom"/>
          </w:tcPr>
          <w:p w:rsidR="00A70D39" w:rsidRPr="00F66921" w:rsidRDefault="00A70D39" w:rsidP="002151A5">
            <w:pPr>
              <w:rPr>
                <w:sz w:val="24"/>
                <w:szCs w:val="24"/>
              </w:rPr>
            </w:pPr>
          </w:p>
        </w:tc>
      </w:tr>
      <w:tr w:rsidR="00A70D39" w:rsidRPr="00F66921" w:rsidTr="002151A5">
        <w:trPr>
          <w:trHeight w:val="255"/>
        </w:trPr>
        <w:tc>
          <w:tcPr>
            <w:tcW w:w="6188" w:type="dxa"/>
            <w:tcBorders>
              <w:top w:val="nil"/>
              <w:left w:val="nil"/>
              <w:bottom w:val="nil"/>
              <w:right w:val="nil"/>
            </w:tcBorders>
          </w:tcPr>
          <w:p w:rsidR="00A70D39" w:rsidRPr="00F66921" w:rsidRDefault="00A70D39" w:rsidP="002151A5">
            <w:pPr>
              <w:rPr>
                <w:b/>
                <w:bCs/>
                <w:sz w:val="24"/>
                <w:szCs w:val="24"/>
              </w:rPr>
            </w:pPr>
            <w:r w:rsidRPr="00F66921">
              <w:rPr>
                <w:b/>
                <w:bCs/>
                <w:sz w:val="24"/>
                <w:szCs w:val="24"/>
              </w:rPr>
              <w:t>Poznámky:</w:t>
            </w:r>
          </w:p>
        </w:tc>
        <w:tc>
          <w:tcPr>
            <w:tcW w:w="1698" w:type="dxa"/>
            <w:tcBorders>
              <w:top w:val="nil"/>
              <w:left w:val="nil"/>
              <w:bottom w:val="nil"/>
              <w:right w:val="nil"/>
            </w:tcBorders>
            <w:noWrap/>
            <w:vAlign w:val="bottom"/>
          </w:tcPr>
          <w:p w:rsidR="00A70D39" w:rsidRPr="00F66921" w:rsidRDefault="00A70D39" w:rsidP="002151A5">
            <w:pPr>
              <w:rPr>
                <w:sz w:val="24"/>
                <w:szCs w:val="24"/>
              </w:rPr>
            </w:pPr>
          </w:p>
        </w:tc>
        <w:tc>
          <w:tcPr>
            <w:tcW w:w="1788" w:type="dxa"/>
            <w:tcBorders>
              <w:top w:val="nil"/>
              <w:left w:val="nil"/>
              <w:bottom w:val="nil"/>
              <w:right w:val="nil"/>
            </w:tcBorders>
            <w:noWrap/>
            <w:vAlign w:val="bottom"/>
          </w:tcPr>
          <w:p w:rsidR="00A70D39" w:rsidRPr="00F66921" w:rsidRDefault="00A70D39" w:rsidP="002151A5">
            <w:pPr>
              <w:rPr>
                <w:sz w:val="24"/>
                <w:szCs w:val="24"/>
              </w:rPr>
            </w:pPr>
          </w:p>
        </w:tc>
        <w:tc>
          <w:tcPr>
            <w:tcW w:w="2418" w:type="dxa"/>
            <w:gridSpan w:val="2"/>
            <w:tcBorders>
              <w:top w:val="nil"/>
              <w:left w:val="nil"/>
              <w:bottom w:val="nil"/>
              <w:right w:val="nil"/>
            </w:tcBorders>
            <w:noWrap/>
            <w:vAlign w:val="bottom"/>
          </w:tcPr>
          <w:p w:rsidR="00A70D39" w:rsidRPr="00F66921" w:rsidRDefault="00A70D39" w:rsidP="002151A5">
            <w:pPr>
              <w:rPr>
                <w:sz w:val="24"/>
                <w:szCs w:val="24"/>
              </w:rPr>
            </w:pPr>
          </w:p>
        </w:tc>
        <w:tc>
          <w:tcPr>
            <w:tcW w:w="1722" w:type="dxa"/>
            <w:tcBorders>
              <w:top w:val="nil"/>
              <w:left w:val="nil"/>
              <w:bottom w:val="nil"/>
              <w:right w:val="nil"/>
            </w:tcBorders>
            <w:noWrap/>
            <w:vAlign w:val="bottom"/>
          </w:tcPr>
          <w:p w:rsidR="00A70D39" w:rsidRPr="00F66921" w:rsidRDefault="00A70D39" w:rsidP="002151A5">
            <w:pPr>
              <w:rPr>
                <w:sz w:val="24"/>
                <w:szCs w:val="24"/>
              </w:rPr>
            </w:pPr>
          </w:p>
        </w:tc>
        <w:tc>
          <w:tcPr>
            <w:tcW w:w="1620" w:type="dxa"/>
            <w:gridSpan w:val="2"/>
            <w:tcBorders>
              <w:top w:val="nil"/>
              <w:left w:val="nil"/>
              <w:bottom w:val="nil"/>
              <w:right w:val="nil"/>
            </w:tcBorders>
            <w:noWrap/>
            <w:vAlign w:val="bottom"/>
          </w:tcPr>
          <w:p w:rsidR="00A70D39" w:rsidRPr="00F66921" w:rsidRDefault="00A70D39" w:rsidP="002151A5">
            <w:pPr>
              <w:rPr>
                <w:sz w:val="24"/>
                <w:szCs w:val="24"/>
              </w:rPr>
            </w:pPr>
          </w:p>
        </w:tc>
      </w:tr>
      <w:tr w:rsidR="00A70D39" w:rsidRPr="00F66921" w:rsidTr="002151A5">
        <w:trPr>
          <w:trHeight w:val="255"/>
        </w:trPr>
        <w:tc>
          <w:tcPr>
            <w:tcW w:w="13814" w:type="dxa"/>
            <w:gridSpan w:val="6"/>
            <w:tcBorders>
              <w:top w:val="nil"/>
              <w:left w:val="nil"/>
              <w:bottom w:val="nil"/>
              <w:right w:val="nil"/>
            </w:tcBorders>
            <w:noWrap/>
          </w:tcPr>
          <w:p w:rsidR="00A70D39" w:rsidRPr="00F66921" w:rsidRDefault="00A70D39" w:rsidP="002151A5">
            <w:pPr>
              <w:tabs>
                <w:tab w:val="num" w:pos="1080"/>
              </w:tabs>
              <w:jc w:val="both"/>
              <w:rPr>
                <w:sz w:val="24"/>
                <w:szCs w:val="24"/>
              </w:rPr>
            </w:pPr>
            <w:r w:rsidRPr="00F66921">
              <w:rPr>
                <w:bCs/>
                <w:sz w:val="24"/>
              </w:rPr>
              <w:t>Ak sa vplyv týka viacerých subjektov verejnej správy, vypĺňa sa samostatná tabuľka za každý subjekt. Ak sa týka rôznych skupín zamestnancov, je potrebné počty, mzdy a poistné rozpísať samostatne podľa spôsobu odmeňovania (napr. policajti, colníci ...).</w:t>
            </w:r>
            <w:r w:rsidRPr="00F66921">
              <w:rPr>
                <w:sz w:val="24"/>
                <w:szCs w:val="24"/>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A70D39" w:rsidRPr="00F66921" w:rsidRDefault="00A70D39" w:rsidP="002151A5">
            <w:pPr>
              <w:rPr>
                <w:sz w:val="24"/>
                <w:szCs w:val="24"/>
              </w:rPr>
            </w:pPr>
          </w:p>
        </w:tc>
      </w:tr>
      <w:tr w:rsidR="00A70D39" w:rsidRPr="00F66921" w:rsidTr="002151A5">
        <w:trPr>
          <w:trHeight w:val="255"/>
        </w:trPr>
        <w:tc>
          <w:tcPr>
            <w:tcW w:w="10394" w:type="dxa"/>
            <w:gridSpan w:val="4"/>
            <w:tcBorders>
              <w:top w:val="nil"/>
              <w:left w:val="nil"/>
              <w:bottom w:val="nil"/>
              <w:right w:val="nil"/>
            </w:tcBorders>
            <w:noWrap/>
            <w:vAlign w:val="bottom"/>
          </w:tcPr>
          <w:p w:rsidR="00A70D39" w:rsidRPr="00F66921" w:rsidRDefault="00A70D39" w:rsidP="002151A5">
            <w:pPr>
              <w:rPr>
                <w:sz w:val="24"/>
                <w:szCs w:val="24"/>
              </w:rPr>
            </w:pPr>
            <w:r w:rsidRPr="00F66921">
              <w:rPr>
                <w:sz w:val="24"/>
                <w:szCs w:val="24"/>
              </w:rPr>
              <w:t>Kategórie 610 a 620 sú z tejto prílohy prenášané do príslušných kategórií prílohy „výdavky“.</w:t>
            </w:r>
          </w:p>
        </w:tc>
        <w:tc>
          <w:tcPr>
            <w:tcW w:w="1698" w:type="dxa"/>
            <w:tcBorders>
              <w:top w:val="nil"/>
              <w:left w:val="nil"/>
              <w:bottom w:val="nil"/>
              <w:right w:val="nil"/>
            </w:tcBorders>
            <w:noWrap/>
            <w:vAlign w:val="bottom"/>
          </w:tcPr>
          <w:p w:rsidR="00A70D39" w:rsidRPr="00F66921" w:rsidRDefault="00A70D39" w:rsidP="002151A5">
            <w:pPr>
              <w:rPr>
                <w:sz w:val="24"/>
                <w:szCs w:val="24"/>
              </w:rPr>
            </w:pPr>
          </w:p>
        </w:tc>
        <w:tc>
          <w:tcPr>
            <w:tcW w:w="2352" w:type="dxa"/>
            <w:gridSpan w:val="2"/>
            <w:tcBorders>
              <w:top w:val="nil"/>
              <w:left w:val="nil"/>
              <w:bottom w:val="nil"/>
              <w:right w:val="nil"/>
            </w:tcBorders>
            <w:noWrap/>
            <w:vAlign w:val="bottom"/>
          </w:tcPr>
          <w:p w:rsidR="00A70D39" w:rsidRPr="00F66921" w:rsidRDefault="00A70D39" w:rsidP="002151A5">
            <w:pPr>
              <w:rPr>
                <w:sz w:val="24"/>
                <w:szCs w:val="24"/>
              </w:rPr>
            </w:pPr>
          </w:p>
        </w:tc>
        <w:tc>
          <w:tcPr>
            <w:tcW w:w="990" w:type="dxa"/>
            <w:tcBorders>
              <w:top w:val="nil"/>
              <w:left w:val="nil"/>
              <w:bottom w:val="nil"/>
              <w:right w:val="nil"/>
            </w:tcBorders>
            <w:noWrap/>
            <w:vAlign w:val="bottom"/>
          </w:tcPr>
          <w:p w:rsidR="00A70D39" w:rsidRPr="00F66921" w:rsidRDefault="00A70D39" w:rsidP="002151A5">
            <w:pPr>
              <w:rPr>
                <w:sz w:val="24"/>
                <w:szCs w:val="24"/>
              </w:rPr>
            </w:pPr>
          </w:p>
        </w:tc>
      </w:tr>
    </w:tbl>
    <w:p w:rsidR="00A70D39" w:rsidRPr="00F66921" w:rsidRDefault="00A70D39" w:rsidP="00A70D39">
      <w:pPr>
        <w:rPr>
          <w:b/>
          <w:bCs/>
          <w:sz w:val="24"/>
          <w:szCs w:val="24"/>
        </w:rPr>
        <w:sectPr w:rsidR="00A70D39" w:rsidRPr="00F66921">
          <w:pgSz w:w="16838" w:h="11906" w:orient="landscape"/>
          <w:pgMar w:top="1418" w:right="1418" w:bottom="1418" w:left="1418" w:header="709" w:footer="709" w:gutter="0"/>
          <w:cols w:space="708"/>
          <w:docGrid w:linePitch="360"/>
        </w:sectPr>
      </w:pPr>
    </w:p>
    <w:tbl>
      <w:tblPr>
        <w:tblStyle w:val="Mriekatabuky"/>
        <w:tblW w:w="0" w:type="auto"/>
        <w:tblLook w:val="04A0" w:firstRow="1" w:lastRow="0" w:firstColumn="1" w:lastColumn="0" w:noHBand="0" w:noVBand="1"/>
      </w:tblPr>
      <w:tblGrid>
        <w:gridCol w:w="9212"/>
      </w:tblGrid>
      <w:tr w:rsidR="00A70D39" w:rsidRPr="00F66921" w:rsidTr="002151A5">
        <w:trPr>
          <w:trHeight w:val="567"/>
        </w:trPr>
        <w:tc>
          <w:tcPr>
            <w:tcW w:w="9212" w:type="dxa"/>
            <w:shd w:val="clear" w:color="auto" w:fill="D9D9D9" w:themeFill="background1" w:themeFillShade="D9"/>
          </w:tcPr>
          <w:p w:rsidR="00A70D39" w:rsidRPr="00F66921" w:rsidRDefault="00A70D39" w:rsidP="002151A5">
            <w:pPr>
              <w:jc w:val="center"/>
              <w:rPr>
                <w:b/>
                <w:sz w:val="24"/>
              </w:rPr>
            </w:pPr>
            <w:r w:rsidRPr="00F66921">
              <w:rPr>
                <w:b/>
                <w:sz w:val="28"/>
              </w:rPr>
              <w:t xml:space="preserve">Analýza vplyvov na podnikateľské prostredie </w:t>
            </w:r>
          </w:p>
          <w:p w:rsidR="00A70D39" w:rsidRPr="00F66921" w:rsidRDefault="00A70D39" w:rsidP="002151A5">
            <w:pPr>
              <w:jc w:val="center"/>
              <w:rPr>
                <w:b/>
              </w:rPr>
            </w:pPr>
            <w:r w:rsidRPr="00F66921">
              <w:rPr>
                <w:b/>
                <w:sz w:val="24"/>
              </w:rPr>
              <w:t>(vrátane testu MSP)</w:t>
            </w:r>
          </w:p>
        </w:tc>
      </w:tr>
      <w:tr w:rsidR="00A70D39" w:rsidRPr="00F66921" w:rsidTr="002151A5">
        <w:trPr>
          <w:trHeight w:val="567"/>
        </w:trPr>
        <w:tc>
          <w:tcPr>
            <w:tcW w:w="9212" w:type="dxa"/>
            <w:shd w:val="clear" w:color="auto" w:fill="D9D9D9" w:themeFill="background1" w:themeFillShade="D9"/>
          </w:tcPr>
          <w:p w:rsidR="00A70D39" w:rsidRPr="00F66921" w:rsidRDefault="00A70D39" w:rsidP="002151A5">
            <w:pPr>
              <w:rPr>
                <w:b/>
                <w:sz w:val="24"/>
              </w:rPr>
            </w:pPr>
            <w:r w:rsidRPr="00F66921">
              <w:rPr>
                <w:b/>
                <w:sz w:val="24"/>
              </w:rPr>
              <w:t>Materiál bude mať vplyv s ohľadom na veľkostnú kategóriu podnikov:</w:t>
            </w:r>
          </w:p>
        </w:tc>
      </w:tr>
      <w:tr w:rsidR="00A70D39" w:rsidRPr="00F66921" w:rsidTr="002151A5">
        <w:trPr>
          <w:trHeight w:val="567"/>
        </w:trPr>
        <w:tc>
          <w:tcPr>
            <w:tcW w:w="9212"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545"/>
            </w:tblGrid>
            <w:tr w:rsidR="00A70D39" w:rsidRPr="00F66921" w:rsidTr="002151A5">
              <w:tc>
                <w:tcPr>
                  <w:tcW w:w="436" w:type="dxa"/>
                  <w:tcBorders>
                    <w:top w:val="nil"/>
                    <w:left w:val="nil"/>
                    <w:bottom w:val="nil"/>
                    <w:right w:val="nil"/>
                  </w:tcBorders>
                </w:tcPr>
                <w:p w:rsidR="00A70D39" w:rsidRPr="00F66921" w:rsidRDefault="00A70D39" w:rsidP="002151A5">
                  <w:pPr>
                    <w:jc w:val="center"/>
                  </w:pPr>
                  <w:r w:rsidRPr="00F66921">
                    <w:rPr>
                      <w:rFonts w:ascii="MS Mincho" w:eastAsia="MS Mincho" w:hAnsi="MS Mincho" w:cs="MS Mincho" w:hint="eastAsia"/>
                    </w:rPr>
                    <w:t>☐</w:t>
                  </w:r>
                </w:p>
              </w:tc>
              <w:tc>
                <w:tcPr>
                  <w:tcW w:w="8545" w:type="dxa"/>
                  <w:tcBorders>
                    <w:top w:val="nil"/>
                    <w:left w:val="nil"/>
                    <w:bottom w:val="nil"/>
                    <w:right w:val="nil"/>
                  </w:tcBorders>
                </w:tcPr>
                <w:p w:rsidR="00A70D39" w:rsidRPr="00F66921" w:rsidRDefault="00A70D39" w:rsidP="002151A5">
                  <w:pPr>
                    <w:rPr>
                      <w:b/>
                    </w:rPr>
                  </w:pPr>
                  <w:r w:rsidRPr="00F66921">
                    <w:rPr>
                      <w:b/>
                    </w:rPr>
                    <w:t xml:space="preserve">iba na MSP (0 - 249 zamestnancov) </w:t>
                  </w:r>
                </w:p>
              </w:tc>
            </w:tr>
            <w:tr w:rsidR="00A70D39" w:rsidRPr="00F66921" w:rsidTr="002151A5">
              <w:tc>
                <w:tcPr>
                  <w:tcW w:w="436" w:type="dxa"/>
                  <w:tcBorders>
                    <w:top w:val="nil"/>
                    <w:left w:val="nil"/>
                    <w:bottom w:val="nil"/>
                    <w:right w:val="nil"/>
                  </w:tcBorders>
                </w:tcPr>
                <w:p w:rsidR="00A70D39" w:rsidRPr="00F66921" w:rsidRDefault="00A70D39" w:rsidP="002151A5">
                  <w:pPr>
                    <w:jc w:val="center"/>
                  </w:pPr>
                  <w:r w:rsidRPr="00F66921">
                    <w:rPr>
                      <w:rFonts w:ascii="MS Mincho" w:eastAsia="MS Mincho" w:hAnsi="MS Mincho" w:cs="MS Mincho" w:hint="eastAsia"/>
                    </w:rPr>
                    <w:t>☐</w:t>
                  </w:r>
                </w:p>
              </w:tc>
              <w:tc>
                <w:tcPr>
                  <w:tcW w:w="8545" w:type="dxa"/>
                  <w:tcBorders>
                    <w:top w:val="nil"/>
                    <w:left w:val="nil"/>
                    <w:bottom w:val="nil"/>
                    <w:right w:val="nil"/>
                  </w:tcBorders>
                </w:tcPr>
                <w:p w:rsidR="00A70D39" w:rsidRPr="00F66921" w:rsidRDefault="00A70D39" w:rsidP="002151A5">
                  <w:pPr>
                    <w:rPr>
                      <w:b/>
                    </w:rPr>
                  </w:pPr>
                  <w:r w:rsidRPr="00F66921">
                    <w:rPr>
                      <w:b/>
                    </w:rPr>
                    <w:t>iba na veľké podniky (250 a viac zamestnancov)</w:t>
                  </w:r>
                </w:p>
              </w:tc>
            </w:tr>
            <w:tr w:rsidR="00A70D39" w:rsidRPr="00F66921" w:rsidTr="002151A5">
              <w:tc>
                <w:tcPr>
                  <w:tcW w:w="436" w:type="dxa"/>
                  <w:tcBorders>
                    <w:top w:val="nil"/>
                    <w:left w:val="nil"/>
                    <w:bottom w:val="nil"/>
                    <w:right w:val="nil"/>
                  </w:tcBorders>
                </w:tcPr>
                <w:p w:rsidR="00A70D39" w:rsidRPr="00F66921" w:rsidRDefault="00A70D39" w:rsidP="002151A5">
                  <w:pPr>
                    <w:jc w:val="center"/>
                  </w:pPr>
                  <w:r w:rsidRPr="00F66921">
                    <w:rPr>
                      <w:rFonts w:ascii="MS Gothic" w:eastAsia="MS Gothic" w:hAnsi="MS Gothic" w:hint="eastAsia"/>
                    </w:rPr>
                    <w:t>☒</w:t>
                  </w:r>
                </w:p>
              </w:tc>
              <w:tc>
                <w:tcPr>
                  <w:tcW w:w="8545" w:type="dxa"/>
                  <w:tcBorders>
                    <w:top w:val="nil"/>
                    <w:left w:val="nil"/>
                    <w:bottom w:val="nil"/>
                    <w:right w:val="nil"/>
                  </w:tcBorders>
                </w:tcPr>
                <w:p w:rsidR="00A70D39" w:rsidRPr="00F66921" w:rsidRDefault="00A70D39" w:rsidP="002151A5">
                  <w:r w:rsidRPr="00F66921">
                    <w:rPr>
                      <w:b/>
                    </w:rPr>
                    <w:t>na všetky kategórie podnikov</w:t>
                  </w:r>
                </w:p>
              </w:tc>
            </w:tr>
          </w:tbl>
          <w:p w:rsidR="00A70D39" w:rsidRPr="00F66921" w:rsidRDefault="00A70D39" w:rsidP="002151A5">
            <w:pPr>
              <w:rPr>
                <w:b/>
              </w:rPr>
            </w:pPr>
          </w:p>
        </w:tc>
      </w:tr>
      <w:tr w:rsidR="00A70D39" w:rsidRPr="00F66921" w:rsidTr="002151A5">
        <w:tc>
          <w:tcPr>
            <w:tcW w:w="9212" w:type="dxa"/>
            <w:shd w:val="clear" w:color="auto" w:fill="D9D9D9" w:themeFill="background1" w:themeFillShade="D9"/>
          </w:tcPr>
          <w:p w:rsidR="00A70D39" w:rsidRPr="00F66921" w:rsidRDefault="00A70D39" w:rsidP="002151A5">
            <w:pPr>
              <w:rPr>
                <w:b/>
                <w:sz w:val="24"/>
              </w:rPr>
            </w:pPr>
            <w:r w:rsidRPr="00F66921">
              <w:rPr>
                <w:b/>
                <w:sz w:val="24"/>
              </w:rPr>
              <w:t>3.1 Dotknuté podnikateľské subjekty</w:t>
            </w:r>
          </w:p>
          <w:p w:rsidR="00A70D39" w:rsidRPr="00F66921" w:rsidRDefault="00A70D39" w:rsidP="002151A5">
            <w:pPr>
              <w:ind w:left="284"/>
              <w:rPr>
                <w:b/>
              </w:rPr>
            </w:pPr>
            <w:r w:rsidRPr="00F66921">
              <w:rPr>
                <w:sz w:val="24"/>
              </w:rPr>
              <w:t xml:space="preserve"> - </w:t>
            </w:r>
            <w:r w:rsidRPr="00F66921">
              <w:rPr>
                <w:b/>
                <w:sz w:val="24"/>
              </w:rPr>
              <w:t>z toho MSP</w:t>
            </w:r>
          </w:p>
        </w:tc>
      </w:tr>
      <w:tr w:rsidR="00A70D39" w:rsidRPr="00F66921" w:rsidTr="002151A5">
        <w:tc>
          <w:tcPr>
            <w:tcW w:w="9212" w:type="dxa"/>
          </w:tcPr>
          <w:p w:rsidR="00A70D39" w:rsidRPr="00F66921" w:rsidRDefault="00A70D39" w:rsidP="002151A5">
            <w:pPr>
              <w:rPr>
                <w:i/>
              </w:rPr>
            </w:pPr>
            <w:r w:rsidRPr="00F66921">
              <w:rPr>
                <w:i/>
              </w:rPr>
              <w:t>Uveďte, aké podnikateľské subjekty budú predkladaným návrhom ovplyvnené.</w:t>
            </w:r>
          </w:p>
          <w:p w:rsidR="00A70D39" w:rsidRPr="00F66921" w:rsidRDefault="00A70D39" w:rsidP="002151A5">
            <w:pPr>
              <w:rPr>
                <w:i/>
              </w:rPr>
            </w:pPr>
            <w:r w:rsidRPr="00F66921">
              <w:rPr>
                <w:i/>
              </w:rPr>
              <w:t>Aký je ich počet?</w:t>
            </w:r>
          </w:p>
        </w:tc>
      </w:tr>
      <w:tr w:rsidR="00A70D39" w:rsidRPr="00F66921" w:rsidTr="002151A5">
        <w:trPr>
          <w:trHeight w:val="963"/>
        </w:trPr>
        <w:tc>
          <w:tcPr>
            <w:tcW w:w="9212" w:type="dxa"/>
          </w:tcPr>
          <w:p w:rsidR="00A70D39" w:rsidRPr="00F66921" w:rsidRDefault="00A70D39" w:rsidP="002151A5">
            <w:pPr>
              <w:jc w:val="both"/>
              <w:rPr>
                <w:i/>
              </w:rPr>
            </w:pPr>
            <w:r w:rsidRPr="00F66921">
              <w:t>Všeobecne sa predpokladá, že návrh zákona ovplyvní tie podnikateľské subjekty, ktoré podnikajú s alkoholickými nápojmi podľa  zákona č. 530/2011 Z. z. o spotrebnej dani z alkoholických nápojov v znení neskorších predpisov.</w:t>
            </w:r>
          </w:p>
        </w:tc>
      </w:tr>
      <w:tr w:rsidR="00A70D39" w:rsidRPr="00F66921" w:rsidTr="002151A5">
        <w:trPr>
          <w:trHeight w:val="339"/>
        </w:trPr>
        <w:tc>
          <w:tcPr>
            <w:tcW w:w="9212" w:type="dxa"/>
            <w:shd w:val="clear" w:color="auto" w:fill="D9D9D9" w:themeFill="background1" w:themeFillShade="D9"/>
          </w:tcPr>
          <w:p w:rsidR="00A70D39" w:rsidRPr="00F66921" w:rsidRDefault="00A70D39" w:rsidP="002151A5">
            <w:pPr>
              <w:rPr>
                <w:b/>
                <w:sz w:val="24"/>
              </w:rPr>
            </w:pPr>
            <w:r w:rsidRPr="00F66921">
              <w:rPr>
                <w:b/>
                <w:sz w:val="24"/>
              </w:rPr>
              <w:t>3.2 Vyhodnotenie konzultácií</w:t>
            </w:r>
          </w:p>
          <w:p w:rsidR="00A70D39" w:rsidRPr="00F66921" w:rsidRDefault="00A70D39" w:rsidP="002151A5">
            <w:pPr>
              <w:rPr>
                <w:b/>
              </w:rPr>
            </w:pPr>
            <w:r w:rsidRPr="00F66921">
              <w:rPr>
                <w:sz w:val="24"/>
              </w:rPr>
              <w:t xml:space="preserve">       - </w:t>
            </w:r>
            <w:r w:rsidRPr="00F66921">
              <w:rPr>
                <w:b/>
                <w:sz w:val="24"/>
              </w:rPr>
              <w:t>z toho MSP</w:t>
            </w:r>
          </w:p>
        </w:tc>
      </w:tr>
      <w:tr w:rsidR="00A70D39" w:rsidRPr="00F66921" w:rsidTr="002151A5">
        <w:trPr>
          <w:trHeight w:val="557"/>
        </w:trPr>
        <w:tc>
          <w:tcPr>
            <w:tcW w:w="9212" w:type="dxa"/>
          </w:tcPr>
          <w:p w:rsidR="00A70D39" w:rsidRPr="00F66921" w:rsidRDefault="00A70D39" w:rsidP="002151A5">
            <w:pPr>
              <w:rPr>
                <w:i/>
              </w:rPr>
            </w:pPr>
            <w:r w:rsidRPr="00F66921">
              <w:rPr>
                <w:i/>
              </w:rPr>
              <w:t>Uveďte, akou formou (verejné alebo cielené konzultácie a prečo) a s kým bol návrh konzultovaný.</w:t>
            </w:r>
          </w:p>
          <w:p w:rsidR="00A70D39" w:rsidRPr="00F66921" w:rsidRDefault="00A70D39" w:rsidP="002151A5">
            <w:pPr>
              <w:rPr>
                <w:i/>
              </w:rPr>
            </w:pPr>
            <w:r w:rsidRPr="00F66921">
              <w:rPr>
                <w:i/>
              </w:rPr>
              <w:t>Ako dlho trvali konzultácie?</w:t>
            </w:r>
          </w:p>
          <w:p w:rsidR="00A70D39" w:rsidRPr="00F66921" w:rsidRDefault="00A70D39" w:rsidP="002151A5">
            <w:pPr>
              <w:rPr>
                <w:i/>
              </w:rPr>
            </w:pPr>
            <w:r w:rsidRPr="00F66921">
              <w:rPr>
                <w:i/>
              </w:rPr>
              <w:t xml:space="preserve">Uveďte hlavné body konzultácií a výsledky konzultácií. </w:t>
            </w:r>
          </w:p>
        </w:tc>
      </w:tr>
      <w:tr w:rsidR="00A70D39" w:rsidRPr="00F66921" w:rsidTr="002151A5">
        <w:trPr>
          <w:trHeight w:val="1689"/>
        </w:trPr>
        <w:tc>
          <w:tcPr>
            <w:tcW w:w="9212" w:type="dxa"/>
          </w:tcPr>
          <w:p w:rsidR="00A70D39" w:rsidRPr="00F66921" w:rsidRDefault="00A70D39" w:rsidP="002151A5">
            <w:pPr>
              <w:jc w:val="both"/>
            </w:pPr>
            <w:r w:rsidRPr="00F66921">
              <w:t>Verejnosť bola o príprave návrhu zákona, ktorým sa mení a dopĺňa zákon č. 530/2011 Z. z.  o spotrebnej dani z alkoholických nápojov v znení neskorších predpisov informovaná prostredníctvom predbežnej informácie zverejnenej v informačnom systéme verejnej správy Slov-Lex (PI/2020/34) od 28. februára 2020 do 16. marca 2020.</w:t>
            </w:r>
          </w:p>
          <w:p w:rsidR="00A70D39" w:rsidRPr="00F66921" w:rsidRDefault="00A70D39" w:rsidP="002151A5">
            <w:pPr>
              <w:jc w:val="both"/>
              <w:rPr>
                <w:i/>
              </w:rPr>
            </w:pPr>
            <w:r w:rsidRPr="00F66921">
              <w:t>K predbežnej informácii prostredníctvom systému Slov-Lex neboli uplatnené žiadne pripomienky ani návrhy.</w:t>
            </w:r>
          </w:p>
        </w:tc>
      </w:tr>
      <w:tr w:rsidR="00A70D39" w:rsidRPr="00F66921" w:rsidTr="002151A5">
        <w:tc>
          <w:tcPr>
            <w:tcW w:w="9212" w:type="dxa"/>
            <w:shd w:val="clear" w:color="auto" w:fill="D9D9D9" w:themeFill="background1" w:themeFillShade="D9"/>
          </w:tcPr>
          <w:p w:rsidR="00A70D39" w:rsidRPr="00F66921" w:rsidRDefault="00A70D39" w:rsidP="002151A5">
            <w:pPr>
              <w:rPr>
                <w:b/>
                <w:sz w:val="24"/>
              </w:rPr>
            </w:pPr>
            <w:r w:rsidRPr="00F66921">
              <w:rPr>
                <w:b/>
                <w:sz w:val="24"/>
              </w:rPr>
              <w:t>3.3 Náklady regulácie</w:t>
            </w:r>
          </w:p>
          <w:p w:rsidR="00A70D39" w:rsidRPr="00F66921" w:rsidRDefault="00A70D39" w:rsidP="002151A5">
            <w:pPr>
              <w:rPr>
                <w:b/>
              </w:rPr>
            </w:pPr>
            <w:r w:rsidRPr="00F66921">
              <w:rPr>
                <w:sz w:val="24"/>
              </w:rPr>
              <w:t xml:space="preserve">      - </w:t>
            </w:r>
            <w:r w:rsidRPr="00F66921">
              <w:rPr>
                <w:b/>
                <w:sz w:val="24"/>
              </w:rPr>
              <w:t>z toho MSP</w:t>
            </w:r>
          </w:p>
        </w:tc>
      </w:tr>
      <w:tr w:rsidR="00A70D39" w:rsidRPr="00F66921" w:rsidTr="002151A5">
        <w:tc>
          <w:tcPr>
            <w:tcW w:w="9212" w:type="dxa"/>
          </w:tcPr>
          <w:p w:rsidR="00A70D39" w:rsidRPr="00F66921" w:rsidRDefault="00A70D39" w:rsidP="002151A5">
            <w:pPr>
              <w:rPr>
                <w:b/>
                <w:i/>
              </w:rPr>
            </w:pPr>
            <w:r w:rsidRPr="00F66921">
              <w:rPr>
                <w:b/>
                <w:i/>
              </w:rPr>
              <w:t>3.3.1 Priame finančné náklady</w:t>
            </w:r>
          </w:p>
          <w:p w:rsidR="00A70D39" w:rsidRPr="00F66921" w:rsidRDefault="00A70D39" w:rsidP="002151A5">
            <w:pPr>
              <w:rPr>
                <w:i/>
              </w:rPr>
            </w:pPr>
            <w:r w:rsidRPr="00F66921">
              <w:rPr>
                <w:i/>
              </w:rPr>
              <w:t xml:space="preserve">Dochádza k zvýšeniu/zníženiu priamych finančných nákladov (poplatky, odvody, dane clá...)? Ak áno, popíšte a vyčíslite ich. Uveďte tiež spôsob ich výpočtu. </w:t>
            </w:r>
          </w:p>
        </w:tc>
      </w:tr>
      <w:tr w:rsidR="00A70D39" w:rsidRPr="00F66921" w:rsidTr="002151A5">
        <w:tc>
          <w:tcPr>
            <w:tcW w:w="9212" w:type="dxa"/>
          </w:tcPr>
          <w:p w:rsidR="00A70D39" w:rsidRPr="00F66921" w:rsidRDefault="00A70D39" w:rsidP="002151A5">
            <w:pPr>
              <w:jc w:val="both"/>
              <w:rPr>
                <w:b/>
                <w:i/>
              </w:rPr>
            </w:pPr>
            <w:r w:rsidRPr="00F66921">
              <w:t>Nepredpokladá sa zvýšenie / zníženie priamych finančných nákladov.</w:t>
            </w:r>
          </w:p>
        </w:tc>
      </w:tr>
      <w:tr w:rsidR="00A70D39" w:rsidRPr="00F66921" w:rsidTr="002151A5">
        <w:tc>
          <w:tcPr>
            <w:tcW w:w="9212" w:type="dxa"/>
          </w:tcPr>
          <w:p w:rsidR="00A70D39" w:rsidRPr="00F66921" w:rsidRDefault="00A70D39" w:rsidP="002151A5">
            <w:pPr>
              <w:rPr>
                <w:b/>
                <w:i/>
              </w:rPr>
            </w:pPr>
            <w:r w:rsidRPr="00F66921">
              <w:rPr>
                <w:b/>
                <w:i/>
              </w:rPr>
              <w:t>3.3.2 Nepriame finančné náklady</w:t>
            </w:r>
          </w:p>
          <w:p w:rsidR="00A70D39" w:rsidRPr="00F66921" w:rsidRDefault="00A70D39" w:rsidP="002151A5">
            <w:pPr>
              <w:rPr>
                <w:i/>
              </w:rPr>
            </w:pPr>
            <w:r w:rsidRPr="00F66921">
              <w:rPr>
                <w:i/>
              </w:rPr>
              <w:t>Vyžaduje si predkladaný návrh dodatočné náklady na nákup tovarov alebo služieb? Zvyšuje predkladaný návrh náklady súvisiace so zamestnávaním? Ak áno, popíšte a vyčíslite ich. Uveďte tiež spôsob ich výpočtu.</w:t>
            </w:r>
          </w:p>
        </w:tc>
      </w:tr>
      <w:tr w:rsidR="00A70D39" w:rsidRPr="00F66921" w:rsidTr="002151A5">
        <w:tc>
          <w:tcPr>
            <w:tcW w:w="9212" w:type="dxa"/>
          </w:tcPr>
          <w:p w:rsidR="00A70D39" w:rsidRPr="00F66921" w:rsidRDefault="00A70D39" w:rsidP="002151A5">
            <w:r w:rsidRPr="00F66921">
              <w:t>Nepredpokladajú sa nepriame finančné náklady.</w:t>
            </w:r>
          </w:p>
          <w:p w:rsidR="00A70D39" w:rsidRPr="00F66921" w:rsidRDefault="00A70D39" w:rsidP="002151A5">
            <w:pPr>
              <w:rPr>
                <w:b/>
                <w:i/>
              </w:rPr>
            </w:pPr>
          </w:p>
        </w:tc>
      </w:tr>
      <w:tr w:rsidR="00A70D39" w:rsidRPr="00F66921" w:rsidTr="002151A5">
        <w:tc>
          <w:tcPr>
            <w:tcW w:w="9212" w:type="dxa"/>
          </w:tcPr>
          <w:p w:rsidR="00A70D39" w:rsidRPr="00F66921" w:rsidRDefault="00A70D39" w:rsidP="002151A5">
            <w:pPr>
              <w:rPr>
                <w:b/>
                <w:i/>
              </w:rPr>
            </w:pPr>
            <w:r w:rsidRPr="00F66921">
              <w:rPr>
                <w:b/>
                <w:i/>
              </w:rPr>
              <w:t>3.3.3 Administratívne náklady</w:t>
            </w:r>
          </w:p>
          <w:p w:rsidR="00A70D39" w:rsidRPr="00F66921" w:rsidRDefault="00A70D39" w:rsidP="002151A5">
            <w:pPr>
              <w:rPr>
                <w:i/>
              </w:rPr>
            </w:pPr>
            <w:r w:rsidRPr="00F66921">
              <w:rPr>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A70D39" w:rsidRPr="00F66921" w:rsidTr="002151A5">
        <w:trPr>
          <w:trHeight w:val="947"/>
        </w:trPr>
        <w:tc>
          <w:tcPr>
            <w:tcW w:w="9212" w:type="dxa"/>
          </w:tcPr>
          <w:p w:rsidR="00A70D39" w:rsidRPr="00F66921" w:rsidRDefault="00A70D39" w:rsidP="002151A5">
            <w:pPr>
              <w:jc w:val="both"/>
            </w:pPr>
            <w:r w:rsidRPr="00F66921">
              <w:t>Predpokladá sa zvýšenie administratívnej záťaže pre tie subjekty, ktoré budú povinné požiadať colný úrad o registráciu schváleného odosielateľa, schváleného príjemcu a o zaradenie do evidencie prevádzkovateľov malých samostatných pivovarov. Uvedené náklady nie je možné jednoznačne kvantifikovať.</w:t>
            </w:r>
          </w:p>
        </w:tc>
      </w:tr>
      <w:tr w:rsidR="00A70D39" w:rsidRPr="00F66921" w:rsidTr="002151A5">
        <w:trPr>
          <w:trHeight w:val="2318"/>
        </w:trPr>
        <w:tc>
          <w:tcPr>
            <w:tcW w:w="9212" w:type="dxa"/>
          </w:tcPr>
          <w:p w:rsidR="00A70D39" w:rsidRPr="00F66921" w:rsidRDefault="00A70D39" w:rsidP="002151A5">
            <w:pPr>
              <w:rPr>
                <w:i/>
              </w:rPr>
            </w:pPr>
            <w:r w:rsidRPr="00F66921">
              <w:rPr>
                <w:b/>
                <w:i/>
              </w:rPr>
              <w:t>3.3.4 Súhrnná tabuľka nákladov regulácie</w:t>
            </w:r>
          </w:p>
          <w:p w:rsidR="00A70D39" w:rsidRPr="00F66921" w:rsidRDefault="00A70D39" w:rsidP="002151A5">
            <w:pPr>
              <w:rPr>
                <w:i/>
              </w:rPr>
            </w:pPr>
          </w:p>
          <w:tbl>
            <w:tblPr>
              <w:tblStyle w:val="Mriekatabuky"/>
              <w:tblW w:w="0" w:type="auto"/>
              <w:tblLook w:val="04A0" w:firstRow="1" w:lastRow="0" w:firstColumn="1" w:lastColumn="0" w:noHBand="0" w:noVBand="1"/>
            </w:tblPr>
            <w:tblGrid>
              <w:gridCol w:w="2993"/>
              <w:gridCol w:w="2994"/>
              <w:gridCol w:w="2994"/>
            </w:tblGrid>
            <w:tr w:rsidR="00A70D39" w:rsidRPr="00F66921" w:rsidTr="002151A5">
              <w:tc>
                <w:tcPr>
                  <w:tcW w:w="2993" w:type="dxa"/>
                  <w:tcBorders>
                    <w:top w:val="single" w:sz="4" w:space="0" w:color="auto"/>
                    <w:left w:val="single" w:sz="4" w:space="0" w:color="auto"/>
                    <w:bottom w:val="single" w:sz="4" w:space="0" w:color="auto"/>
                    <w:right w:val="single" w:sz="4" w:space="0" w:color="auto"/>
                  </w:tcBorders>
                </w:tcPr>
                <w:p w:rsidR="00A70D39" w:rsidRPr="00F66921" w:rsidRDefault="00A70D39" w:rsidP="002151A5">
                  <w:pPr>
                    <w:rPr>
                      <w:i/>
                    </w:rPr>
                  </w:pPr>
                </w:p>
              </w:tc>
              <w:tc>
                <w:tcPr>
                  <w:tcW w:w="2994" w:type="dxa"/>
                  <w:tcBorders>
                    <w:top w:val="single" w:sz="4" w:space="0" w:color="auto"/>
                    <w:left w:val="single" w:sz="4" w:space="0" w:color="auto"/>
                    <w:bottom w:val="single" w:sz="4" w:space="0" w:color="auto"/>
                    <w:right w:val="single" w:sz="4" w:space="0" w:color="auto"/>
                  </w:tcBorders>
                </w:tcPr>
                <w:p w:rsidR="00A70D39" w:rsidRPr="00F66921" w:rsidRDefault="00A70D39" w:rsidP="002151A5">
                  <w:pPr>
                    <w:jc w:val="center"/>
                    <w:rPr>
                      <w:i/>
                    </w:rPr>
                  </w:pPr>
                  <w:r w:rsidRPr="00F66921">
                    <w:rPr>
                      <w:i/>
                    </w:rPr>
                    <w:t>Náklady na 1 podnikateľa</w:t>
                  </w:r>
                </w:p>
              </w:tc>
              <w:tc>
                <w:tcPr>
                  <w:tcW w:w="2994" w:type="dxa"/>
                  <w:tcBorders>
                    <w:top w:val="single" w:sz="4" w:space="0" w:color="auto"/>
                    <w:left w:val="single" w:sz="4" w:space="0" w:color="auto"/>
                    <w:bottom w:val="single" w:sz="4" w:space="0" w:color="auto"/>
                    <w:right w:val="single" w:sz="4" w:space="0" w:color="auto"/>
                  </w:tcBorders>
                </w:tcPr>
                <w:p w:rsidR="00A70D39" w:rsidRPr="00F66921" w:rsidRDefault="00A70D39" w:rsidP="002151A5">
                  <w:pPr>
                    <w:jc w:val="center"/>
                    <w:rPr>
                      <w:i/>
                    </w:rPr>
                  </w:pPr>
                  <w:r w:rsidRPr="00F66921">
                    <w:rPr>
                      <w:i/>
                    </w:rPr>
                    <w:t>Náklady na celé podnikateľské prostredie</w:t>
                  </w:r>
                </w:p>
              </w:tc>
            </w:tr>
            <w:tr w:rsidR="00A70D39" w:rsidRPr="00F66921" w:rsidTr="002151A5">
              <w:tc>
                <w:tcPr>
                  <w:tcW w:w="2993" w:type="dxa"/>
                  <w:tcBorders>
                    <w:top w:val="single" w:sz="4" w:space="0" w:color="auto"/>
                    <w:left w:val="single" w:sz="4" w:space="0" w:color="auto"/>
                    <w:bottom w:val="single" w:sz="4" w:space="0" w:color="auto"/>
                    <w:right w:val="single" w:sz="4" w:space="0" w:color="auto"/>
                  </w:tcBorders>
                </w:tcPr>
                <w:p w:rsidR="00A70D39" w:rsidRPr="00F66921" w:rsidRDefault="00A70D39" w:rsidP="002151A5">
                  <w:pPr>
                    <w:rPr>
                      <w:i/>
                    </w:rPr>
                  </w:pPr>
                  <w:r w:rsidRPr="00F66921">
                    <w:rPr>
                      <w:i/>
                    </w:rPr>
                    <w:t>Priame finančné náklady</w:t>
                  </w:r>
                </w:p>
              </w:tc>
              <w:tc>
                <w:tcPr>
                  <w:tcW w:w="2994" w:type="dxa"/>
                  <w:tcBorders>
                    <w:top w:val="single" w:sz="4" w:space="0" w:color="auto"/>
                    <w:left w:val="single" w:sz="4" w:space="0" w:color="auto"/>
                    <w:bottom w:val="single" w:sz="4" w:space="0" w:color="auto"/>
                    <w:right w:val="single" w:sz="4" w:space="0" w:color="auto"/>
                  </w:tcBorders>
                </w:tcPr>
                <w:p w:rsidR="00A70D39" w:rsidRPr="00F66921" w:rsidRDefault="00A70D39" w:rsidP="002151A5">
                  <w:pPr>
                    <w:jc w:val="center"/>
                    <w:rPr>
                      <w:i/>
                    </w:rPr>
                  </w:pPr>
                  <w:r w:rsidRPr="00F66921">
                    <w:rPr>
                      <w:i/>
                    </w:rPr>
                    <w:t>nekvantifikované</w:t>
                  </w:r>
                </w:p>
              </w:tc>
              <w:tc>
                <w:tcPr>
                  <w:tcW w:w="2994" w:type="dxa"/>
                  <w:tcBorders>
                    <w:top w:val="single" w:sz="4" w:space="0" w:color="auto"/>
                    <w:left w:val="single" w:sz="4" w:space="0" w:color="auto"/>
                    <w:bottom w:val="single" w:sz="4" w:space="0" w:color="auto"/>
                    <w:right w:val="single" w:sz="4" w:space="0" w:color="auto"/>
                  </w:tcBorders>
                </w:tcPr>
                <w:p w:rsidR="00A70D39" w:rsidRPr="00F66921" w:rsidRDefault="00A70D39" w:rsidP="002151A5">
                  <w:pPr>
                    <w:jc w:val="center"/>
                    <w:rPr>
                      <w:i/>
                    </w:rPr>
                  </w:pPr>
                  <w:r w:rsidRPr="00F66921">
                    <w:rPr>
                      <w:i/>
                    </w:rPr>
                    <w:t>nekvantifikované</w:t>
                  </w:r>
                </w:p>
              </w:tc>
            </w:tr>
            <w:tr w:rsidR="00A70D39" w:rsidRPr="00F66921" w:rsidTr="002151A5">
              <w:tc>
                <w:tcPr>
                  <w:tcW w:w="2993" w:type="dxa"/>
                  <w:tcBorders>
                    <w:top w:val="single" w:sz="4" w:space="0" w:color="auto"/>
                    <w:left w:val="single" w:sz="4" w:space="0" w:color="auto"/>
                    <w:bottom w:val="single" w:sz="4" w:space="0" w:color="auto"/>
                    <w:right w:val="single" w:sz="4" w:space="0" w:color="auto"/>
                  </w:tcBorders>
                </w:tcPr>
                <w:p w:rsidR="00A70D39" w:rsidRPr="00F66921" w:rsidRDefault="00A70D39" w:rsidP="002151A5">
                  <w:pPr>
                    <w:rPr>
                      <w:i/>
                    </w:rPr>
                  </w:pPr>
                  <w:r w:rsidRPr="00F66921">
                    <w:rPr>
                      <w:i/>
                    </w:rPr>
                    <w:t>Nepriame finančné náklady</w:t>
                  </w:r>
                </w:p>
              </w:tc>
              <w:tc>
                <w:tcPr>
                  <w:tcW w:w="2994" w:type="dxa"/>
                  <w:tcBorders>
                    <w:top w:val="single" w:sz="4" w:space="0" w:color="auto"/>
                    <w:left w:val="single" w:sz="4" w:space="0" w:color="auto"/>
                    <w:bottom w:val="single" w:sz="4" w:space="0" w:color="auto"/>
                    <w:right w:val="single" w:sz="4" w:space="0" w:color="auto"/>
                  </w:tcBorders>
                </w:tcPr>
                <w:p w:rsidR="00A70D39" w:rsidRPr="00F66921" w:rsidRDefault="00A70D39" w:rsidP="002151A5">
                  <w:pPr>
                    <w:jc w:val="center"/>
                    <w:rPr>
                      <w:i/>
                    </w:rPr>
                  </w:pPr>
                  <w:r w:rsidRPr="00F66921">
                    <w:rPr>
                      <w:i/>
                    </w:rPr>
                    <w:t>0</w:t>
                  </w:r>
                </w:p>
              </w:tc>
              <w:tc>
                <w:tcPr>
                  <w:tcW w:w="2994" w:type="dxa"/>
                  <w:tcBorders>
                    <w:top w:val="single" w:sz="4" w:space="0" w:color="auto"/>
                    <w:left w:val="single" w:sz="4" w:space="0" w:color="auto"/>
                    <w:bottom w:val="single" w:sz="4" w:space="0" w:color="auto"/>
                    <w:right w:val="single" w:sz="4" w:space="0" w:color="auto"/>
                  </w:tcBorders>
                </w:tcPr>
                <w:p w:rsidR="00A70D39" w:rsidRPr="00F66921" w:rsidRDefault="00A70D39" w:rsidP="002151A5">
                  <w:pPr>
                    <w:jc w:val="center"/>
                    <w:rPr>
                      <w:i/>
                    </w:rPr>
                  </w:pPr>
                  <w:r w:rsidRPr="00F66921">
                    <w:rPr>
                      <w:i/>
                    </w:rPr>
                    <w:t>0</w:t>
                  </w:r>
                </w:p>
              </w:tc>
            </w:tr>
            <w:tr w:rsidR="00A70D39" w:rsidRPr="00F66921" w:rsidTr="002151A5">
              <w:tc>
                <w:tcPr>
                  <w:tcW w:w="2993" w:type="dxa"/>
                  <w:tcBorders>
                    <w:top w:val="single" w:sz="4" w:space="0" w:color="auto"/>
                    <w:left w:val="single" w:sz="4" w:space="0" w:color="auto"/>
                    <w:bottom w:val="single" w:sz="4" w:space="0" w:color="auto"/>
                    <w:right w:val="single" w:sz="4" w:space="0" w:color="auto"/>
                  </w:tcBorders>
                </w:tcPr>
                <w:p w:rsidR="00A70D39" w:rsidRPr="00F66921" w:rsidRDefault="00A70D39" w:rsidP="002151A5">
                  <w:pPr>
                    <w:rPr>
                      <w:i/>
                    </w:rPr>
                  </w:pPr>
                  <w:r w:rsidRPr="00F66921">
                    <w:rPr>
                      <w:i/>
                    </w:rPr>
                    <w:t>Administratívne náklady</w:t>
                  </w:r>
                </w:p>
              </w:tc>
              <w:tc>
                <w:tcPr>
                  <w:tcW w:w="2994" w:type="dxa"/>
                  <w:tcBorders>
                    <w:top w:val="single" w:sz="4" w:space="0" w:color="auto"/>
                    <w:left w:val="single" w:sz="4" w:space="0" w:color="auto"/>
                    <w:bottom w:val="single" w:sz="4" w:space="0" w:color="auto"/>
                    <w:right w:val="single" w:sz="4" w:space="0" w:color="auto"/>
                  </w:tcBorders>
                </w:tcPr>
                <w:p w:rsidR="00A70D39" w:rsidRPr="00F66921" w:rsidRDefault="00A70D39" w:rsidP="002151A5">
                  <w:pPr>
                    <w:jc w:val="center"/>
                    <w:rPr>
                      <w:i/>
                    </w:rPr>
                  </w:pPr>
                  <w:r w:rsidRPr="00F66921">
                    <w:rPr>
                      <w:i/>
                    </w:rPr>
                    <w:t>nekvantifikované</w:t>
                  </w:r>
                </w:p>
              </w:tc>
              <w:tc>
                <w:tcPr>
                  <w:tcW w:w="2994" w:type="dxa"/>
                  <w:tcBorders>
                    <w:top w:val="single" w:sz="4" w:space="0" w:color="auto"/>
                    <w:left w:val="single" w:sz="4" w:space="0" w:color="auto"/>
                    <w:bottom w:val="single" w:sz="4" w:space="0" w:color="auto"/>
                    <w:right w:val="single" w:sz="4" w:space="0" w:color="auto"/>
                  </w:tcBorders>
                </w:tcPr>
                <w:p w:rsidR="00A70D39" w:rsidRPr="00F66921" w:rsidRDefault="00A70D39" w:rsidP="002151A5">
                  <w:pPr>
                    <w:jc w:val="center"/>
                    <w:rPr>
                      <w:i/>
                    </w:rPr>
                  </w:pPr>
                  <w:r w:rsidRPr="00F66921">
                    <w:rPr>
                      <w:i/>
                    </w:rPr>
                    <w:t>nekvantifikované</w:t>
                  </w:r>
                </w:p>
              </w:tc>
            </w:tr>
            <w:tr w:rsidR="00A70D39" w:rsidRPr="00F66921" w:rsidTr="002151A5">
              <w:tc>
                <w:tcPr>
                  <w:tcW w:w="2993" w:type="dxa"/>
                  <w:tcBorders>
                    <w:top w:val="single" w:sz="4" w:space="0" w:color="auto"/>
                    <w:left w:val="single" w:sz="4" w:space="0" w:color="auto"/>
                    <w:bottom w:val="single" w:sz="4" w:space="0" w:color="auto"/>
                    <w:right w:val="single" w:sz="4" w:space="0" w:color="auto"/>
                  </w:tcBorders>
                </w:tcPr>
                <w:p w:rsidR="00A70D39" w:rsidRPr="00F66921" w:rsidRDefault="00A70D39" w:rsidP="002151A5">
                  <w:pPr>
                    <w:rPr>
                      <w:b/>
                      <w:i/>
                    </w:rPr>
                  </w:pPr>
                  <w:r w:rsidRPr="00F66921">
                    <w:rPr>
                      <w:b/>
                      <w:i/>
                    </w:rPr>
                    <w:t>Celkové náklady regulácie</w:t>
                  </w:r>
                </w:p>
              </w:tc>
              <w:tc>
                <w:tcPr>
                  <w:tcW w:w="2994" w:type="dxa"/>
                  <w:tcBorders>
                    <w:top w:val="single" w:sz="4" w:space="0" w:color="auto"/>
                    <w:left w:val="single" w:sz="4" w:space="0" w:color="auto"/>
                    <w:bottom w:val="single" w:sz="4" w:space="0" w:color="auto"/>
                    <w:right w:val="single" w:sz="4" w:space="0" w:color="auto"/>
                  </w:tcBorders>
                </w:tcPr>
                <w:p w:rsidR="00A70D39" w:rsidRPr="00F66921" w:rsidRDefault="00A70D39" w:rsidP="002151A5">
                  <w:pPr>
                    <w:jc w:val="center"/>
                    <w:rPr>
                      <w:b/>
                      <w:i/>
                    </w:rPr>
                  </w:pPr>
                  <w:r w:rsidRPr="00F66921">
                    <w:rPr>
                      <w:b/>
                      <w:i/>
                    </w:rPr>
                    <w:t>nekvantifikované</w:t>
                  </w:r>
                </w:p>
              </w:tc>
              <w:tc>
                <w:tcPr>
                  <w:tcW w:w="2994" w:type="dxa"/>
                  <w:tcBorders>
                    <w:top w:val="single" w:sz="4" w:space="0" w:color="auto"/>
                    <w:left w:val="single" w:sz="4" w:space="0" w:color="auto"/>
                    <w:bottom w:val="single" w:sz="4" w:space="0" w:color="auto"/>
                    <w:right w:val="single" w:sz="4" w:space="0" w:color="auto"/>
                  </w:tcBorders>
                </w:tcPr>
                <w:p w:rsidR="00A70D39" w:rsidRPr="00F66921" w:rsidRDefault="00A70D39" w:rsidP="002151A5">
                  <w:pPr>
                    <w:jc w:val="center"/>
                    <w:rPr>
                      <w:b/>
                      <w:i/>
                    </w:rPr>
                  </w:pPr>
                  <w:r w:rsidRPr="00F66921">
                    <w:rPr>
                      <w:b/>
                      <w:i/>
                    </w:rPr>
                    <w:t>nekvantifikované</w:t>
                  </w:r>
                </w:p>
              </w:tc>
            </w:tr>
          </w:tbl>
          <w:p w:rsidR="00A70D39" w:rsidRPr="00F66921" w:rsidRDefault="00A70D39" w:rsidP="002151A5">
            <w:pPr>
              <w:rPr>
                <w:i/>
              </w:rPr>
            </w:pPr>
          </w:p>
        </w:tc>
      </w:tr>
      <w:tr w:rsidR="00A70D39" w:rsidRPr="00F66921" w:rsidTr="002151A5">
        <w:tc>
          <w:tcPr>
            <w:tcW w:w="9212" w:type="dxa"/>
            <w:shd w:val="clear" w:color="auto" w:fill="D9D9D9" w:themeFill="background1" w:themeFillShade="D9"/>
          </w:tcPr>
          <w:p w:rsidR="00A70D39" w:rsidRPr="00F66921" w:rsidRDefault="00A70D39" w:rsidP="002151A5">
            <w:pPr>
              <w:rPr>
                <w:b/>
                <w:sz w:val="24"/>
              </w:rPr>
            </w:pPr>
            <w:r w:rsidRPr="00F66921">
              <w:rPr>
                <w:b/>
                <w:sz w:val="24"/>
              </w:rPr>
              <w:t>3.4 Konkurencieschopnosť a správanie sa podnikov na trhu</w:t>
            </w:r>
          </w:p>
          <w:p w:rsidR="00A70D39" w:rsidRPr="00F66921" w:rsidRDefault="00A70D39" w:rsidP="002151A5">
            <w:r w:rsidRPr="00F66921">
              <w:rPr>
                <w:b/>
                <w:sz w:val="24"/>
              </w:rPr>
              <w:t xml:space="preserve">       </w:t>
            </w:r>
            <w:r w:rsidRPr="00F66921">
              <w:rPr>
                <w:sz w:val="24"/>
              </w:rPr>
              <w:t xml:space="preserve">- </w:t>
            </w:r>
            <w:r w:rsidRPr="00F66921">
              <w:rPr>
                <w:b/>
                <w:sz w:val="24"/>
              </w:rPr>
              <w:t>z toho MSP</w:t>
            </w:r>
          </w:p>
        </w:tc>
      </w:tr>
      <w:tr w:rsidR="00A70D39" w:rsidRPr="00F66921" w:rsidTr="002151A5">
        <w:tc>
          <w:tcPr>
            <w:tcW w:w="9212" w:type="dxa"/>
          </w:tcPr>
          <w:p w:rsidR="00A70D39" w:rsidRPr="00F66921" w:rsidRDefault="00A70D39" w:rsidP="002151A5">
            <w:pPr>
              <w:rPr>
                <w:i/>
              </w:rPr>
            </w:pPr>
            <w:r w:rsidRPr="00F66921">
              <w:rPr>
                <w:i/>
              </w:rPr>
              <w:t xml:space="preserve">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w:t>
            </w:r>
            <w:proofErr w:type="spellStart"/>
            <w:r w:rsidRPr="00F66921">
              <w:rPr>
                <w:i/>
              </w:rPr>
              <w:t>mikro</w:t>
            </w:r>
            <w:proofErr w:type="spellEnd"/>
            <w:r w:rsidRPr="00F66921">
              <w:rPr>
                <w:i/>
              </w:rPr>
              <w:t>, malé a stredné podniky tzv. MSP)? Ak áno, popíšte.</w:t>
            </w:r>
          </w:p>
          <w:p w:rsidR="00A70D39" w:rsidRPr="00F66921" w:rsidRDefault="00A70D39" w:rsidP="002151A5">
            <w:pPr>
              <w:rPr>
                <w:i/>
              </w:rPr>
            </w:pPr>
            <w:r w:rsidRPr="00F66921">
              <w:rPr>
                <w:i/>
              </w:rPr>
              <w:t>Aký vplyv bude mať navrhovaná zmena na obchodné bariéry? Bude mať vplyv na vyvolanie cezhraničných investícií (príliv /odliv zahraničných investícií resp. uplatnenie slovenských podnikov na zahraničných trhoch)? Ak áno, popíšte.</w:t>
            </w:r>
          </w:p>
          <w:p w:rsidR="00A70D39" w:rsidRPr="00F66921" w:rsidRDefault="00A70D39" w:rsidP="002151A5">
            <w:pPr>
              <w:rPr>
                <w:i/>
              </w:rPr>
            </w:pPr>
            <w:r w:rsidRPr="00F66921">
              <w:rPr>
                <w:i/>
              </w:rPr>
              <w:t>Ako ovplyvní cenu alebo dostupnosť základných zdrojov (suroviny, mechanizmy, pracovná sila, energie atď.)?</w:t>
            </w:r>
          </w:p>
          <w:p w:rsidR="00A70D39" w:rsidRPr="00F66921" w:rsidRDefault="00A70D39" w:rsidP="002151A5">
            <w:pPr>
              <w:rPr>
                <w:i/>
              </w:rPr>
            </w:pPr>
            <w:r w:rsidRPr="00F66921">
              <w:rPr>
                <w:i/>
              </w:rPr>
              <w:t>Ovplyvňuje prístup k financiám? Ak áno, ako?</w:t>
            </w:r>
          </w:p>
        </w:tc>
      </w:tr>
      <w:tr w:rsidR="00A70D39" w:rsidRPr="00F66921" w:rsidTr="002151A5">
        <w:trPr>
          <w:trHeight w:val="745"/>
        </w:trPr>
        <w:tc>
          <w:tcPr>
            <w:tcW w:w="9212" w:type="dxa"/>
          </w:tcPr>
          <w:p w:rsidR="00A70D39" w:rsidRPr="00F66921" w:rsidRDefault="00A70D39" w:rsidP="002151A5">
            <w:pPr>
              <w:rPr>
                <w:i/>
              </w:rPr>
            </w:pPr>
          </w:p>
          <w:p w:rsidR="00A70D39" w:rsidRPr="00F66921" w:rsidRDefault="00A70D39" w:rsidP="002151A5">
            <w:pPr>
              <w:jc w:val="both"/>
            </w:pPr>
            <w:r w:rsidRPr="00F66921">
              <w:t>Nepredpokladá sa vplyv navrhovaných zmien na konkurencieschopnosť a správanie podnikov na trhu.</w:t>
            </w:r>
          </w:p>
          <w:p w:rsidR="00A70D39" w:rsidRPr="00F66921" w:rsidRDefault="00A70D39" w:rsidP="002151A5"/>
        </w:tc>
      </w:tr>
      <w:tr w:rsidR="00A70D39" w:rsidRPr="00F66921" w:rsidTr="002151A5">
        <w:tc>
          <w:tcPr>
            <w:tcW w:w="9212" w:type="dxa"/>
            <w:shd w:val="clear" w:color="auto" w:fill="D9D9D9" w:themeFill="background1" w:themeFillShade="D9"/>
          </w:tcPr>
          <w:p w:rsidR="00A70D39" w:rsidRPr="00F66921" w:rsidRDefault="00A70D39" w:rsidP="002151A5">
            <w:pPr>
              <w:rPr>
                <w:b/>
                <w:sz w:val="24"/>
              </w:rPr>
            </w:pPr>
            <w:r w:rsidRPr="00F66921">
              <w:rPr>
                <w:b/>
                <w:sz w:val="24"/>
              </w:rPr>
              <w:t xml:space="preserve">3.5 Inovácie </w:t>
            </w:r>
          </w:p>
          <w:p w:rsidR="00A70D39" w:rsidRPr="00F66921" w:rsidRDefault="00A70D39" w:rsidP="002151A5">
            <w:pPr>
              <w:rPr>
                <w:b/>
              </w:rPr>
            </w:pPr>
            <w:r w:rsidRPr="00F66921">
              <w:rPr>
                <w:sz w:val="24"/>
              </w:rPr>
              <w:t xml:space="preserve">       - </w:t>
            </w:r>
            <w:r w:rsidRPr="00F66921">
              <w:rPr>
                <w:b/>
                <w:sz w:val="24"/>
              </w:rPr>
              <w:t>z toho MSP</w:t>
            </w:r>
          </w:p>
        </w:tc>
      </w:tr>
      <w:tr w:rsidR="00A70D39" w:rsidRPr="00F66921" w:rsidTr="002151A5">
        <w:tc>
          <w:tcPr>
            <w:tcW w:w="9212" w:type="dxa"/>
          </w:tcPr>
          <w:p w:rsidR="00A70D39" w:rsidRPr="00F66921" w:rsidRDefault="00A70D39" w:rsidP="002151A5">
            <w:pPr>
              <w:rPr>
                <w:i/>
              </w:rPr>
            </w:pPr>
            <w:r w:rsidRPr="00F66921">
              <w:rPr>
                <w:i/>
              </w:rPr>
              <w:t>Uveďte, ako podporuje navrhovaná zmena inovácie.</w:t>
            </w:r>
          </w:p>
          <w:p w:rsidR="00A70D39" w:rsidRPr="00F66921" w:rsidRDefault="00A70D39" w:rsidP="002151A5">
            <w:pPr>
              <w:rPr>
                <w:i/>
              </w:rPr>
            </w:pPr>
            <w:r w:rsidRPr="00F66921">
              <w:rPr>
                <w:i/>
              </w:rPr>
              <w:t>Zjednodušuje uvedenie alebo rozšírenie nových výrobných metód, technológií a výrobkov na trh?</w:t>
            </w:r>
          </w:p>
          <w:p w:rsidR="00A70D39" w:rsidRPr="00F66921" w:rsidRDefault="00A70D39" w:rsidP="002151A5">
            <w:pPr>
              <w:rPr>
                <w:i/>
              </w:rPr>
            </w:pPr>
            <w:r w:rsidRPr="00F66921">
              <w:rPr>
                <w:i/>
              </w:rPr>
              <w:t>Uveďte, ako vplýva navrhovaná zmena na jednotlivé práva duševného vlastníctva (napr. patenty, ochranné známky, autorské práva, vlastníctvo know-how).</w:t>
            </w:r>
          </w:p>
          <w:p w:rsidR="00A70D39" w:rsidRPr="00F66921" w:rsidRDefault="00A70D39" w:rsidP="002151A5">
            <w:pPr>
              <w:rPr>
                <w:i/>
              </w:rPr>
            </w:pPr>
            <w:r w:rsidRPr="00F66921">
              <w:rPr>
                <w:i/>
              </w:rPr>
              <w:t>Podporuje vyššiu efektivitu výroby/využívania zdrojov? Ak áno, ako?</w:t>
            </w:r>
          </w:p>
          <w:p w:rsidR="00A70D39" w:rsidRPr="00F66921" w:rsidRDefault="00A70D39" w:rsidP="002151A5">
            <w:r w:rsidRPr="00F66921">
              <w:rPr>
                <w:i/>
              </w:rPr>
              <w:t>Vytvorí zmena nové pracovné miesta pre zamestnancov výskumu a vývoja v SR?</w:t>
            </w:r>
          </w:p>
        </w:tc>
      </w:tr>
      <w:tr w:rsidR="00A70D39" w:rsidRPr="00F66921" w:rsidTr="002151A5">
        <w:trPr>
          <w:trHeight w:val="883"/>
        </w:trPr>
        <w:tc>
          <w:tcPr>
            <w:tcW w:w="9212" w:type="dxa"/>
          </w:tcPr>
          <w:p w:rsidR="00A70D39" w:rsidRPr="00F66921" w:rsidRDefault="00A70D39" w:rsidP="002151A5"/>
          <w:p w:rsidR="00A70D39" w:rsidRPr="00F66921" w:rsidRDefault="00A70D39" w:rsidP="002151A5">
            <w:r w:rsidRPr="00F66921">
              <w:t>Navrhovaná zmena nemá vplyv na inovácie.</w:t>
            </w:r>
          </w:p>
          <w:p w:rsidR="00A70D39" w:rsidRPr="00F66921" w:rsidRDefault="00A70D39" w:rsidP="002151A5">
            <w:pPr>
              <w:rPr>
                <w:i/>
              </w:rPr>
            </w:pPr>
          </w:p>
          <w:p w:rsidR="00A70D39" w:rsidRPr="00F66921" w:rsidRDefault="00A70D39" w:rsidP="002151A5">
            <w:pPr>
              <w:rPr>
                <w:b/>
              </w:rPr>
            </w:pPr>
          </w:p>
        </w:tc>
      </w:tr>
    </w:tbl>
    <w:p w:rsidR="00A70D39" w:rsidRPr="00F66921" w:rsidRDefault="00A70D39" w:rsidP="00A70D39"/>
    <w:p w:rsidR="00A70D39" w:rsidRPr="00F66921" w:rsidRDefault="00A70D39" w:rsidP="00A70D39"/>
    <w:p w:rsidR="00A70D39" w:rsidRPr="00F66921" w:rsidRDefault="00A70D39" w:rsidP="00A70D39"/>
    <w:p w:rsidR="00A70D39" w:rsidRPr="00F66921" w:rsidRDefault="00A70D39" w:rsidP="00A70D39"/>
    <w:p w:rsidR="00A70D39" w:rsidRPr="00F66921" w:rsidRDefault="00A70D39" w:rsidP="00A70D39"/>
    <w:p w:rsidR="00A70D39" w:rsidRPr="00F66921" w:rsidRDefault="00A70D39" w:rsidP="00A70D39"/>
    <w:p w:rsidR="00A70D39" w:rsidRPr="00F66921" w:rsidRDefault="00A70D39" w:rsidP="00A70D39"/>
    <w:p w:rsidR="00A70D39" w:rsidRPr="00F66921" w:rsidRDefault="00A70D39" w:rsidP="00A70D39"/>
    <w:p w:rsidR="00A70D39" w:rsidRPr="00F66921" w:rsidRDefault="00A70D39" w:rsidP="00A70D39"/>
    <w:p w:rsidR="00A70D39" w:rsidRPr="00F66921" w:rsidRDefault="00A70D39" w:rsidP="00A70D39"/>
    <w:p w:rsidR="00A70D39" w:rsidRPr="00F66921" w:rsidRDefault="00A70D39" w:rsidP="00A70D39"/>
    <w:p w:rsidR="00A70D39" w:rsidRPr="00F66921" w:rsidRDefault="00A70D39" w:rsidP="00A70D39"/>
    <w:p w:rsidR="00A70D39" w:rsidRPr="00F66921" w:rsidRDefault="00A70D39" w:rsidP="00A70D39"/>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3956"/>
        <w:gridCol w:w="1162"/>
        <w:gridCol w:w="851"/>
        <w:gridCol w:w="425"/>
        <w:gridCol w:w="2126"/>
        <w:gridCol w:w="851"/>
      </w:tblGrid>
      <w:tr w:rsidR="00A70D39" w:rsidRPr="00F66921" w:rsidTr="002151A5">
        <w:trPr>
          <w:trHeight w:val="20"/>
        </w:trPr>
        <w:tc>
          <w:tcPr>
            <w:tcW w:w="9371" w:type="dxa"/>
            <w:gridSpan w:val="6"/>
            <w:shd w:val="clear" w:color="auto" w:fill="BFBFBF"/>
            <w:vAlign w:val="center"/>
            <w:hideMark/>
          </w:tcPr>
          <w:p w:rsidR="00A70D39" w:rsidRPr="00F66921" w:rsidRDefault="00A70D39" w:rsidP="002151A5">
            <w:pPr>
              <w:spacing w:after="0" w:line="240" w:lineRule="auto"/>
              <w:jc w:val="center"/>
              <w:rPr>
                <w:b/>
                <w:bCs/>
                <w:sz w:val="24"/>
                <w:szCs w:val="24"/>
              </w:rPr>
            </w:pPr>
            <w:r w:rsidRPr="00F66921">
              <w:rPr>
                <w:b/>
                <w:bCs/>
                <w:sz w:val="24"/>
                <w:szCs w:val="24"/>
              </w:rPr>
              <w:t>Analýza vplyvov na informatizáciu spoločnosti</w:t>
            </w:r>
          </w:p>
          <w:p w:rsidR="00A70D39" w:rsidRPr="00F66921" w:rsidRDefault="00A70D39" w:rsidP="002151A5">
            <w:pPr>
              <w:spacing w:after="0" w:line="240" w:lineRule="auto"/>
              <w:jc w:val="center"/>
              <w:rPr>
                <w:b/>
                <w:i/>
                <w:iCs/>
                <w:sz w:val="24"/>
                <w:szCs w:val="24"/>
              </w:rPr>
            </w:pPr>
            <w:r w:rsidRPr="00F66921">
              <w:rPr>
                <w:b/>
                <w:sz w:val="24"/>
                <w:szCs w:val="24"/>
              </w:rPr>
              <w:t>Budovanie základných pilierov informatizácie</w:t>
            </w:r>
          </w:p>
        </w:tc>
      </w:tr>
      <w:tr w:rsidR="00A70D39" w:rsidRPr="00F66921" w:rsidTr="002151A5">
        <w:trPr>
          <w:trHeight w:val="681"/>
        </w:trPr>
        <w:tc>
          <w:tcPr>
            <w:tcW w:w="3956" w:type="dxa"/>
            <w:shd w:val="clear" w:color="auto" w:fill="C0C0C0"/>
            <w:vAlign w:val="center"/>
            <w:hideMark/>
          </w:tcPr>
          <w:p w:rsidR="00A70D39" w:rsidRPr="00F66921" w:rsidRDefault="00A70D39" w:rsidP="002151A5">
            <w:pPr>
              <w:jc w:val="center"/>
              <w:rPr>
                <w:b/>
                <w:sz w:val="24"/>
                <w:szCs w:val="24"/>
              </w:rPr>
            </w:pPr>
            <w:r w:rsidRPr="00F66921">
              <w:rPr>
                <w:b/>
                <w:sz w:val="24"/>
                <w:szCs w:val="24"/>
              </w:rPr>
              <w:t>Obsah</w:t>
            </w:r>
          </w:p>
        </w:tc>
        <w:tc>
          <w:tcPr>
            <w:tcW w:w="1162" w:type="dxa"/>
            <w:shd w:val="clear" w:color="auto" w:fill="C0C0C0"/>
            <w:vAlign w:val="center"/>
            <w:hideMark/>
          </w:tcPr>
          <w:p w:rsidR="00A70D39" w:rsidRPr="00F66921" w:rsidRDefault="00A70D39" w:rsidP="002151A5">
            <w:pPr>
              <w:jc w:val="center"/>
              <w:rPr>
                <w:b/>
                <w:sz w:val="24"/>
                <w:szCs w:val="24"/>
              </w:rPr>
            </w:pPr>
            <w:r w:rsidRPr="00F66921">
              <w:rPr>
                <w:b/>
                <w:sz w:val="24"/>
                <w:szCs w:val="24"/>
              </w:rPr>
              <w:t>A – nová služba</w:t>
            </w:r>
          </w:p>
          <w:p w:rsidR="00A70D39" w:rsidRPr="00F66921" w:rsidRDefault="00A70D39" w:rsidP="002151A5">
            <w:pPr>
              <w:jc w:val="center"/>
              <w:rPr>
                <w:i/>
                <w:iCs/>
                <w:sz w:val="24"/>
                <w:szCs w:val="24"/>
              </w:rPr>
            </w:pPr>
            <w:r w:rsidRPr="00F66921">
              <w:rPr>
                <w:b/>
                <w:sz w:val="24"/>
                <w:szCs w:val="24"/>
              </w:rPr>
              <w:t>B – zmena služby</w:t>
            </w:r>
          </w:p>
        </w:tc>
        <w:tc>
          <w:tcPr>
            <w:tcW w:w="851" w:type="dxa"/>
            <w:shd w:val="clear" w:color="auto" w:fill="C0C0C0"/>
            <w:vAlign w:val="center"/>
          </w:tcPr>
          <w:p w:rsidR="00A70D39" w:rsidRPr="00F66921" w:rsidRDefault="00A70D39" w:rsidP="002151A5">
            <w:pPr>
              <w:jc w:val="center"/>
              <w:rPr>
                <w:i/>
                <w:iCs/>
                <w:sz w:val="24"/>
                <w:szCs w:val="24"/>
              </w:rPr>
            </w:pPr>
          </w:p>
          <w:p w:rsidR="00A70D39" w:rsidRPr="00F66921" w:rsidRDefault="00A70D39" w:rsidP="002151A5">
            <w:pPr>
              <w:jc w:val="center"/>
              <w:rPr>
                <w:sz w:val="24"/>
                <w:szCs w:val="24"/>
              </w:rPr>
            </w:pPr>
            <w:r w:rsidRPr="00F66921">
              <w:rPr>
                <w:b/>
                <w:sz w:val="24"/>
                <w:szCs w:val="24"/>
              </w:rPr>
              <w:t>Kód služby</w:t>
            </w:r>
          </w:p>
        </w:tc>
        <w:tc>
          <w:tcPr>
            <w:tcW w:w="2551" w:type="dxa"/>
            <w:gridSpan w:val="2"/>
            <w:shd w:val="clear" w:color="auto" w:fill="C0C0C0"/>
            <w:vAlign w:val="center"/>
          </w:tcPr>
          <w:p w:rsidR="00A70D39" w:rsidRPr="00F66921" w:rsidRDefault="00A70D39" w:rsidP="002151A5">
            <w:pPr>
              <w:jc w:val="center"/>
              <w:rPr>
                <w:b/>
                <w:sz w:val="24"/>
                <w:szCs w:val="24"/>
              </w:rPr>
            </w:pPr>
          </w:p>
          <w:p w:rsidR="00A70D39" w:rsidRPr="00F66921" w:rsidRDefault="00A70D39" w:rsidP="002151A5">
            <w:pPr>
              <w:jc w:val="center"/>
              <w:rPr>
                <w:i/>
                <w:iCs/>
                <w:sz w:val="24"/>
                <w:szCs w:val="24"/>
              </w:rPr>
            </w:pPr>
            <w:r w:rsidRPr="00F66921">
              <w:rPr>
                <w:b/>
                <w:sz w:val="24"/>
                <w:szCs w:val="24"/>
              </w:rPr>
              <w:t>Názov služby</w:t>
            </w:r>
          </w:p>
        </w:tc>
        <w:tc>
          <w:tcPr>
            <w:tcW w:w="851" w:type="dxa"/>
            <w:shd w:val="clear" w:color="auto" w:fill="C0C0C0"/>
            <w:vAlign w:val="center"/>
            <w:hideMark/>
          </w:tcPr>
          <w:p w:rsidR="00A70D39" w:rsidRPr="00F66921" w:rsidRDefault="00A70D39" w:rsidP="002151A5">
            <w:pPr>
              <w:jc w:val="center"/>
              <w:rPr>
                <w:b/>
                <w:sz w:val="24"/>
                <w:szCs w:val="24"/>
              </w:rPr>
            </w:pPr>
            <w:r w:rsidRPr="00F66921">
              <w:rPr>
                <w:b/>
                <w:sz w:val="24"/>
                <w:szCs w:val="24"/>
              </w:rPr>
              <w:t>Úroveň elektronizácie služby</w:t>
            </w:r>
          </w:p>
          <w:p w:rsidR="00A70D39" w:rsidRPr="00F66921" w:rsidRDefault="00A70D39" w:rsidP="002151A5">
            <w:pPr>
              <w:jc w:val="center"/>
              <w:rPr>
                <w:i/>
                <w:iCs/>
                <w:sz w:val="24"/>
                <w:szCs w:val="24"/>
              </w:rPr>
            </w:pPr>
            <w:r w:rsidRPr="00F66921">
              <w:rPr>
                <w:b/>
                <w:sz w:val="24"/>
                <w:szCs w:val="24"/>
              </w:rPr>
              <w:t>(0 až 5)</w:t>
            </w:r>
          </w:p>
        </w:tc>
      </w:tr>
      <w:tr w:rsidR="00A70D39" w:rsidRPr="00F66921" w:rsidTr="002151A5">
        <w:trPr>
          <w:trHeight w:val="20"/>
        </w:trPr>
        <w:tc>
          <w:tcPr>
            <w:tcW w:w="3956" w:type="dxa"/>
            <w:hideMark/>
          </w:tcPr>
          <w:p w:rsidR="00A70D39" w:rsidRPr="00F66921" w:rsidRDefault="00A70D39" w:rsidP="002151A5">
            <w:pPr>
              <w:jc w:val="both"/>
              <w:rPr>
                <w:sz w:val="24"/>
                <w:szCs w:val="24"/>
              </w:rPr>
            </w:pPr>
            <w:r w:rsidRPr="00F66921">
              <w:rPr>
                <w:b/>
                <w:sz w:val="24"/>
                <w:szCs w:val="24"/>
              </w:rPr>
              <w:t>6.1.</w:t>
            </w:r>
            <w:r w:rsidRPr="00F66921">
              <w:rPr>
                <w:sz w:val="24"/>
                <w:szCs w:val="24"/>
              </w:rPr>
              <w:t xml:space="preserve"> Predpokladá predložený návrh zmenu existujúcich elektronických služieb verejnej správy alebo vytvorenie nových služieb?</w:t>
            </w:r>
          </w:p>
          <w:p w:rsidR="00A70D39" w:rsidRPr="00F66921" w:rsidRDefault="00A70D39" w:rsidP="002151A5">
            <w:pPr>
              <w:jc w:val="both"/>
              <w:rPr>
                <w:b/>
                <w:sz w:val="24"/>
                <w:szCs w:val="24"/>
              </w:rPr>
            </w:pPr>
            <w:r w:rsidRPr="00F66921">
              <w:rPr>
                <w:i/>
                <w:iCs/>
                <w:sz w:val="24"/>
                <w:szCs w:val="24"/>
              </w:rPr>
              <w:t xml:space="preserve">(Ak áno, uveďte zmenu služby alebo vytvorenie novej služby, ďalej  jej kód, názov a úroveň elektronizácie podľa katalógu </w:t>
            </w:r>
            <w:proofErr w:type="spellStart"/>
            <w:r w:rsidRPr="00F66921">
              <w:rPr>
                <w:i/>
                <w:iCs/>
                <w:sz w:val="24"/>
                <w:szCs w:val="24"/>
              </w:rPr>
              <w:t>eGovernment</w:t>
            </w:r>
            <w:proofErr w:type="spellEnd"/>
            <w:r w:rsidRPr="00F66921">
              <w:rPr>
                <w:i/>
                <w:iCs/>
                <w:sz w:val="24"/>
                <w:szCs w:val="24"/>
              </w:rPr>
              <w:t xml:space="preserve"> služieb, ktorý je vedený v centrálnom </w:t>
            </w:r>
            <w:proofErr w:type="spellStart"/>
            <w:r w:rsidRPr="00F66921">
              <w:rPr>
                <w:i/>
                <w:iCs/>
                <w:sz w:val="24"/>
                <w:szCs w:val="24"/>
              </w:rPr>
              <w:t>metainformačnom</w:t>
            </w:r>
            <w:proofErr w:type="spellEnd"/>
            <w:r w:rsidRPr="00F66921">
              <w:rPr>
                <w:i/>
                <w:iCs/>
                <w:sz w:val="24"/>
                <w:szCs w:val="24"/>
              </w:rPr>
              <w:t xml:space="preserve"> systéme verejnej správy.)</w:t>
            </w:r>
            <w:r w:rsidRPr="00F66921">
              <w:rPr>
                <w:sz w:val="24"/>
                <w:szCs w:val="24"/>
              </w:rPr>
              <w:t xml:space="preserve"> </w:t>
            </w:r>
          </w:p>
        </w:tc>
        <w:tc>
          <w:tcPr>
            <w:tcW w:w="1162" w:type="dxa"/>
          </w:tcPr>
          <w:p w:rsidR="00A70D39" w:rsidRPr="00F66921" w:rsidRDefault="00A70D39" w:rsidP="002151A5">
            <w:pPr>
              <w:jc w:val="center"/>
              <w:rPr>
                <w:sz w:val="24"/>
                <w:szCs w:val="24"/>
              </w:rPr>
            </w:pPr>
          </w:p>
          <w:p w:rsidR="00A70D39" w:rsidRPr="00F66921" w:rsidRDefault="00A70D39" w:rsidP="002151A5">
            <w:pPr>
              <w:jc w:val="center"/>
              <w:rPr>
                <w:sz w:val="24"/>
                <w:szCs w:val="24"/>
              </w:rPr>
            </w:pPr>
          </w:p>
          <w:p w:rsidR="00A70D39" w:rsidRPr="00F66921" w:rsidRDefault="00A70D39" w:rsidP="002151A5">
            <w:pPr>
              <w:jc w:val="center"/>
              <w:rPr>
                <w:sz w:val="24"/>
                <w:szCs w:val="24"/>
              </w:rPr>
            </w:pPr>
          </w:p>
          <w:p w:rsidR="00A70D39" w:rsidRPr="00F66921" w:rsidRDefault="00A70D39" w:rsidP="002151A5">
            <w:pPr>
              <w:jc w:val="center"/>
              <w:rPr>
                <w:b/>
                <w:sz w:val="24"/>
                <w:szCs w:val="24"/>
              </w:rPr>
            </w:pPr>
            <w:r w:rsidRPr="00F66921">
              <w:rPr>
                <w:b/>
                <w:sz w:val="24"/>
                <w:szCs w:val="24"/>
              </w:rPr>
              <w:t>B</w:t>
            </w:r>
          </w:p>
        </w:tc>
        <w:tc>
          <w:tcPr>
            <w:tcW w:w="851" w:type="dxa"/>
          </w:tcPr>
          <w:p w:rsidR="00A70D39" w:rsidRPr="00F66921" w:rsidRDefault="00A70D39" w:rsidP="002151A5">
            <w:pPr>
              <w:jc w:val="center"/>
              <w:rPr>
                <w:sz w:val="24"/>
                <w:szCs w:val="24"/>
              </w:rPr>
            </w:pPr>
          </w:p>
          <w:p w:rsidR="00A70D39" w:rsidRPr="00F66921" w:rsidRDefault="00A70D39" w:rsidP="002151A5">
            <w:pPr>
              <w:jc w:val="center"/>
              <w:rPr>
                <w:sz w:val="24"/>
                <w:szCs w:val="24"/>
              </w:rPr>
            </w:pPr>
          </w:p>
          <w:p w:rsidR="00A70D39" w:rsidRPr="00F66921" w:rsidRDefault="00A70D39" w:rsidP="002151A5">
            <w:pPr>
              <w:jc w:val="center"/>
              <w:rPr>
                <w:sz w:val="24"/>
                <w:szCs w:val="24"/>
              </w:rPr>
            </w:pPr>
          </w:p>
          <w:p w:rsidR="00A70D39" w:rsidRPr="00F66921" w:rsidRDefault="00A70D39" w:rsidP="002151A5">
            <w:pPr>
              <w:jc w:val="center"/>
              <w:rPr>
                <w:b/>
                <w:sz w:val="24"/>
                <w:szCs w:val="24"/>
              </w:rPr>
            </w:pPr>
            <w:r w:rsidRPr="00F66921">
              <w:rPr>
                <w:color w:val="333333"/>
                <w:sz w:val="24"/>
                <w:szCs w:val="24"/>
                <w:shd w:val="clear" w:color="auto" w:fill="FFFFFF"/>
              </w:rPr>
              <w:t>ks_339008</w:t>
            </w:r>
          </w:p>
        </w:tc>
        <w:tc>
          <w:tcPr>
            <w:tcW w:w="2551" w:type="dxa"/>
            <w:gridSpan w:val="2"/>
          </w:tcPr>
          <w:p w:rsidR="00A70D39" w:rsidRPr="00F66921" w:rsidRDefault="00A70D39" w:rsidP="002151A5">
            <w:pPr>
              <w:jc w:val="both"/>
              <w:rPr>
                <w:b/>
                <w:sz w:val="24"/>
                <w:szCs w:val="24"/>
              </w:rPr>
            </w:pPr>
            <w:r w:rsidRPr="00F66921">
              <w:rPr>
                <w:sz w:val="24"/>
                <w:szCs w:val="24"/>
              </w:rPr>
              <w:t>Podávanie daňového priznania k spotrebnej dani z alkoholických nápojov</w:t>
            </w:r>
            <w:r w:rsidRPr="00F66921">
              <w:rPr>
                <w:b/>
                <w:sz w:val="24"/>
                <w:szCs w:val="24"/>
              </w:rPr>
              <w:t xml:space="preserve"> </w:t>
            </w:r>
          </w:p>
        </w:tc>
        <w:tc>
          <w:tcPr>
            <w:tcW w:w="851" w:type="dxa"/>
          </w:tcPr>
          <w:p w:rsidR="00A70D39" w:rsidRPr="00F66921" w:rsidRDefault="00A70D39" w:rsidP="002151A5">
            <w:pPr>
              <w:rPr>
                <w:b/>
                <w:i/>
                <w:sz w:val="24"/>
                <w:szCs w:val="24"/>
              </w:rPr>
            </w:pPr>
          </w:p>
          <w:p w:rsidR="00A70D39" w:rsidRPr="00F66921" w:rsidRDefault="00A70D39" w:rsidP="002151A5">
            <w:pPr>
              <w:jc w:val="center"/>
              <w:rPr>
                <w:b/>
                <w:sz w:val="24"/>
                <w:szCs w:val="24"/>
              </w:rPr>
            </w:pPr>
            <w:r w:rsidRPr="00F66921">
              <w:rPr>
                <w:b/>
                <w:sz w:val="24"/>
                <w:szCs w:val="24"/>
              </w:rPr>
              <w:t>4</w:t>
            </w:r>
          </w:p>
          <w:p w:rsidR="00A70D39" w:rsidRPr="00F66921" w:rsidRDefault="00A70D39" w:rsidP="002151A5">
            <w:pPr>
              <w:jc w:val="center"/>
              <w:rPr>
                <w:b/>
                <w:sz w:val="24"/>
                <w:szCs w:val="24"/>
              </w:rPr>
            </w:pPr>
          </w:p>
        </w:tc>
      </w:tr>
      <w:tr w:rsidR="00A70D39" w:rsidRPr="00F66921" w:rsidTr="002151A5">
        <w:trPr>
          <w:trHeight w:val="20"/>
        </w:trPr>
        <w:tc>
          <w:tcPr>
            <w:tcW w:w="3956" w:type="dxa"/>
            <w:shd w:val="clear" w:color="auto" w:fill="C0C0C0"/>
            <w:vAlign w:val="center"/>
            <w:hideMark/>
          </w:tcPr>
          <w:p w:rsidR="00A70D39" w:rsidRPr="00F66921" w:rsidRDefault="00A70D39" w:rsidP="002151A5">
            <w:pPr>
              <w:jc w:val="center"/>
              <w:rPr>
                <w:b/>
                <w:sz w:val="24"/>
                <w:szCs w:val="24"/>
              </w:rPr>
            </w:pPr>
            <w:r w:rsidRPr="00F66921">
              <w:rPr>
                <w:b/>
                <w:sz w:val="24"/>
                <w:szCs w:val="24"/>
              </w:rPr>
              <w:t>Infraštruktúra</w:t>
            </w:r>
          </w:p>
        </w:tc>
        <w:tc>
          <w:tcPr>
            <w:tcW w:w="1162" w:type="dxa"/>
            <w:shd w:val="clear" w:color="auto" w:fill="C0C0C0"/>
            <w:vAlign w:val="center"/>
            <w:hideMark/>
          </w:tcPr>
          <w:p w:rsidR="00A70D39" w:rsidRPr="00F66921" w:rsidRDefault="00A70D39" w:rsidP="002151A5">
            <w:pPr>
              <w:jc w:val="center"/>
              <w:rPr>
                <w:b/>
                <w:sz w:val="24"/>
                <w:szCs w:val="24"/>
              </w:rPr>
            </w:pPr>
            <w:r w:rsidRPr="00F66921">
              <w:rPr>
                <w:b/>
                <w:sz w:val="24"/>
                <w:szCs w:val="24"/>
              </w:rPr>
              <w:t>A – nový systém</w:t>
            </w:r>
          </w:p>
          <w:p w:rsidR="00A70D39" w:rsidRPr="00F66921" w:rsidRDefault="00A70D39" w:rsidP="002151A5">
            <w:pPr>
              <w:jc w:val="center"/>
              <w:rPr>
                <w:b/>
                <w:sz w:val="24"/>
                <w:szCs w:val="24"/>
              </w:rPr>
            </w:pPr>
            <w:r w:rsidRPr="00F66921">
              <w:rPr>
                <w:b/>
                <w:sz w:val="24"/>
                <w:szCs w:val="24"/>
              </w:rPr>
              <w:t>B – zmena systému</w:t>
            </w:r>
          </w:p>
        </w:tc>
        <w:tc>
          <w:tcPr>
            <w:tcW w:w="851" w:type="dxa"/>
            <w:shd w:val="clear" w:color="auto" w:fill="C0C0C0"/>
            <w:vAlign w:val="center"/>
            <w:hideMark/>
          </w:tcPr>
          <w:p w:rsidR="00A70D39" w:rsidRPr="00F66921" w:rsidRDefault="00A70D39" w:rsidP="002151A5">
            <w:pPr>
              <w:jc w:val="center"/>
              <w:rPr>
                <w:b/>
                <w:sz w:val="24"/>
                <w:szCs w:val="24"/>
              </w:rPr>
            </w:pPr>
            <w:r w:rsidRPr="00F66921">
              <w:rPr>
                <w:b/>
                <w:sz w:val="24"/>
                <w:szCs w:val="24"/>
              </w:rPr>
              <w:t>Kód systému</w:t>
            </w:r>
          </w:p>
        </w:tc>
        <w:tc>
          <w:tcPr>
            <w:tcW w:w="3402" w:type="dxa"/>
            <w:gridSpan w:val="3"/>
            <w:shd w:val="clear" w:color="auto" w:fill="C0C0C0"/>
            <w:vAlign w:val="center"/>
            <w:hideMark/>
          </w:tcPr>
          <w:p w:rsidR="00A70D39" w:rsidRPr="00F66921" w:rsidRDefault="00A70D39" w:rsidP="002151A5">
            <w:pPr>
              <w:jc w:val="center"/>
              <w:rPr>
                <w:b/>
                <w:sz w:val="24"/>
                <w:szCs w:val="24"/>
              </w:rPr>
            </w:pPr>
            <w:r w:rsidRPr="00F66921">
              <w:rPr>
                <w:b/>
                <w:sz w:val="24"/>
                <w:szCs w:val="24"/>
              </w:rPr>
              <w:t>Názov systému</w:t>
            </w:r>
          </w:p>
        </w:tc>
      </w:tr>
      <w:tr w:rsidR="00A70D39" w:rsidRPr="00F66921" w:rsidTr="002151A5">
        <w:trPr>
          <w:trHeight w:val="20"/>
        </w:trPr>
        <w:tc>
          <w:tcPr>
            <w:tcW w:w="3956" w:type="dxa"/>
            <w:hideMark/>
          </w:tcPr>
          <w:p w:rsidR="00A70D39" w:rsidRPr="00F66921" w:rsidRDefault="00A70D39" w:rsidP="002151A5">
            <w:pPr>
              <w:jc w:val="both"/>
              <w:rPr>
                <w:sz w:val="24"/>
                <w:szCs w:val="24"/>
              </w:rPr>
            </w:pPr>
            <w:r w:rsidRPr="00F66921">
              <w:rPr>
                <w:b/>
                <w:sz w:val="24"/>
                <w:szCs w:val="24"/>
              </w:rPr>
              <w:t>6.2.</w:t>
            </w:r>
            <w:r w:rsidRPr="00F66921">
              <w:rPr>
                <w:sz w:val="24"/>
                <w:szCs w:val="24"/>
              </w:rPr>
              <w:t xml:space="preserve"> Predpokladá predložený návrh zmenu existujúceho alebo vytvorenie nového informačného systému verejnej správy?</w:t>
            </w:r>
          </w:p>
          <w:p w:rsidR="00A70D39" w:rsidRPr="00F66921" w:rsidRDefault="00A70D39" w:rsidP="002151A5">
            <w:pPr>
              <w:jc w:val="both"/>
              <w:rPr>
                <w:sz w:val="24"/>
                <w:szCs w:val="24"/>
              </w:rPr>
            </w:pPr>
            <w:r w:rsidRPr="00F66921">
              <w:rPr>
                <w:i/>
                <w:iCs/>
                <w:sz w:val="24"/>
                <w:szCs w:val="24"/>
              </w:rPr>
              <w:t xml:space="preserve">(Ak áno, uveďte zmenu systému alebo vytvorenie nového systému, ďalej jeho kód a názov z centrálneho </w:t>
            </w:r>
            <w:proofErr w:type="spellStart"/>
            <w:r w:rsidRPr="00F66921">
              <w:rPr>
                <w:i/>
                <w:iCs/>
                <w:sz w:val="24"/>
                <w:szCs w:val="24"/>
              </w:rPr>
              <w:t>metainformačného</w:t>
            </w:r>
            <w:proofErr w:type="spellEnd"/>
            <w:r w:rsidRPr="00F66921">
              <w:rPr>
                <w:i/>
                <w:iCs/>
                <w:sz w:val="24"/>
                <w:szCs w:val="24"/>
              </w:rPr>
              <w:t xml:space="preserve"> systému verejnej správy.)</w:t>
            </w:r>
          </w:p>
        </w:tc>
        <w:tc>
          <w:tcPr>
            <w:tcW w:w="1162" w:type="dxa"/>
          </w:tcPr>
          <w:p w:rsidR="00A70D39" w:rsidRPr="00F66921" w:rsidRDefault="00A70D39" w:rsidP="002151A5">
            <w:pPr>
              <w:jc w:val="center"/>
              <w:rPr>
                <w:i/>
                <w:iCs/>
                <w:sz w:val="24"/>
                <w:szCs w:val="24"/>
              </w:rPr>
            </w:pPr>
          </w:p>
          <w:p w:rsidR="00A70D39" w:rsidRPr="00F66921" w:rsidRDefault="00A70D39" w:rsidP="002151A5">
            <w:pPr>
              <w:jc w:val="center"/>
              <w:rPr>
                <w:i/>
                <w:iCs/>
                <w:sz w:val="24"/>
                <w:szCs w:val="24"/>
              </w:rPr>
            </w:pPr>
            <w:r w:rsidRPr="00F66921">
              <w:rPr>
                <w:i/>
                <w:iCs/>
                <w:sz w:val="24"/>
                <w:szCs w:val="24"/>
              </w:rPr>
              <w:t>B</w:t>
            </w:r>
          </w:p>
          <w:p w:rsidR="00A70D39" w:rsidRPr="00F66921" w:rsidRDefault="00A70D39" w:rsidP="002151A5">
            <w:pPr>
              <w:jc w:val="center"/>
              <w:rPr>
                <w:i/>
                <w:iCs/>
                <w:sz w:val="24"/>
                <w:szCs w:val="24"/>
              </w:rPr>
            </w:pPr>
          </w:p>
          <w:p w:rsidR="00A70D39" w:rsidRPr="00F66921" w:rsidRDefault="00A70D39" w:rsidP="002151A5">
            <w:pPr>
              <w:jc w:val="center"/>
              <w:rPr>
                <w:i/>
                <w:iCs/>
                <w:sz w:val="24"/>
                <w:szCs w:val="24"/>
              </w:rPr>
            </w:pPr>
            <w:r w:rsidRPr="00F66921">
              <w:rPr>
                <w:i/>
                <w:iCs/>
                <w:sz w:val="24"/>
                <w:szCs w:val="24"/>
              </w:rPr>
              <w:t>B</w:t>
            </w:r>
          </w:p>
        </w:tc>
        <w:tc>
          <w:tcPr>
            <w:tcW w:w="851" w:type="dxa"/>
          </w:tcPr>
          <w:p w:rsidR="00A70D39" w:rsidRPr="00F66921" w:rsidRDefault="00A70D39" w:rsidP="002151A5">
            <w:pPr>
              <w:rPr>
                <w:i/>
                <w:iCs/>
                <w:sz w:val="24"/>
                <w:szCs w:val="24"/>
              </w:rPr>
            </w:pPr>
          </w:p>
          <w:p w:rsidR="00A70D39" w:rsidRPr="00F66921" w:rsidRDefault="00A70D39" w:rsidP="002151A5">
            <w:pPr>
              <w:rPr>
                <w:iCs/>
                <w:sz w:val="24"/>
                <w:szCs w:val="24"/>
              </w:rPr>
            </w:pPr>
            <w:r w:rsidRPr="00F66921">
              <w:rPr>
                <w:iCs/>
                <w:sz w:val="24"/>
                <w:szCs w:val="24"/>
              </w:rPr>
              <w:t>isvs_7205</w:t>
            </w:r>
          </w:p>
          <w:p w:rsidR="00A70D39" w:rsidRPr="00F66921" w:rsidRDefault="00A70D39" w:rsidP="002151A5">
            <w:pPr>
              <w:rPr>
                <w:sz w:val="24"/>
                <w:szCs w:val="24"/>
              </w:rPr>
            </w:pPr>
          </w:p>
          <w:p w:rsidR="00A70D39" w:rsidRPr="00F66921" w:rsidRDefault="00A70D39" w:rsidP="002151A5">
            <w:pPr>
              <w:rPr>
                <w:sz w:val="24"/>
                <w:szCs w:val="24"/>
              </w:rPr>
            </w:pPr>
            <w:r w:rsidRPr="00F66921">
              <w:rPr>
                <w:sz w:val="24"/>
                <w:szCs w:val="24"/>
              </w:rPr>
              <w:t>isvs_7213</w:t>
            </w:r>
          </w:p>
        </w:tc>
        <w:tc>
          <w:tcPr>
            <w:tcW w:w="3402" w:type="dxa"/>
            <w:gridSpan w:val="3"/>
          </w:tcPr>
          <w:p w:rsidR="00A70D39" w:rsidRPr="00F66921" w:rsidRDefault="00A70D39" w:rsidP="002151A5">
            <w:pPr>
              <w:jc w:val="center"/>
              <w:rPr>
                <w:sz w:val="24"/>
                <w:szCs w:val="24"/>
              </w:rPr>
            </w:pPr>
          </w:p>
          <w:p w:rsidR="00A70D39" w:rsidRPr="00F66921" w:rsidRDefault="00A70D39" w:rsidP="002151A5">
            <w:pPr>
              <w:jc w:val="center"/>
              <w:rPr>
                <w:i/>
                <w:iCs/>
                <w:sz w:val="24"/>
                <w:szCs w:val="24"/>
              </w:rPr>
            </w:pPr>
            <w:r w:rsidRPr="00F66921">
              <w:rPr>
                <w:sz w:val="24"/>
                <w:szCs w:val="24"/>
              </w:rPr>
              <w:t>Systém správy nepriamych daní (</w:t>
            </w:r>
            <w:proofErr w:type="spellStart"/>
            <w:r w:rsidRPr="00F66921">
              <w:rPr>
                <w:sz w:val="24"/>
                <w:szCs w:val="24"/>
              </w:rPr>
              <w:t>SySNeD</w:t>
            </w:r>
            <w:proofErr w:type="spellEnd"/>
            <w:r w:rsidRPr="00F66921">
              <w:rPr>
                <w:sz w:val="24"/>
                <w:szCs w:val="24"/>
              </w:rPr>
              <w:t>)</w:t>
            </w:r>
          </w:p>
          <w:p w:rsidR="00A70D39" w:rsidRPr="00F66921" w:rsidRDefault="00A70D39" w:rsidP="002151A5">
            <w:pPr>
              <w:jc w:val="center"/>
              <w:rPr>
                <w:i/>
                <w:iCs/>
                <w:sz w:val="24"/>
                <w:szCs w:val="24"/>
              </w:rPr>
            </w:pPr>
          </w:p>
          <w:p w:rsidR="00A70D39" w:rsidRPr="00F66921" w:rsidRDefault="00A70D39" w:rsidP="002151A5">
            <w:pPr>
              <w:jc w:val="center"/>
              <w:rPr>
                <w:i/>
                <w:iCs/>
                <w:sz w:val="24"/>
                <w:szCs w:val="24"/>
              </w:rPr>
            </w:pPr>
            <w:r w:rsidRPr="00F66921">
              <w:rPr>
                <w:sz w:val="24"/>
                <w:szCs w:val="24"/>
              </w:rPr>
              <w:t xml:space="preserve">Portál Finančnej správy (PFS) </w:t>
            </w:r>
          </w:p>
        </w:tc>
      </w:tr>
      <w:tr w:rsidR="00A70D39" w:rsidRPr="00F66921" w:rsidTr="002151A5">
        <w:trPr>
          <w:trHeight w:val="20"/>
        </w:trPr>
        <w:tc>
          <w:tcPr>
            <w:tcW w:w="3956" w:type="dxa"/>
            <w:shd w:val="clear" w:color="auto" w:fill="BFBFBF"/>
            <w:vAlign w:val="center"/>
            <w:hideMark/>
          </w:tcPr>
          <w:p w:rsidR="00A70D39" w:rsidRPr="00F66921" w:rsidRDefault="00A70D39" w:rsidP="002151A5">
            <w:pPr>
              <w:ind w:hanging="55"/>
              <w:jc w:val="center"/>
              <w:rPr>
                <w:b/>
                <w:sz w:val="24"/>
                <w:szCs w:val="24"/>
              </w:rPr>
            </w:pPr>
            <w:r w:rsidRPr="00F66921">
              <w:rPr>
                <w:b/>
                <w:sz w:val="24"/>
                <w:szCs w:val="24"/>
              </w:rPr>
              <w:t>Financovanie procesu informatizácie</w:t>
            </w:r>
          </w:p>
        </w:tc>
        <w:tc>
          <w:tcPr>
            <w:tcW w:w="1162" w:type="dxa"/>
            <w:shd w:val="clear" w:color="auto" w:fill="BFBFBF"/>
            <w:vAlign w:val="center"/>
            <w:hideMark/>
          </w:tcPr>
          <w:p w:rsidR="00A70D39" w:rsidRPr="00F66921" w:rsidRDefault="00A70D39" w:rsidP="002151A5">
            <w:pPr>
              <w:jc w:val="center"/>
              <w:rPr>
                <w:b/>
                <w:i/>
                <w:iCs/>
                <w:sz w:val="24"/>
                <w:szCs w:val="24"/>
              </w:rPr>
            </w:pPr>
            <w:r w:rsidRPr="00F66921">
              <w:rPr>
                <w:b/>
                <w:sz w:val="24"/>
                <w:szCs w:val="24"/>
              </w:rPr>
              <w:t>Rezortná úroveň</w:t>
            </w:r>
          </w:p>
        </w:tc>
        <w:tc>
          <w:tcPr>
            <w:tcW w:w="1276" w:type="dxa"/>
            <w:gridSpan w:val="2"/>
            <w:shd w:val="clear" w:color="auto" w:fill="BFBFBF"/>
            <w:vAlign w:val="center"/>
          </w:tcPr>
          <w:p w:rsidR="00A70D39" w:rsidRPr="00F66921" w:rsidRDefault="00A70D39" w:rsidP="002151A5">
            <w:pPr>
              <w:jc w:val="center"/>
              <w:rPr>
                <w:b/>
                <w:i/>
                <w:iCs/>
                <w:sz w:val="24"/>
                <w:szCs w:val="24"/>
              </w:rPr>
            </w:pPr>
            <w:r w:rsidRPr="00F66921">
              <w:rPr>
                <w:b/>
                <w:sz w:val="24"/>
                <w:szCs w:val="24"/>
              </w:rPr>
              <w:t>Nadrezortná úroveň</w:t>
            </w:r>
          </w:p>
          <w:p w:rsidR="00A70D39" w:rsidRPr="00F66921" w:rsidRDefault="00A70D39" w:rsidP="002151A5">
            <w:pPr>
              <w:jc w:val="center"/>
              <w:rPr>
                <w:b/>
                <w:sz w:val="24"/>
                <w:szCs w:val="24"/>
              </w:rPr>
            </w:pPr>
          </w:p>
        </w:tc>
        <w:tc>
          <w:tcPr>
            <w:tcW w:w="2977" w:type="dxa"/>
            <w:gridSpan w:val="2"/>
            <w:shd w:val="clear" w:color="auto" w:fill="BFBFBF"/>
            <w:vAlign w:val="center"/>
            <w:hideMark/>
          </w:tcPr>
          <w:p w:rsidR="00A70D39" w:rsidRPr="00F66921" w:rsidRDefault="00A70D39" w:rsidP="002151A5">
            <w:pPr>
              <w:rPr>
                <w:b/>
                <w:sz w:val="24"/>
                <w:szCs w:val="24"/>
              </w:rPr>
            </w:pPr>
            <w:r w:rsidRPr="00F66921">
              <w:rPr>
                <w:b/>
                <w:sz w:val="24"/>
                <w:szCs w:val="24"/>
              </w:rPr>
              <w:t>A - z prostriedkov EÚ   B - z ďalších zdrojov financovania</w:t>
            </w:r>
          </w:p>
        </w:tc>
      </w:tr>
      <w:tr w:rsidR="00A70D39" w:rsidRPr="004403D3" w:rsidTr="002151A5">
        <w:trPr>
          <w:trHeight w:val="20"/>
        </w:trPr>
        <w:tc>
          <w:tcPr>
            <w:tcW w:w="3956" w:type="dxa"/>
            <w:hideMark/>
          </w:tcPr>
          <w:p w:rsidR="00A70D39" w:rsidRPr="00F66921" w:rsidRDefault="00A70D39" w:rsidP="002151A5">
            <w:pPr>
              <w:jc w:val="both"/>
              <w:rPr>
                <w:sz w:val="24"/>
                <w:szCs w:val="24"/>
              </w:rPr>
            </w:pPr>
            <w:r w:rsidRPr="00F66921">
              <w:rPr>
                <w:b/>
                <w:sz w:val="24"/>
                <w:szCs w:val="24"/>
              </w:rPr>
              <w:t>6.3.</w:t>
            </w:r>
            <w:r w:rsidRPr="00F66921">
              <w:rPr>
                <w:sz w:val="24"/>
                <w:szCs w:val="24"/>
              </w:rPr>
              <w:t xml:space="preserve"> Vyžaduje si proces informatizácie  finančné investície?</w:t>
            </w:r>
          </w:p>
          <w:p w:rsidR="00A70D39" w:rsidRPr="00F66921" w:rsidRDefault="00A70D39" w:rsidP="002151A5">
            <w:pPr>
              <w:jc w:val="both"/>
              <w:rPr>
                <w:sz w:val="24"/>
                <w:szCs w:val="24"/>
              </w:rPr>
            </w:pPr>
            <w:r w:rsidRPr="00F66921">
              <w:rPr>
                <w:i/>
                <w:iCs/>
                <w:sz w:val="24"/>
                <w:szCs w:val="24"/>
              </w:rPr>
              <w:t>(Uveďte príslušnú úroveň financovania a kvantifikáciu finančných výdavkov uveďte  v analýze vplyvov na rozpočet verejnej správy.)</w:t>
            </w:r>
          </w:p>
        </w:tc>
        <w:tc>
          <w:tcPr>
            <w:tcW w:w="1162" w:type="dxa"/>
          </w:tcPr>
          <w:p w:rsidR="00A70D39" w:rsidRPr="00F66921" w:rsidRDefault="00A70D39" w:rsidP="002151A5">
            <w:pPr>
              <w:jc w:val="center"/>
              <w:rPr>
                <w:iCs/>
                <w:sz w:val="24"/>
                <w:szCs w:val="24"/>
              </w:rPr>
            </w:pPr>
          </w:p>
          <w:p w:rsidR="00A70D39" w:rsidRPr="00F66921" w:rsidRDefault="00A70D39" w:rsidP="002151A5">
            <w:pPr>
              <w:jc w:val="center"/>
              <w:rPr>
                <w:iCs/>
                <w:sz w:val="24"/>
                <w:szCs w:val="24"/>
              </w:rPr>
            </w:pPr>
          </w:p>
          <w:p w:rsidR="00A70D39" w:rsidRPr="00F66921" w:rsidRDefault="00A70D39" w:rsidP="002151A5">
            <w:pPr>
              <w:jc w:val="center"/>
              <w:rPr>
                <w:b/>
                <w:i/>
                <w:iCs/>
                <w:sz w:val="24"/>
                <w:szCs w:val="24"/>
              </w:rPr>
            </w:pPr>
            <w:r w:rsidRPr="00F66921">
              <w:rPr>
                <w:b/>
                <w:i/>
                <w:iCs/>
                <w:sz w:val="24"/>
                <w:szCs w:val="24"/>
              </w:rPr>
              <w:t>X</w:t>
            </w:r>
          </w:p>
        </w:tc>
        <w:tc>
          <w:tcPr>
            <w:tcW w:w="1276" w:type="dxa"/>
            <w:gridSpan w:val="2"/>
          </w:tcPr>
          <w:p w:rsidR="00A70D39" w:rsidRPr="00F66921" w:rsidRDefault="00A70D39" w:rsidP="002151A5">
            <w:pPr>
              <w:jc w:val="center"/>
              <w:rPr>
                <w:iCs/>
                <w:sz w:val="24"/>
                <w:szCs w:val="24"/>
              </w:rPr>
            </w:pPr>
          </w:p>
          <w:p w:rsidR="00A70D39" w:rsidRPr="00F66921" w:rsidRDefault="00A70D39" w:rsidP="002151A5">
            <w:pPr>
              <w:jc w:val="center"/>
              <w:rPr>
                <w:iCs/>
                <w:sz w:val="24"/>
                <w:szCs w:val="24"/>
              </w:rPr>
            </w:pPr>
          </w:p>
          <w:p w:rsidR="00A70D39" w:rsidRPr="00F66921" w:rsidRDefault="00A70D39" w:rsidP="002151A5">
            <w:pPr>
              <w:jc w:val="center"/>
              <w:rPr>
                <w:b/>
                <w:iCs/>
                <w:sz w:val="24"/>
                <w:szCs w:val="24"/>
              </w:rPr>
            </w:pPr>
          </w:p>
        </w:tc>
        <w:tc>
          <w:tcPr>
            <w:tcW w:w="2977" w:type="dxa"/>
            <w:gridSpan w:val="2"/>
          </w:tcPr>
          <w:p w:rsidR="00A70D39" w:rsidRPr="00F66921" w:rsidRDefault="00A70D39" w:rsidP="002151A5">
            <w:pPr>
              <w:jc w:val="center"/>
              <w:rPr>
                <w:b/>
                <w:iCs/>
                <w:sz w:val="24"/>
                <w:szCs w:val="24"/>
              </w:rPr>
            </w:pPr>
            <w:r w:rsidRPr="00F66921">
              <w:rPr>
                <w:b/>
                <w:iCs/>
                <w:sz w:val="24"/>
                <w:szCs w:val="24"/>
              </w:rPr>
              <w:t>B</w:t>
            </w:r>
          </w:p>
          <w:p w:rsidR="00A70D39" w:rsidRPr="00F66921" w:rsidRDefault="00A70D39" w:rsidP="002151A5">
            <w:pPr>
              <w:rPr>
                <w:b/>
                <w:iCs/>
                <w:sz w:val="24"/>
                <w:szCs w:val="24"/>
              </w:rPr>
            </w:pPr>
          </w:p>
        </w:tc>
      </w:tr>
    </w:tbl>
    <w:p w:rsidR="00A70D39" w:rsidRDefault="00A70D39" w:rsidP="00A70D39"/>
    <w:p w:rsidR="00A70D39" w:rsidRPr="004D5CDE" w:rsidRDefault="00A70D39" w:rsidP="00A70D39">
      <w:pPr>
        <w:pStyle w:val="Nzov"/>
      </w:pPr>
      <w:r w:rsidRPr="004D5CDE">
        <w:t>DOLOŽKA  ZLUČITEĽNOSTI</w:t>
      </w:r>
    </w:p>
    <w:p w:rsidR="00A70D39" w:rsidRPr="004D5CDE" w:rsidRDefault="00A70D39" w:rsidP="00A70D39">
      <w:pPr>
        <w:pStyle w:val="Nzov"/>
        <w:rPr>
          <w:bCs w:val="0"/>
        </w:rPr>
      </w:pPr>
      <w:r w:rsidRPr="004D5CDE">
        <w:rPr>
          <w:bCs w:val="0"/>
        </w:rPr>
        <w:t>návrhu zákona s právom Európskej únie</w:t>
      </w:r>
    </w:p>
    <w:p w:rsidR="00A70D39" w:rsidRPr="004D5CDE" w:rsidRDefault="00A70D39" w:rsidP="00A70D39">
      <w:pPr>
        <w:pStyle w:val="Zkladntext1"/>
        <w:tabs>
          <w:tab w:val="left" w:pos="284"/>
        </w:tabs>
        <w:spacing w:before="120"/>
        <w:rPr>
          <w:b/>
          <w:bCs/>
          <w:color w:val="auto"/>
          <w:sz w:val="24"/>
          <w:szCs w:val="24"/>
        </w:rPr>
      </w:pPr>
      <w:r w:rsidRPr="004D5CDE">
        <w:rPr>
          <w:b/>
          <w:bCs/>
          <w:color w:val="auto"/>
          <w:sz w:val="24"/>
          <w:szCs w:val="24"/>
        </w:rPr>
        <w:t>1.</w:t>
      </w:r>
      <w:r w:rsidRPr="004D5CDE">
        <w:rPr>
          <w:b/>
          <w:bCs/>
          <w:color w:val="auto"/>
          <w:sz w:val="24"/>
          <w:szCs w:val="24"/>
        </w:rPr>
        <w:tab/>
        <w:t xml:space="preserve">Navrhovateľ zákona: </w:t>
      </w:r>
    </w:p>
    <w:p w:rsidR="00A70D39" w:rsidRPr="004D5CDE" w:rsidRDefault="00A70D39" w:rsidP="00A70D39">
      <w:pPr>
        <w:pStyle w:val="Zkladntext1"/>
        <w:spacing w:before="120" w:after="240"/>
        <w:ind w:left="284"/>
        <w:jc w:val="both"/>
        <w:rPr>
          <w:color w:val="auto"/>
          <w:sz w:val="24"/>
          <w:szCs w:val="24"/>
        </w:rPr>
      </w:pPr>
      <w:r w:rsidRPr="004D5CDE">
        <w:rPr>
          <w:color w:val="auto"/>
          <w:sz w:val="24"/>
          <w:szCs w:val="24"/>
        </w:rPr>
        <w:t>Vláda Slovenskej republiky.</w:t>
      </w:r>
    </w:p>
    <w:p w:rsidR="00A70D39" w:rsidRPr="004D5CDE" w:rsidRDefault="00A70D39" w:rsidP="00A70D39">
      <w:pPr>
        <w:pStyle w:val="Zkladntext1"/>
        <w:numPr>
          <w:ilvl w:val="0"/>
          <w:numId w:val="23"/>
        </w:numPr>
        <w:tabs>
          <w:tab w:val="clear" w:pos="360"/>
          <w:tab w:val="left" w:pos="284"/>
        </w:tabs>
        <w:spacing w:before="120" w:after="120"/>
        <w:ind w:left="0" w:firstLine="0"/>
        <w:jc w:val="both"/>
        <w:rPr>
          <w:b/>
          <w:bCs/>
          <w:color w:val="auto"/>
          <w:sz w:val="24"/>
          <w:szCs w:val="24"/>
        </w:rPr>
      </w:pPr>
      <w:r w:rsidRPr="004D5CDE">
        <w:rPr>
          <w:b/>
          <w:bCs/>
          <w:color w:val="auto"/>
          <w:sz w:val="24"/>
          <w:szCs w:val="24"/>
        </w:rPr>
        <w:t xml:space="preserve">Názov návrhu zákona: </w:t>
      </w:r>
    </w:p>
    <w:p w:rsidR="00A70D39" w:rsidRPr="004D5CDE" w:rsidRDefault="00A70D39" w:rsidP="00A70D39">
      <w:pPr>
        <w:tabs>
          <w:tab w:val="left" w:pos="900"/>
        </w:tabs>
        <w:autoSpaceDE w:val="0"/>
        <w:autoSpaceDN w:val="0"/>
        <w:adjustRightInd w:val="0"/>
        <w:spacing w:after="240" w:line="240" w:lineRule="atLeast"/>
        <w:ind w:left="284"/>
        <w:jc w:val="both"/>
        <w:rPr>
          <w:bCs/>
        </w:rPr>
      </w:pPr>
      <w:r w:rsidRPr="004D5CDE">
        <w:t xml:space="preserve">Návrh zákona, ktorým sa mení a dopĺňa zákon č. </w:t>
      </w:r>
      <w:r w:rsidRPr="004D5CDE">
        <w:rPr>
          <w:bCs/>
        </w:rPr>
        <w:t>530/2011 Z. z. o spotrebnej dani z alkoholických nápojov v znení neskorších predpisov a ktorým sa mení zákon č. 467/2002 Z. z. o výrobe a uvádzaní liehu na trh v znení neskorších predpisov</w:t>
      </w:r>
      <w:r w:rsidRPr="004D5CDE">
        <w:t>.</w:t>
      </w:r>
    </w:p>
    <w:p w:rsidR="00A70D39" w:rsidRPr="004D5CDE" w:rsidRDefault="00A70D39" w:rsidP="00A70D39">
      <w:pPr>
        <w:pStyle w:val="Zkladntext1"/>
        <w:numPr>
          <w:ilvl w:val="0"/>
          <w:numId w:val="23"/>
        </w:numPr>
        <w:tabs>
          <w:tab w:val="clear" w:pos="360"/>
          <w:tab w:val="left" w:pos="284"/>
        </w:tabs>
        <w:spacing w:before="120" w:after="240"/>
        <w:ind w:left="0" w:firstLine="0"/>
        <w:jc w:val="both"/>
        <w:rPr>
          <w:b/>
          <w:bCs/>
          <w:color w:val="auto"/>
          <w:sz w:val="24"/>
          <w:szCs w:val="24"/>
        </w:rPr>
      </w:pPr>
      <w:r w:rsidRPr="004D5CDE">
        <w:rPr>
          <w:b/>
          <w:bCs/>
          <w:color w:val="auto"/>
          <w:sz w:val="24"/>
          <w:szCs w:val="24"/>
        </w:rPr>
        <w:t xml:space="preserve">Predmet návrhu zákona </w:t>
      </w:r>
      <w:r w:rsidRPr="004D5CDE">
        <w:rPr>
          <w:b/>
          <w:color w:val="auto"/>
          <w:sz w:val="24"/>
          <w:szCs w:val="24"/>
        </w:rPr>
        <w:t>je upravený v práve Európskej únie:</w:t>
      </w:r>
    </w:p>
    <w:p w:rsidR="00A70D39" w:rsidRPr="004D5CDE" w:rsidRDefault="00A70D39" w:rsidP="00A70D39">
      <w:pPr>
        <w:pStyle w:val="Zkladntext1"/>
        <w:numPr>
          <w:ilvl w:val="0"/>
          <w:numId w:val="24"/>
        </w:numPr>
        <w:spacing w:after="120"/>
        <w:ind w:left="641" w:hanging="357"/>
        <w:rPr>
          <w:i/>
          <w:color w:val="auto"/>
          <w:sz w:val="24"/>
          <w:szCs w:val="24"/>
        </w:rPr>
      </w:pPr>
      <w:r w:rsidRPr="004D5CDE">
        <w:rPr>
          <w:b/>
          <w:bCs/>
          <w:i/>
          <w:iCs/>
          <w:color w:val="auto"/>
          <w:sz w:val="24"/>
          <w:szCs w:val="24"/>
        </w:rPr>
        <w:t>Primárne právo:</w:t>
      </w:r>
    </w:p>
    <w:p w:rsidR="00A70D39" w:rsidRPr="004D5CDE" w:rsidRDefault="00A70D39" w:rsidP="00A70D39">
      <w:pPr>
        <w:pStyle w:val="Zkladntext1"/>
        <w:numPr>
          <w:ilvl w:val="0"/>
          <w:numId w:val="22"/>
        </w:numPr>
        <w:spacing w:after="120"/>
        <w:ind w:left="658" w:hanging="357"/>
        <w:jc w:val="both"/>
        <w:rPr>
          <w:color w:val="auto"/>
          <w:sz w:val="24"/>
          <w:szCs w:val="24"/>
        </w:rPr>
      </w:pPr>
      <w:r w:rsidRPr="004D5CDE">
        <w:rPr>
          <w:color w:val="auto"/>
          <w:sz w:val="24"/>
          <w:szCs w:val="24"/>
        </w:rPr>
        <w:t>čl. 110 až 113 a čl. 355 Zmluvy o fungovaní Európskej únie (</w:t>
      </w:r>
      <w:r w:rsidRPr="004D5CDE">
        <w:rPr>
          <w:rStyle w:val="awspan1"/>
          <w:color w:val="auto"/>
          <w:szCs w:val="24"/>
        </w:rPr>
        <w:t>Ú. v. EÚ C 202, 7.6.2016) v platnom znení</w:t>
      </w:r>
      <w:r w:rsidRPr="004D5CDE">
        <w:rPr>
          <w:color w:val="auto"/>
          <w:sz w:val="24"/>
          <w:szCs w:val="24"/>
        </w:rPr>
        <w:t>,</w:t>
      </w:r>
    </w:p>
    <w:p w:rsidR="00A70D39" w:rsidRPr="004D5CDE" w:rsidRDefault="00A70D39" w:rsidP="00A70D39">
      <w:pPr>
        <w:pStyle w:val="Zkladntext1"/>
        <w:numPr>
          <w:ilvl w:val="0"/>
          <w:numId w:val="22"/>
        </w:numPr>
        <w:spacing w:after="240"/>
        <w:ind w:left="658" w:hanging="357"/>
        <w:rPr>
          <w:color w:val="auto"/>
          <w:sz w:val="24"/>
          <w:szCs w:val="24"/>
        </w:rPr>
      </w:pPr>
      <w:r w:rsidRPr="004D5CDE">
        <w:rPr>
          <w:color w:val="auto"/>
          <w:sz w:val="24"/>
          <w:szCs w:val="24"/>
        </w:rPr>
        <w:t>čl. 52 Zmluvy o Európskej únii (</w:t>
      </w:r>
      <w:r w:rsidRPr="004D5CDE">
        <w:rPr>
          <w:rStyle w:val="awspan1"/>
          <w:color w:val="auto"/>
          <w:szCs w:val="24"/>
        </w:rPr>
        <w:t>Ú. v. EÚ C 202, 7.6.2016) v platnom znení</w:t>
      </w:r>
      <w:r w:rsidRPr="004D5CDE">
        <w:rPr>
          <w:color w:val="auto"/>
          <w:sz w:val="24"/>
          <w:szCs w:val="24"/>
        </w:rPr>
        <w:t>.</w:t>
      </w:r>
    </w:p>
    <w:p w:rsidR="00A70D39" w:rsidRPr="004D5CDE" w:rsidRDefault="00A70D39" w:rsidP="00A70D39">
      <w:pPr>
        <w:pStyle w:val="Zkladntext1"/>
        <w:numPr>
          <w:ilvl w:val="0"/>
          <w:numId w:val="24"/>
        </w:numPr>
        <w:spacing w:after="60"/>
        <w:rPr>
          <w:b/>
          <w:bCs/>
          <w:i/>
          <w:iCs/>
          <w:color w:val="auto"/>
          <w:sz w:val="24"/>
          <w:szCs w:val="24"/>
        </w:rPr>
      </w:pPr>
      <w:r w:rsidRPr="004D5CDE">
        <w:rPr>
          <w:b/>
          <w:bCs/>
          <w:i/>
          <w:iCs/>
          <w:color w:val="auto"/>
          <w:sz w:val="24"/>
          <w:szCs w:val="24"/>
        </w:rPr>
        <w:t>Sekundárne právo:</w:t>
      </w:r>
    </w:p>
    <w:p w:rsidR="00A70D39" w:rsidRPr="004D5CDE" w:rsidRDefault="00A70D39" w:rsidP="00A70D39">
      <w:pPr>
        <w:numPr>
          <w:ilvl w:val="0"/>
          <w:numId w:val="22"/>
        </w:numPr>
        <w:spacing w:after="120"/>
        <w:ind w:hanging="357"/>
        <w:jc w:val="both"/>
        <w:rPr>
          <w:rStyle w:val="Zvraznenie"/>
          <w:i w:val="0"/>
          <w:iCs w:val="0"/>
        </w:rPr>
      </w:pPr>
      <w:r w:rsidRPr="004D5CDE">
        <w:t>smernica Rady (EÚ) 2020/1151 z 29. júla 2020, ktorou sa mení smernica 92/83/EHS o zosúladení štruktúr spotrebných daní pre etanol a alkoholické nápoje .</w:t>
      </w:r>
      <w:r w:rsidRPr="004D5CDE">
        <w:rPr>
          <w:rStyle w:val="Zvraznenie"/>
        </w:rPr>
        <w:t xml:space="preserve"> (</w:t>
      </w:r>
      <w:r w:rsidRPr="004D5CDE">
        <w:rPr>
          <w:iCs/>
          <w:shd w:val="clear" w:color="auto" w:fill="FFFFFF"/>
        </w:rPr>
        <w:t>Ú. v. EÚ L 256, 5.8.2020)</w:t>
      </w:r>
      <w:r w:rsidRPr="004D5CDE">
        <w:rPr>
          <w:rStyle w:val="Zvraznenie"/>
        </w:rPr>
        <w:t>, gestor: zatiaľ nebol určený,</w:t>
      </w:r>
    </w:p>
    <w:p w:rsidR="00A70D39" w:rsidRPr="004D5CDE" w:rsidRDefault="00A70D39" w:rsidP="00A70D39">
      <w:pPr>
        <w:numPr>
          <w:ilvl w:val="0"/>
          <w:numId w:val="22"/>
        </w:numPr>
        <w:spacing w:after="120"/>
        <w:ind w:hanging="357"/>
        <w:jc w:val="both"/>
        <w:rPr>
          <w:rStyle w:val="Zvraznenie"/>
          <w:i w:val="0"/>
          <w:iCs w:val="0"/>
        </w:rPr>
      </w:pPr>
      <w:r w:rsidRPr="004D5CDE">
        <w:rPr>
          <w:rStyle w:val="Zvraznenie"/>
        </w:rPr>
        <w:t>smernica Rady (EÚ) 2020/262 z 19. decembra 2019, ktorou sa ustanovuje všeobecný systém spotrebných daní (prepracované znenie) (</w:t>
      </w:r>
      <w:r w:rsidRPr="004D5CDE">
        <w:rPr>
          <w:iCs/>
          <w:shd w:val="clear" w:color="auto" w:fill="FFFFFF"/>
        </w:rPr>
        <w:t>Ú. v. EÚ L 58, 27.2.2020)</w:t>
      </w:r>
      <w:r w:rsidRPr="004D5CDE">
        <w:rPr>
          <w:rStyle w:val="Zvraznenie"/>
        </w:rPr>
        <w:t xml:space="preserve">, gestor: </w:t>
      </w:r>
      <w:r w:rsidRPr="004D5CDE">
        <w:rPr>
          <w:noProof/>
        </w:rPr>
        <w:t>MF SR</w:t>
      </w:r>
      <w:r w:rsidRPr="004D5CDE">
        <w:rPr>
          <w:rStyle w:val="Zvraznenie"/>
        </w:rPr>
        <w:t>,</w:t>
      </w:r>
    </w:p>
    <w:p w:rsidR="00A70D39" w:rsidRPr="004D5CDE" w:rsidRDefault="00A70D39" w:rsidP="00A70D39">
      <w:pPr>
        <w:numPr>
          <w:ilvl w:val="0"/>
          <w:numId w:val="22"/>
        </w:numPr>
        <w:spacing w:after="120"/>
        <w:ind w:hanging="357"/>
        <w:jc w:val="both"/>
        <w:rPr>
          <w:rStyle w:val="Zvraznenie"/>
          <w:i w:val="0"/>
          <w:iCs w:val="0"/>
        </w:rPr>
      </w:pPr>
      <w:r w:rsidRPr="004D5CDE">
        <w:rPr>
          <w:shd w:val="clear" w:color="auto" w:fill="FFFFFF"/>
        </w:rPr>
        <w:t>smernica Rady (EÚ) 2019/2235 zo 16. decembra 2019, ktorou sa mení smernica 2006/112/ES o spoločnom systéme dane z pridanej hodnoty a smernica 2008/118/ES o všeobecnom systéme spotrebných daní, pokiaľ ide o obranné úsilie v rámci Únie (</w:t>
      </w:r>
      <w:r w:rsidRPr="004D5CDE">
        <w:rPr>
          <w:rStyle w:val="Zvraznenie"/>
          <w:shd w:val="clear" w:color="auto" w:fill="FFFFFF"/>
        </w:rPr>
        <w:t xml:space="preserve">Ú. v. EÚ L 336, 30.12.2019), </w:t>
      </w:r>
      <w:r w:rsidRPr="004D5CDE">
        <w:rPr>
          <w:rStyle w:val="Zvraznenie"/>
        </w:rPr>
        <w:t xml:space="preserve">gestor: </w:t>
      </w:r>
      <w:r w:rsidRPr="004D5CDE">
        <w:rPr>
          <w:noProof/>
        </w:rPr>
        <w:t>MF SR</w:t>
      </w:r>
      <w:r w:rsidRPr="004D5CDE">
        <w:rPr>
          <w:rStyle w:val="Zvraznenie"/>
        </w:rPr>
        <w:t>,</w:t>
      </w:r>
    </w:p>
    <w:p w:rsidR="00A70D39" w:rsidRPr="004D5CDE" w:rsidRDefault="00A70D39" w:rsidP="00A70D39">
      <w:pPr>
        <w:numPr>
          <w:ilvl w:val="0"/>
          <w:numId w:val="22"/>
        </w:numPr>
        <w:spacing w:after="120"/>
        <w:ind w:hanging="357"/>
        <w:jc w:val="both"/>
        <w:rPr>
          <w:rStyle w:val="Zvraznenie"/>
          <w:i w:val="0"/>
          <w:iCs w:val="0"/>
        </w:rPr>
      </w:pPr>
      <w:r w:rsidRPr="004D5CDE">
        <w:t xml:space="preserve">smernica Rady (EÚ) 2019/475 z 18. februára 2019, ktorou sa menia smernice 2006/112/ES a 2008/118/ES, pokiaľ ide o začlenenie talianskej obce </w:t>
      </w:r>
      <w:proofErr w:type="spellStart"/>
      <w:r w:rsidRPr="004D5CDE">
        <w:t>Campione</w:t>
      </w:r>
      <w:proofErr w:type="spellEnd"/>
      <w:r w:rsidRPr="004D5CDE">
        <w:t xml:space="preserve"> </w:t>
      </w:r>
      <w:proofErr w:type="spellStart"/>
      <w:r w:rsidRPr="004D5CDE">
        <w:t>d´Italia</w:t>
      </w:r>
      <w:proofErr w:type="spellEnd"/>
      <w:r w:rsidRPr="004D5CDE">
        <w:t xml:space="preserve"> a talianskych vôd jazera </w:t>
      </w:r>
      <w:proofErr w:type="spellStart"/>
      <w:r w:rsidRPr="004D5CDE">
        <w:t>Lugano</w:t>
      </w:r>
      <w:proofErr w:type="spellEnd"/>
      <w:r w:rsidRPr="004D5CDE">
        <w:t xml:space="preserve"> do colného územia Únie a do územnej pôsobnosti smernice 2008/118/ES (</w:t>
      </w:r>
      <w:r w:rsidRPr="004D5CDE">
        <w:rPr>
          <w:iCs/>
        </w:rPr>
        <w:t xml:space="preserve">Ú. v. EÚ L 83, 25.3.2019), gestor: </w:t>
      </w:r>
      <w:r w:rsidRPr="004D5CDE">
        <w:rPr>
          <w:noProof/>
        </w:rPr>
        <w:t>MF SR,</w:t>
      </w:r>
    </w:p>
    <w:p w:rsidR="00A70D39" w:rsidRPr="004D5CDE" w:rsidRDefault="00A70D39" w:rsidP="00A70D39">
      <w:pPr>
        <w:numPr>
          <w:ilvl w:val="0"/>
          <w:numId w:val="22"/>
        </w:numPr>
        <w:spacing w:after="120"/>
        <w:ind w:hanging="357"/>
        <w:jc w:val="both"/>
      </w:pPr>
      <w:r w:rsidRPr="004D5CDE">
        <w:t xml:space="preserve">smernica Rady 2008/118/ES z 16. decembra 2008 o všeobecnom systéme spotrebných daní a o zrušení smernice 92/12/EHS  (Ú. v. EÚ L 9, 14.1. 2009) v platnom znení, </w:t>
      </w:r>
      <w:r w:rsidRPr="004D5CDE">
        <w:rPr>
          <w:rStyle w:val="Zvraznenie"/>
          <w:noProof/>
        </w:rPr>
        <w:t xml:space="preserve">gestor: </w:t>
      </w:r>
      <w:r w:rsidRPr="004D5CDE">
        <w:rPr>
          <w:noProof/>
        </w:rPr>
        <w:t>MF SR,</w:t>
      </w:r>
    </w:p>
    <w:p w:rsidR="00A70D39" w:rsidRPr="004D5CDE" w:rsidRDefault="00A70D39" w:rsidP="00A70D39">
      <w:pPr>
        <w:numPr>
          <w:ilvl w:val="0"/>
          <w:numId w:val="22"/>
        </w:numPr>
        <w:spacing w:after="120"/>
        <w:ind w:left="658" w:hanging="357"/>
        <w:jc w:val="both"/>
      </w:pPr>
      <w:r w:rsidRPr="004D5CDE">
        <w:t xml:space="preserve">smernica Rady 2007/74/ES z 20. decembra 2007 o oslobodení tovaru, ktorý dovážajú osoby cestujúce z tretích krajín, od dane z pridanej hodnoty a spotrebnej dane (Ú. v. EÚ L  346, 29. 12. 2007), </w:t>
      </w:r>
      <w:r w:rsidRPr="004D5CDE">
        <w:rPr>
          <w:rStyle w:val="Zvraznenie"/>
          <w:noProof/>
        </w:rPr>
        <w:t xml:space="preserve">gestor: </w:t>
      </w:r>
      <w:r w:rsidRPr="004D5CDE">
        <w:rPr>
          <w:noProof/>
        </w:rPr>
        <w:t>MF SR,</w:t>
      </w:r>
    </w:p>
    <w:p w:rsidR="00A70D39" w:rsidRPr="004D5CDE" w:rsidRDefault="00A70D39" w:rsidP="00A70D39">
      <w:pPr>
        <w:numPr>
          <w:ilvl w:val="0"/>
          <w:numId w:val="22"/>
        </w:numPr>
        <w:spacing w:after="120"/>
        <w:ind w:left="658" w:hanging="357"/>
        <w:jc w:val="both"/>
        <w:rPr>
          <w:rStyle w:val="Zvraznenie"/>
          <w:i w:val="0"/>
          <w:iCs w:val="0"/>
        </w:rPr>
      </w:pPr>
      <w:r w:rsidRPr="004D5CDE">
        <w:t xml:space="preserve">smernica Rady 2006/79/ES z  5. októbra 2006 o oslobodení od daní pri dovoze malých zásielok tovaru neobchodného charakteru z tretích krajín </w:t>
      </w:r>
      <w:r w:rsidRPr="004D5CDE">
        <w:rPr>
          <w:rStyle w:val="Siln"/>
          <w:bCs/>
        </w:rPr>
        <w:t>(kodifikované znenie)</w:t>
      </w:r>
      <w:r w:rsidRPr="004D5CDE">
        <w:t xml:space="preserve"> (</w:t>
      </w:r>
      <w:r w:rsidRPr="004D5CDE">
        <w:rPr>
          <w:rStyle w:val="Zvraznenie"/>
        </w:rPr>
        <w:t xml:space="preserve">Ú. v. EÚ L 286, 17.10.2006), </w:t>
      </w:r>
      <w:r w:rsidRPr="004D5CDE">
        <w:rPr>
          <w:rStyle w:val="Zvraznenie"/>
          <w:noProof/>
        </w:rPr>
        <w:t xml:space="preserve">gestor: </w:t>
      </w:r>
      <w:r w:rsidRPr="004D5CDE">
        <w:rPr>
          <w:noProof/>
        </w:rPr>
        <w:t>MF SR</w:t>
      </w:r>
      <w:r w:rsidRPr="004D5CDE">
        <w:rPr>
          <w:rStyle w:val="Zvraznenie"/>
        </w:rPr>
        <w:t>,</w:t>
      </w:r>
    </w:p>
    <w:p w:rsidR="00A70D39" w:rsidRPr="004D5CDE" w:rsidRDefault="00A70D39" w:rsidP="00A70D39">
      <w:pPr>
        <w:numPr>
          <w:ilvl w:val="0"/>
          <w:numId w:val="22"/>
        </w:numPr>
        <w:spacing w:after="120"/>
        <w:ind w:left="658" w:hanging="357"/>
        <w:jc w:val="both"/>
        <w:rPr>
          <w:rStyle w:val="Zvraznenie"/>
          <w:i w:val="0"/>
          <w:iCs w:val="0"/>
        </w:rPr>
      </w:pPr>
      <w:r w:rsidRPr="004D5CDE">
        <w:t>smernica Rady 92/84/EHS z 19. októbra 1992 o aproximácii sadzieb spotrebnej dane na alkohol a alkoholické nápoje (</w:t>
      </w:r>
      <w:r w:rsidRPr="004D5CDE">
        <w:rPr>
          <w:iCs/>
          <w:shd w:val="clear" w:color="auto" w:fill="FFFFFF"/>
        </w:rPr>
        <w:t xml:space="preserve">Ú. v. ES L 316, 31.10.1992; </w:t>
      </w:r>
      <w:r w:rsidRPr="004D5CDE">
        <w:rPr>
          <w:rStyle w:val="Zvraznenie"/>
        </w:rPr>
        <w:t xml:space="preserve">Mimoriadne vydanie </w:t>
      </w:r>
      <w:proofErr w:type="spellStart"/>
      <w:r w:rsidRPr="004D5CDE">
        <w:rPr>
          <w:rStyle w:val="Zvraznenie"/>
        </w:rPr>
        <w:t>Ú.v</w:t>
      </w:r>
      <w:proofErr w:type="spellEnd"/>
      <w:r w:rsidRPr="004D5CDE">
        <w:rPr>
          <w:rStyle w:val="Zvraznenie"/>
        </w:rPr>
        <w:t xml:space="preserve">. EÚ kap. 9/zv. 1) </w:t>
      </w:r>
      <w:r w:rsidRPr="004D5CDE">
        <w:t>v platnom znení</w:t>
      </w:r>
      <w:r w:rsidRPr="004D5CDE">
        <w:rPr>
          <w:rStyle w:val="Zvraznenie"/>
        </w:rPr>
        <w:t xml:space="preserve">, </w:t>
      </w:r>
      <w:r w:rsidRPr="004D5CDE">
        <w:rPr>
          <w:rStyle w:val="Zvraznenie"/>
          <w:noProof/>
        </w:rPr>
        <w:t>gestor:</w:t>
      </w:r>
      <w:r w:rsidRPr="004D5CDE">
        <w:rPr>
          <w:noProof/>
        </w:rPr>
        <w:t xml:space="preserve"> MF SR,</w:t>
      </w:r>
    </w:p>
    <w:p w:rsidR="00A70D39" w:rsidRPr="004D5CDE" w:rsidRDefault="00A70D39" w:rsidP="00A70D39">
      <w:pPr>
        <w:numPr>
          <w:ilvl w:val="0"/>
          <w:numId w:val="22"/>
        </w:numPr>
        <w:spacing w:after="120"/>
        <w:ind w:left="658" w:hanging="357"/>
        <w:jc w:val="both"/>
        <w:rPr>
          <w:rStyle w:val="Zvraznenie"/>
          <w:i w:val="0"/>
          <w:iCs w:val="0"/>
        </w:rPr>
      </w:pPr>
      <w:r w:rsidRPr="004D5CDE">
        <w:t>smernica Rady 92/83/EHS z 19. októbra 1992 o zosúladení štruktúr spotrebných daní pre etanol a alkoholické nápoje (</w:t>
      </w:r>
      <w:r w:rsidRPr="004D5CDE">
        <w:rPr>
          <w:iCs/>
          <w:shd w:val="clear" w:color="auto" w:fill="FFFFFF"/>
        </w:rPr>
        <w:t xml:space="preserve">Ú. v. ES L 316, 31.10.1992; </w:t>
      </w:r>
      <w:r w:rsidRPr="004D5CDE">
        <w:rPr>
          <w:rStyle w:val="Zvraznenie"/>
        </w:rPr>
        <w:t xml:space="preserve">Mimoriadne vydanie </w:t>
      </w:r>
      <w:proofErr w:type="spellStart"/>
      <w:r w:rsidRPr="004D5CDE">
        <w:rPr>
          <w:rStyle w:val="Zvraznenie"/>
        </w:rPr>
        <w:t>Ú.v</w:t>
      </w:r>
      <w:proofErr w:type="spellEnd"/>
      <w:r w:rsidRPr="004D5CDE">
        <w:rPr>
          <w:rStyle w:val="Zvraznenie"/>
        </w:rPr>
        <w:t xml:space="preserve">. EÚ kap.9/zv. 1), </w:t>
      </w:r>
      <w:r w:rsidRPr="004D5CDE">
        <w:rPr>
          <w:rStyle w:val="Zvraznenie"/>
          <w:noProof/>
        </w:rPr>
        <w:t>gestor:</w:t>
      </w:r>
      <w:r w:rsidRPr="004D5CDE">
        <w:rPr>
          <w:noProof/>
        </w:rPr>
        <w:t xml:space="preserve"> MF SR,</w:t>
      </w:r>
    </w:p>
    <w:p w:rsidR="00A70D39" w:rsidRPr="004D5CDE" w:rsidRDefault="00A70D39" w:rsidP="00A70D39">
      <w:pPr>
        <w:numPr>
          <w:ilvl w:val="0"/>
          <w:numId w:val="22"/>
        </w:numPr>
        <w:spacing w:after="120"/>
        <w:ind w:hanging="357"/>
        <w:jc w:val="both"/>
      </w:pPr>
      <w:r w:rsidRPr="004D5CDE">
        <w:rPr>
          <w:shd w:val="clear" w:color="auto" w:fill="FFFFFF"/>
        </w:rPr>
        <w:t>delegované nariadenie Komisie (EÚ) 2015/2446 z 28. júla 2015, ktorým sa dopĺňa nariadenie Európskeho parlamentu a Rady (EÚ) č. 952/2013, pokiaľ ide o podrobné pravidlá, ktorými sa bližšie určujú niektoré ustanovenia Colného kódexu Únie (</w:t>
      </w:r>
      <w:r w:rsidRPr="004D5CDE">
        <w:rPr>
          <w:rStyle w:val="Zvraznenie"/>
          <w:shd w:val="clear" w:color="auto" w:fill="FFFFFF"/>
        </w:rPr>
        <w:t xml:space="preserve">Ú. v. EÚ L 343, 29.12.2015) </w:t>
      </w:r>
      <w:r w:rsidRPr="004D5CDE">
        <w:t xml:space="preserve">v platnom znení, gestor: </w:t>
      </w:r>
      <w:r w:rsidRPr="004D5CDE">
        <w:rPr>
          <w:noProof/>
        </w:rPr>
        <w:t>MF SR,</w:t>
      </w:r>
    </w:p>
    <w:p w:rsidR="00A70D39" w:rsidRPr="004D5CDE" w:rsidRDefault="00A70D39" w:rsidP="00A70D39">
      <w:pPr>
        <w:numPr>
          <w:ilvl w:val="0"/>
          <w:numId w:val="22"/>
        </w:numPr>
        <w:spacing w:after="120"/>
        <w:ind w:hanging="357"/>
        <w:jc w:val="both"/>
      </w:pPr>
      <w:r w:rsidRPr="004D5CDE">
        <w:rPr>
          <w:shd w:val="clear" w:color="auto" w:fill="FFFFFF"/>
        </w:rPr>
        <w:t>vykonávacie nariadenie Komisie (EÚ) 2015/2447 z 24. novembra 2015, ktorým sa stanovujú podrobné pravidlá vykonávania určitých ustanovení nariadenia Európskeho parlamentu a Rady (EÚ) č. 952/2013, ktorým sa ustanovuje Colný kódex Únie (</w:t>
      </w:r>
      <w:r w:rsidRPr="004D5CDE">
        <w:rPr>
          <w:rStyle w:val="Zvraznenie"/>
          <w:shd w:val="clear" w:color="auto" w:fill="FFFFFF"/>
        </w:rPr>
        <w:t xml:space="preserve">Ú. v. EÚ L 343, 29.12.2015) </w:t>
      </w:r>
      <w:r w:rsidRPr="004D5CDE">
        <w:t xml:space="preserve">v platnom znení, gestor: </w:t>
      </w:r>
      <w:r w:rsidRPr="004D5CDE">
        <w:rPr>
          <w:noProof/>
        </w:rPr>
        <w:t>MF SR,</w:t>
      </w:r>
    </w:p>
    <w:p w:rsidR="00A70D39" w:rsidRPr="004D5CDE" w:rsidRDefault="00A70D39" w:rsidP="00A70D39">
      <w:pPr>
        <w:numPr>
          <w:ilvl w:val="0"/>
          <w:numId w:val="22"/>
        </w:numPr>
        <w:spacing w:after="120"/>
        <w:ind w:hanging="357"/>
        <w:jc w:val="both"/>
        <w:rPr>
          <w:rStyle w:val="Zvraznenie"/>
          <w:i w:val="0"/>
          <w:iCs w:val="0"/>
        </w:rPr>
      </w:pPr>
      <w:r w:rsidRPr="004D5CDE">
        <w:rPr>
          <w:shd w:val="clear" w:color="auto" w:fill="FFFFFF"/>
        </w:rPr>
        <w:t xml:space="preserve">nariadenie Európskeho parlamentu a Rady (EÚ) č. 952/2013 z  9. októbra 2013, ktorým sa ustanovuje Colný kódex Únie </w:t>
      </w:r>
      <w:r w:rsidRPr="004D5CDE">
        <w:rPr>
          <w:bCs/>
          <w:shd w:val="clear" w:color="auto" w:fill="FFFFFF"/>
        </w:rPr>
        <w:t>(prepracované znenie) (</w:t>
      </w:r>
      <w:r w:rsidRPr="004D5CDE">
        <w:rPr>
          <w:rStyle w:val="Zvraznenie"/>
          <w:shd w:val="clear" w:color="auto" w:fill="FFFFFF"/>
        </w:rPr>
        <w:t>Ú. v. EÚ L 269, 10.10.2013),</w:t>
      </w:r>
      <w:r w:rsidRPr="004D5CDE">
        <w:t xml:space="preserve"> v platnom znení, </w:t>
      </w:r>
      <w:r w:rsidRPr="004D5CDE">
        <w:rPr>
          <w:rStyle w:val="Zvraznenie"/>
          <w:noProof/>
        </w:rPr>
        <w:t xml:space="preserve">gestor: </w:t>
      </w:r>
      <w:r w:rsidRPr="004D5CDE">
        <w:rPr>
          <w:noProof/>
        </w:rPr>
        <w:t>MF SR</w:t>
      </w:r>
      <w:r w:rsidRPr="004D5CDE">
        <w:rPr>
          <w:rStyle w:val="Zvraznenie"/>
        </w:rPr>
        <w:t>,</w:t>
      </w:r>
    </w:p>
    <w:p w:rsidR="00A70D39" w:rsidRPr="004D5CDE" w:rsidRDefault="00A70D39" w:rsidP="00A70D39">
      <w:pPr>
        <w:numPr>
          <w:ilvl w:val="0"/>
          <w:numId w:val="22"/>
        </w:numPr>
        <w:spacing w:after="120"/>
        <w:ind w:hanging="357"/>
        <w:jc w:val="both"/>
      </w:pPr>
      <w:r w:rsidRPr="004D5CDE">
        <w:t>nariadenie Rady (EÚ) č. 389/2012 z 2. mája 2012 o administratívnej spolupráci v oblasti spotrebných daní a zrušení nariadenia ES č. 2073/2004 (</w:t>
      </w:r>
      <w:r w:rsidRPr="004D5CDE">
        <w:rPr>
          <w:rStyle w:val="Zvraznenie"/>
        </w:rPr>
        <w:t xml:space="preserve">Ú. v. EÚ L 121, 8.5. 2012) v platnom znení, </w:t>
      </w:r>
      <w:r w:rsidRPr="004D5CDE">
        <w:rPr>
          <w:rStyle w:val="Zvraznenie"/>
          <w:noProof/>
        </w:rPr>
        <w:t xml:space="preserve">gestor: </w:t>
      </w:r>
      <w:r w:rsidRPr="004D5CDE">
        <w:rPr>
          <w:noProof/>
        </w:rPr>
        <w:t>MF SR</w:t>
      </w:r>
      <w:r w:rsidRPr="004D5CDE">
        <w:rPr>
          <w:rStyle w:val="Zvraznenie"/>
        </w:rPr>
        <w:t>,</w:t>
      </w:r>
    </w:p>
    <w:p w:rsidR="00A70D39" w:rsidRPr="004D5CDE" w:rsidRDefault="00A70D39" w:rsidP="00A70D39">
      <w:pPr>
        <w:numPr>
          <w:ilvl w:val="0"/>
          <w:numId w:val="22"/>
        </w:numPr>
        <w:spacing w:after="120"/>
        <w:ind w:left="658" w:hanging="357"/>
        <w:jc w:val="both"/>
      </w:pPr>
      <w:r w:rsidRPr="004D5CDE">
        <w:t xml:space="preserve">nariadenie Komisie (ES) č. 684/2009 z 24. júla 2009, ktorým sa implementuje smernica Rady 2008/118/ES, pokiaľ ide o elektronické postupy pri preprave tovaru podliehajúceho spotrebnej dani v režime pozastavenia dane (Ú. v. EÚ L 197, 29.7.2009) v platnom znení, gestor: </w:t>
      </w:r>
      <w:r w:rsidRPr="004D5CDE">
        <w:rPr>
          <w:noProof/>
        </w:rPr>
        <w:t>MF SR,</w:t>
      </w:r>
    </w:p>
    <w:p w:rsidR="00A70D39" w:rsidRPr="00B17C46" w:rsidRDefault="00A70D39" w:rsidP="00A70D39">
      <w:pPr>
        <w:numPr>
          <w:ilvl w:val="0"/>
          <w:numId w:val="22"/>
        </w:numPr>
        <w:spacing w:before="120" w:after="120"/>
        <w:ind w:left="658" w:hanging="357"/>
        <w:jc w:val="both"/>
        <w:rPr>
          <w:rStyle w:val="Zvraznenie"/>
          <w:iCs w:val="0"/>
          <w:noProof/>
        </w:rPr>
      </w:pPr>
      <w:r w:rsidRPr="00B17C46">
        <w:rPr>
          <w:rStyle w:val="Zvraznenie"/>
          <w:noProof/>
        </w:rPr>
        <w:t xml:space="preserve">nariadenie </w:t>
      </w:r>
      <w:r w:rsidRPr="00B17C46">
        <w:rPr>
          <w:shd w:val="clear" w:color="auto" w:fill="FFFFFF"/>
        </w:rPr>
        <w:t xml:space="preserve">Európskeho parlamentu a Rady (EÚ) č. 910/2014 z 23. júla 2014 o elektronickej identifikácii a dôveryhodných službách pre elektronické transakcie na vnútornom trhu a o zrušení smernice 1999/93/ES </w:t>
      </w:r>
      <w:r w:rsidRPr="00B17C46">
        <w:t xml:space="preserve">(Ú. v. EÚ L 257, 28. 8. 2014), gestori: NBÚ, </w:t>
      </w:r>
      <w:r w:rsidRPr="00361D72">
        <w:t>MIRRI SR, MV</w:t>
      </w:r>
      <w:r w:rsidRPr="00B17C46">
        <w:t xml:space="preserve"> SR,</w:t>
      </w:r>
    </w:p>
    <w:p w:rsidR="00A70D39" w:rsidRPr="004D5CDE" w:rsidRDefault="00A70D39" w:rsidP="00A70D39">
      <w:pPr>
        <w:numPr>
          <w:ilvl w:val="0"/>
          <w:numId w:val="22"/>
        </w:numPr>
        <w:spacing w:after="120"/>
        <w:ind w:hanging="357"/>
        <w:jc w:val="both"/>
      </w:pPr>
      <w:r w:rsidRPr="004D5CDE">
        <w:rPr>
          <w:shd w:val="clear" w:color="auto" w:fill="FFFFFF"/>
        </w:rPr>
        <w:t>nariadenie Komisie (ES) 31/96 z 10. januára 1996 o osvedčení o oslobodení od spotrebnej dane (</w:t>
      </w:r>
      <w:r w:rsidRPr="004D5CDE">
        <w:rPr>
          <w:rStyle w:val="Zvraznenie"/>
          <w:shd w:val="clear" w:color="auto" w:fill="FFFFFF"/>
        </w:rPr>
        <w:t xml:space="preserve">Ú. v. ES L 8, 11.1.1996; </w:t>
      </w:r>
      <w:r w:rsidRPr="004D5CDE">
        <w:t xml:space="preserve">Mimoriadne vydanie </w:t>
      </w:r>
      <w:proofErr w:type="spellStart"/>
      <w:r w:rsidRPr="004D5CDE">
        <w:rPr>
          <w:snapToGrid w:val="0"/>
        </w:rPr>
        <w:t>Ú.v</w:t>
      </w:r>
      <w:proofErr w:type="spellEnd"/>
      <w:r w:rsidRPr="004D5CDE">
        <w:rPr>
          <w:snapToGrid w:val="0"/>
        </w:rPr>
        <w:t>.</w:t>
      </w:r>
      <w:r w:rsidRPr="004D5CDE">
        <w:rPr>
          <w:iCs/>
          <w:snapToGrid w:val="0"/>
        </w:rPr>
        <w:t xml:space="preserve"> </w:t>
      </w:r>
      <w:r w:rsidRPr="004D5CDE">
        <w:t xml:space="preserve">EÚ, kap.  9/ zv. 1), </w:t>
      </w:r>
      <w:r w:rsidRPr="004D5CDE">
        <w:rPr>
          <w:rStyle w:val="Zvraznenie"/>
          <w:noProof/>
        </w:rPr>
        <w:t xml:space="preserve">gestor: </w:t>
      </w:r>
      <w:r w:rsidRPr="004D5CDE">
        <w:rPr>
          <w:noProof/>
        </w:rPr>
        <w:t>MF SR</w:t>
      </w:r>
      <w:r w:rsidRPr="004D5CDE">
        <w:rPr>
          <w:rStyle w:val="Zvraznenie"/>
          <w:noProof/>
        </w:rPr>
        <w:t>,</w:t>
      </w:r>
    </w:p>
    <w:p w:rsidR="00A70D39" w:rsidRPr="004D5CDE" w:rsidRDefault="00A70D39" w:rsidP="00A70D39">
      <w:pPr>
        <w:numPr>
          <w:ilvl w:val="0"/>
          <w:numId w:val="22"/>
        </w:numPr>
        <w:spacing w:after="240"/>
        <w:ind w:hanging="357"/>
        <w:jc w:val="both"/>
      </w:pPr>
      <w:r w:rsidRPr="004D5CDE">
        <w:rPr>
          <w:shd w:val="clear" w:color="auto" w:fill="FFFFFF"/>
        </w:rPr>
        <w:t>rozhodnutie Európskeho Parlamentu a Rady (EÚ) 2020/263 z 15. januára 2020 o informatizácii prepravy a kontroly tovaru podliehajúceho spotrebnej dani (prepracované znenie) (</w:t>
      </w:r>
      <w:r w:rsidRPr="004D5CDE">
        <w:rPr>
          <w:rStyle w:val="Zvraznenie"/>
          <w:shd w:val="clear" w:color="auto" w:fill="FFFFFF"/>
        </w:rPr>
        <w:t xml:space="preserve">Ú. v. EÚ L 58, 27.2.2020), </w:t>
      </w:r>
      <w:r w:rsidRPr="004D5CDE">
        <w:rPr>
          <w:rStyle w:val="Zvraznenie"/>
        </w:rPr>
        <w:t xml:space="preserve">gestor: </w:t>
      </w:r>
      <w:r w:rsidRPr="004D5CDE">
        <w:rPr>
          <w:noProof/>
        </w:rPr>
        <w:t>MF SR</w:t>
      </w:r>
      <w:r w:rsidRPr="004D5CDE">
        <w:rPr>
          <w:rStyle w:val="Zvraznenie"/>
        </w:rPr>
        <w:t>.</w:t>
      </w:r>
    </w:p>
    <w:p w:rsidR="00A70D39" w:rsidRPr="004D5CDE" w:rsidRDefault="00A70D39" w:rsidP="00A70D39">
      <w:pPr>
        <w:pStyle w:val="Zkladntext"/>
        <w:numPr>
          <w:ilvl w:val="0"/>
          <w:numId w:val="24"/>
        </w:numPr>
        <w:jc w:val="both"/>
        <w:rPr>
          <w:b/>
          <w:i/>
        </w:rPr>
      </w:pPr>
      <w:r w:rsidRPr="004D5CDE">
        <w:rPr>
          <w:b/>
          <w:i/>
        </w:rPr>
        <w:t>Judikatúra Súdneho dvora Európskej únie:</w:t>
      </w:r>
    </w:p>
    <w:p w:rsidR="00A70D39" w:rsidRPr="004D5CDE" w:rsidRDefault="00A70D39" w:rsidP="00A70D39">
      <w:pPr>
        <w:pStyle w:val="Normlnywebov"/>
        <w:numPr>
          <w:ilvl w:val="0"/>
          <w:numId w:val="26"/>
        </w:numPr>
        <w:spacing w:beforeAutospacing="1" w:after="240" w:line="276" w:lineRule="auto"/>
        <w:ind w:right="0"/>
        <w:jc w:val="both"/>
        <w:rPr>
          <w:i/>
          <w:noProof/>
          <w:sz w:val="24"/>
          <w:szCs w:val="24"/>
        </w:rPr>
      </w:pPr>
      <w:r w:rsidRPr="004D5CDE">
        <w:rPr>
          <w:noProof/>
          <w:sz w:val="24"/>
          <w:szCs w:val="24"/>
        </w:rPr>
        <w:t xml:space="preserve">rozhodnutie Súdneho dvora vo veci C - 83/08, </w:t>
      </w:r>
      <w:r w:rsidRPr="004D5CDE">
        <w:rPr>
          <w:bCs/>
          <w:noProof/>
          <w:sz w:val="24"/>
          <w:szCs w:val="24"/>
        </w:rPr>
        <w:t>Glückauf Brauerei GmbH proti Hauptzollamt Erfurt, [2009],</w:t>
      </w:r>
    </w:p>
    <w:p w:rsidR="00A70D39" w:rsidRPr="004D5CDE" w:rsidRDefault="00A70D39" w:rsidP="00A70D39">
      <w:pPr>
        <w:pStyle w:val="Zkladntext"/>
        <w:autoSpaceDE w:val="0"/>
        <w:autoSpaceDN w:val="0"/>
        <w:ind w:left="644"/>
        <w:jc w:val="both"/>
      </w:pPr>
      <w:r w:rsidRPr="004D5CDE">
        <w:rPr>
          <w:bCs/>
        </w:rPr>
        <w:t>Výrok rozhodnutia:</w:t>
      </w:r>
    </w:p>
    <w:p w:rsidR="00A70D39" w:rsidRPr="004D5CDE" w:rsidRDefault="00A70D39" w:rsidP="00A70D39">
      <w:pPr>
        <w:pStyle w:val="Normlnywebov"/>
        <w:spacing w:beforeAutospacing="1" w:after="120" w:line="276" w:lineRule="auto"/>
        <w:ind w:left="646" w:right="0"/>
        <w:jc w:val="both"/>
        <w:rPr>
          <w:i/>
          <w:noProof/>
          <w:sz w:val="24"/>
          <w:szCs w:val="24"/>
        </w:rPr>
      </w:pPr>
      <w:r w:rsidRPr="004D5CDE">
        <w:rPr>
          <w:bCs/>
          <w:sz w:val="24"/>
          <w:szCs w:val="24"/>
        </w:rPr>
        <w:t>Článok 4 ods. 2 smernice Rady 92/83/EHS z 19. októbra 1992 o zosúladení štruktúr spotrebných daní pre etanol a alkoholické nápoje sa má vykladať v tom zmysle, že situácia charakterizovaná existenciou štrukturálnych prepojení medzi rôznymi pivovarmi z hľadiska majetkových účastí a hlasovacích práv, ktorá vyúsťuje do toho, že tá istá osoba vykonávajúca riadiace funkcie vo viacerých z dotknutých pivovarov má nezávisle od svojho skutočného správania možnosť vykonávať vplyv na prijímanie obchodných rozhodnutí týmito pivovarmi, vylučuje, aby sa tieto pivovary mohli považovať za hospodársky nezávislé jeden od druhého.</w:t>
      </w:r>
    </w:p>
    <w:p w:rsidR="00A70D39" w:rsidRPr="004D5CDE" w:rsidRDefault="00A70D39" w:rsidP="00A70D39">
      <w:pPr>
        <w:pStyle w:val="Normlnywebov"/>
        <w:numPr>
          <w:ilvl w:val="0"/>
          <w:numId w:val="26"/>
        </w:numPr>
        <w:spacing w:beforeAutospacing="1" w:after="240" w:line="276" w:lineRule="auto"/>
        <w:ind w:right="0"/>
        <w:jc w:val="both"/>
        <w:rPr>
          <w:i/>
          <w:noProof/>
          <w:sz w:val="24"/>
          <w:szCs w:val="24"/>
        </w:rPr>
      </w:pPr>
      <w:r w:rsidRPr="004D5CDE">
        <w:rPr>
          <w:noProof/>
          <w:sz w:val="24"/>
          <w:szCs w:val="24"/>
        </w:rPr>
        <w:t>rozhodnutie Súdneho dvora vo veci C - 163/09, Repertoire Culinaire Ltd v. The Commissioners for Her Majesty’s Revenue &amp; Customs, [2010].</w:t>
      </w:r>
    </w:p>
    <w:p w:rsidR="00A70D39" w:rsidRPr="004D5CDE" w:rsidRDefault="00A70D39" w:rsidP="00A70D39">
      <w:pPr>
        <w:pStyle w:val="Zkladntext"/>
        <w:autoSpaceDE w:val="0"/>
        <w:autoSpaceDN w:val="0"/>
        <w:ind w:left="644"/>
        <w:jc w:val="both"/>
      </w:pPr>
      <w:r w:rsidRPr="004D5CDE">
        <w:rPr>
          <w:bCs/>
        </w:rPr>
        <w:t>Výrok rozhodnutia:</w:t>
      </w:r>
    </w:p>
    <w:p w:rsidR="00A70D39" w:rsidRPr="004D5CDE" w:rsidRDefault="00A70D39" w:rsidP="00A70D39">
      <w:pPr>
        <w:pStyle w:val="c08dispositif"/>
        <w:spacing w:after="120" w:afterAutospacing="0" w:line="276" w:lineRule="auto"/>
        <w:ind w:left="646"/>
        <w:jc w:val="both"/>
        <w:rPr>
          <w:bCs/>
        </w:rPr>
      </w:pPr>
      <w:r w:rsidRPr="004D5CDE">
        <w:rPr>
          <w:bCs/>
        </w:rPr>
        <w:t>1.      Článok 20 prvá zarážka smernice Rady 92/83/EHS z 19. októbra 1992 o zosúladení štruktúr spotrebných daní pre etanol a alkoholické nápoje sa má vykladať v tom zmysle, že definícia „etanolu“ uvedená v tomto ustanovení sa uplatňuje na víno na varenie a na portské na varenie.</w:t>
      </w:r>
    </w:p>
    <w:p w:rsidR="00A70D39" w:rsidRPr="004D5CDE" w:rsidRDefault="00A70D39" w:rsidP="00A70D39">
      <w:pPr>
        <w:pStyle w:val="c08dispositif"/>
        <w:spacing w:after="120" w:afterAutospacing="0" w:line="276" w:lineRule="auto"/>
        <w:ind w:left="646"/>
        <w:jc w:val="both"/>
        <w:rPr>
          <w:bCs/>
        </w:rPr>
      </w:pPr>
      <w:r w:rsidRPr="004D5CDE">
        <w:rPr>
          <w:bCs/>
        </w:rPr>
        <w:t>2.      Za okolností, ako sú vo veci samej, sa na oslobodenie od zosúladenej dane z vína na varenie, portského na varenie a koňaku na varenie vzťahuje článok 27 ods. 1 písm. f) smernice 92/83.</w:t>
      </w:r>
    </w:p>
    <w:p w:rsidR="00A70D39" w:rsidRPr="004D5CDE" w:rsidRDefault="00A70D39" w:rsidP="00A70D39">
      <w:pPr>
        <w:pStyle w:val="c08dispositif"/>
        <w:spacing w:after="120" w:afterAutospacing="0" w:line="276" w:lineRule="auto"/>
        <w:ind w:left="646"/>
        <w:jc w:val="both"/>
        <w:rPr>
          <w:bCs/>
        </w:rPr>
      </w:pPr>
      <w:r w:rsidRPr="004D5CDE">
        <w:rPr>
          <w:bCs/>
        </w:rPr>
        <w:t>3.      Za predpokladu, že výrobky, akými sú víno na varenie, portské na varenie a koňak na varenie dotknuté v spore vo veci samej, ktoré sa považovali za výrobky nepodliehajúce spotrebnej dani alebo za oslobodené od spotrebnej dane podľa smernice 92/83 a uvoľnené na spotrebu v členskom štáte, kde boli vyrobené, sú určené na uvedenie na trh v inom členskom štáte, posledný uvedený členský štát musí priznať týmto výrobkom na jeho území rovnaké zaobchádzanie, ibaže existujú konkrétne, objektívne a overiteľné skutočnosti dokazujúce, že prvý členský štát správne neuplatnil ustanovenia tejto smernice alebo že podľa jej článku 27 ods. 1 je odôvodnené prijatie opatrení na boj proti daňovým únikom, vyhýbaniu sa plateniu spotrebných daní a ich zneužívaniu a na zabezpečenie ich správneho a čestného uplatnenia.</w:t>
      </w:r>
    </w:p>
    <w:p w:rsidR="00A70D39" w:rsidRPr="004D5CDE" w:rsidRDefault="00A70D39" w:rsidP="00A70D39">
      <w:pPr>
        <w:pStyle w:val="c08dispositif"/>
        <w:spacing w:after="120" w:afterAutospacing="0" w:line="276" w:lineRule="auto"/>
        <w:ind w:left="646"/>
        <w:jc w:val="both"/>
        <w:rPr>
          <w:bCs/>
        </w:rPr>
      </w:pPr>
      <w:r w:rsidRPr="004D5CDE">
        <w:rPr>
          <w:bCs/>
        </w:rPr>
        <w:t>4.      Článok 27 ods. 1 písm. f) smernice 92/83 sa má vykladať v tom zmysle, že priznanie oslobodenia upravené v tomto ustanovení môže podliehať dodržaniu podmienok, ako sú podmienky upravené vnútroštátnou právnou úpravou dotknutou v spore vo veci samej, a to obmedzenie osôb oprávnených podať žiadosť o vrátenie, lehota štyroch mesiacov na predloženie takejto žiadosti a stanovenie minimálnej sumy na vrátenie, iba vtedy, ak z konkrétnych, objektívnych a overiteľných skutočností vyplýva, že tieto podmienky sú nevyhnutné na účely zabezpečenia správnej a čestnej aplikácie tohto oslobodenia od daní, ako aj na účely ochrany pred daňovými únikmi, vyhýbaním sa plateniu daní a ich zneužívaním. Je úlohou vnútroštátneho súdu, aby preveril, či ide o takýto prípad, pokiaľ ide o podmienky upravené touto právnou úpravou.</w:t>
      </w:r>
    </w:p>
    <w:p w:rsidR="00A70D39" w:rsidRPr="004D5CDE" w:rsidRDefault="00A70D39" w:rsidP="00A70D39">
      <w:pPr>
        <w:pStyle w:val="Zkladntext"/>
        <w:numPr>
          <w:ilvl w:val="0"/>
          <w:numId w:val="22"/>
        </w:numPr>
        <w:autoSpaceDE w:val="0"/>
        <w:autoSpaceDN w:val="0"/>
        <w:spacing w:after="240"/>
        <w:jc w:val="both"/>
        <w:rPr>
          <w:rStyle w:val="Zvraznenie"/>
          <w:i w:val="0"/>
          <w:iCs w:val="0"/>
        </w:rPr>
      </w:pPr>
      <w:r w:rsidRPr="004D5CDE">
        <w:rPr>
          <w:bCs/>
        </w:rPr>
        <w:t xml:space="preserve">rozhodnutie Súdneho dvora (prvá komora) vo veci C - 64/15, BP </w:t>
      </w:r>
      <w:proofErr w:type="spellStart"/>
      <w:r w:rsidRPr="004D5CDE">
        <w:rPr>
          <w:bCs/>
        </w:rPr>
        <w:t>Europa</w:t>
      </w:r>
      <w:proofErr w:type="spellEnd"/>
      <w:r w:rsidRPr="004D5CDE">
        <w:rPr>
          <w:bCs/>
        </w:rPr>
        <w:t xml:space="preserve"> SE proti </w:t>
      </w:r>
      <w:proofErr w:type="spellStart"/>
      <w:r w:rsidRPr="004D5CDE">
        <w:rPr>
          <w:bCs/>
        </w:rPr>
        <w:t>Hauptzollamt</w:t>
      </w:r>
      <w:proofErr w:type="spellEnd"/>
      <w:r w:rsidRPr="004D5CDE">
        <w:rPr>
          <w:bCs/>
        </w:rPr>
        <w:t xml:space="preserve"> Hamburg</w:t>
      </w:r>
      <w:r w:rsidRPr="004D5CDE">
        <w:rPr>
          <w:bCs/>
        </w:rPr>
        <w:noBreakHyphen/>
      </w:r>
      <w:proofErr w:type="spellStart"/>
      <w:r w:rsidRPr="004D5CDE">
        <w:rPr>
          <w:bCs/>
        </w:rPr>
        <w:t>Stadt</w:t>
      </w:r>
      <w:proofErr w:type="spellEnd"/>
      <w:r w:rsidRPr="004D5CDE">
        <w:rPr>
          <w:bCs/>
        </w:rPr>
        <w:t>, [</w:t>
      </w:r>
      <w:r w:rsidRPr="004D5CDE">
        <w:rPr>
          <w:rStyle w:val="Zvraznenie"/>
        </w:rPr>
        <w:t>2016].</w:t>
      </w:r>
    </w:p>
    <w:p w:rsidR="00A70D39" w:rsidRPr="004D5CDE" w:rsidRDefault="00A70D39" w:rsidP="00A70D39">
      <w:pPr>
        <w:pStyle w:val="Zkladntext"/>
        <w:autoSpaceDE w:val="0"/>
        <w:autoSpaceDN w:val="0"/>
        <w:ind w:left="660"/>
        <w:jc w:val="both"/>
      </w:pPr>
      <w:r w:rsidRPr="004D5CDE">
        <w:rPr>
          <w:bCs/>
        </w:rPr>
        <w:t>Výrok rozhodnutia:</w:t>
      </w:r>
    </w:p>
    <w:p w:rsidR="00A70D39" w:rsidRPr="004D5CDE" w:rsidRDefault="00A70D39" w:rsidP="00A70D39">
      <w:pPr>
        <w:pStyle w:val="c08dispositif"/>
        <w:tabs>
          <w:tab w:val="left" w:pos="993"/>
        </w:tabs>
        <w:spacing w:after="120" w:afterAutospacing="0" w:line="276" w:lineRule="auto"/>
        <w:ind w:left="660"/>
        <w:jc w:val="both"/>
        <w:rPr>
          <w:bCs/>
        </w:rPr>
      </w:pPr>
      <w:r w:rsidRPr="004D5CDE">
        <w:rPr>
          <w:bCs/>
        </w:rPr>
        <w:t>1.      Článok 20 ods. 2 smernice Rady </w:t>
      </w:r>
      <w:bookmarkStart w:id="1" w:name="ctx46"/>
      <w:r w:rsidRPr="004D5CDE">
        <w:rPr>
          <w:bCs/>
        </w:rPr>
        <w:t>2008/118</w:t>
      </w:r>
      <w:bookmarkEnd w:id="1"/>
      <w:r w:rsidRPr="004D5CDE">
        <w:rPr>
          <w:bCs/>
        </w:rPr>
        <w:t>/ES zo 16. decembra 2008 o všeobecnom systéme spotrebných daní a o zrušení smernice 92/12/EHS sa má vykladať v tom zmysle, že preprava tovaru podliehajúceho spotrebnej dani v režime pozastavenia dane v zmysle tohto ustanovenia v situácii, ako je situácia v konaní vo veci samej, končí v čase, keď príjemca tohto tovaru pri ukončení úplnej vykládky dopravného prostriedku obsahujúceho predmetný tovar konštatuje, že chýba určité množstvo tohto tovaru v porovnaní s množstvom, ktoré sa mu malo dodať.</w:t>
      </w:r>
    </w:p>
    <w:p w:rsidR="00A70D39" w:rsidRPr="004D5CDE" w:rsidRDefault="00A70D39" w:rsidP="00A70D39">
      <w:pPr>
        <w:pStyle w:val="c08dispositif"/>
        <w:tabs>
          <w:tab w:val="left" w:pos="993"/>
        </w:tabs>
        <w:spacing w:after="120" w:afterAutospacing="0" w:line="276" w:lineRule="auto"/>
        <w:ind w:left="660"/>
        <w:jc w:val="both"/>
        <w:rPr>
          <w:bCs/>
        </w:rPr>
      </w:pPr>
      <w:r w:rsidRPr="004D5CDE">
        <w:rPr>
          <w:bCs/>
        </w:rPr>
        <w:t>2.      Spojené ustanovenia článku 7 ods. 2 písm. a) a článku 10 ods. 2 smernice </w:t>
      </w:r>
      <w:bookmarkStart w:id="2" w:name="ctx47"/>
      <w:r w:rsidRPr="004D5CDE">
        <w:rPr>
          <w:bCs/>
        </w:rPr>
        <w:t>2008/118</w:t>
      </w:r>
      <w:bookmarkEnd w:id="2"/>
      <w:r w:rsidRPr="004D5CDE">
        <w:rPr>
          <w:bCs/>
        </w:rPr>
        <w:t> sa majú vykladať v tom zmysle, že:</w:t>
      </w:r>
    </w:p>
    <w:p w:rsidR="00A70D39" w:rsidRPr="004D5CDE" w:rsidRDefault="00A70D39" w:rsidP="00A70D39">
      <w:pPr>
        <w:pStyle w:val="c31dispositiftiretlong"/>
        <w:spacing w:after="0" w:afterAutospacing="0" w:line="276" w:lineRule="auto"/>
        <w:ind w:left="660"/>
        <w:jc w:val="both"/>
        <w:rPr>
          <w:bCs/>
        </w:rPr>
      </w:pPr>
      <w:r w:rsidRPr="004D5CDE">
        <w:rPr>
          <w:bCs/>
        </w:rPr>
        <w:t>–        situácie, ktoré upravujú, sa odlišujú od situácie upravenej článkom 7 ods. 4 tejto smernice a</w:t>
      </w:r>
    </w:p>
    <w:p w:rsidR="00A70D39" w:rsidRPr="004D5CDE" w:rsidRDefault="00A70D39" w:rsidP="00A70D39">
      <w:pPr>
        <w:pStyle w:val="c31dispositiftiretlong"/>
        <w:spacing w:before="0" w:beforeAutospacing="0" w:after="120" w:afterAutospacing="0" w:line="276" w:lineRule="auto"/>
        <w:ind w:left="660"/>
        <w:jc w:val="both"/>
        <w:rPr>
          <w:bCs/>
        </w:rPr>
      </w:pPr>
      <w:r w:rsidRPr="004D5CDE">
        <w:rPr>
          <w:bCs/>
        </w:rPr>
        <w:t>–        okolnosť, že vnútroštátne ustanovenie preberajúce článok 10 ods. 2 smernice </w:t>
      </w:r>
      <w:bookmarkStart w:id="3" w:name="ctx48"/>
      <w:r w:rsidRPr="004D5CDE">
        <w:rPr>
          <w:bCs/>
        </w:rPr>
        <w:t>2008/118</w:t>
      </w:r>
      <w:bookmarkEnd w:id="3"/>
      <w:r w:rsidRPr="004D5CDE">
        <w:rPr>
          <w:bCs/>
        </w:rPr>
        <w:t>, ako je ustanovenie sporné v konaní vo veci samej, výslovne neuvádza, že nezrovnalosť, ktorú toto ustanovenie smernice upravuje, musí mať za následok uvedenie predmetného tovaru do daňového voľného obehu, nemôže brániť uplatneniu tohto vnútroštátneho ustanovenia pri konštatovaní chýbajúceho množstva, pri ktorom sa nevyhnutne predpokladá takéto uvedenie do daňového voľného obehu.</w:t>
      </w:r>
    </w:p>
    <w:p w:rsidR="00A70D39" w:rsidRPr="004D5CDE" w:rsidRDefault="00A70D39" w:rsidP="00A70D39">
      <w:pPr>
        <w:pStyle w:val="c08dispositif"/>
        <w:numPr>
          <w:ilvl w:val="0"/>
          <w:numId w:val="27"/>
        </w:numPr>
        <w:tabs>
          <w:tab w:val="clear" w:pos="360"/>
          <w:tab w:val="left" w:pos="1134"/>
        </w:tabs>
        <w:spacing w:after="120" w:afterAutospacing="0" w:line="276" w:lineRule="auto"/>
        <w:ind w:left="709" w:firstLine="0"/>
        <w:jc w:val="both"/>
        <w:rPr>
          <w:bCs/>
        </w:rPr>
      </w:pPr>
      <w:r w:rsidRPr="004D5CDE">
        <w:rPr>
          <w:bCs/>
        </w:rPr>
        <w:t>Článok 10 ods. 4 smernice </w:t>
      </w:r>
      <w:bookmarkStart w:id="4" w:name="ctx49"/>
      <w:r w:rsidRPr="004D5CDE">
        <w:rPr>
          <w:bCs/>
        </w:rPr>
        <w:t>2008/118</w:t>
      </w:r>
      <w:bookmarkEnd w:id="4"/>
      <w:r w:rsidRPr="004D5CDE">
        <w:rPr>
          <w:bCs/>
        </w:rPr>
        <w:t> sa má vykladať v tom zmysle, že sa uplatňuje, nielen keď na miesto určenia nedorazí všetok tovar prepravovaný v režime pozastavenia dane, alebo tiež v prípade, ak na miesto určenia nedorazí len časť tohto tovaru.</w:t>
      </w:r>
    </w:p>
    <w:p w:rsidR="00A70D39" w:rsidRPr="004D5CDE" w:rsidRDefault="00A70D39" w:rsidP="00A70D39">
      <w:pPr>
        <w:pStyle w:val="Zkladntext1"/>
        <w:tabs>
          <w:tab w:val="left" w:pos="360"/>
        </w:tabs>
        <w:spacing w:before="120" w:after="120"/>
        <w:jc w:val="both"/>
        <w:rPr>
          <w:b/>
          <w:bCs/>
          <w:color w:val="auto"/>
          <w:sz w:val="24"/>
          <w:szCs w:val="24"/>
        </w:rPr>
      </w:pPr>
      <w:r w:rsidRPr="004D5CDE">
        <w:rPr>
          <w:b/>
          <w:bCs/>
          <w:color w:val="auto"/>
          <w:sz w:val="24"/>
          <w:szCs w:val="24"/>
        </w:rPr>
        <w:t>4.</w:t>
      </w:r>
      <w:r w:rsidRPr="004D5CDE">
        <w:rPr>
          <w:b/>
          <w:bCs/>
          <w:color w:val="auto"/>
          <w:sz w:val="24"/>
          <w:szCs w:val="24"/>
        </w:rPr>
        <w:tab/>
        <w:t>Záväzky Slovenskej republiky vo vzťahu k Európskej únii:</w:t>
      </w:r>
    </w:p>
    <w:p w:rsidR="00A70D39" w:rsidRPr="004D5CDE" w:rsidRDefault="00A70D39" w:rsidP="00A70D39">
      <w:pPr>
        <w:pStyle w:val="Default"/>
        <w:jc w:val="both"/>
        <w:rPr>
          <w:rFonts w:ascii="Times New Roman" w:hAnsi="Times New Roman" w:cs="Times New Roman"/>
          <w:color w:val="auto"/>
        </w:rPr>
      </w:pPr>
    </w:p>
    <w:p w:rsidR="00A70D39" w:rsidRPr="004D5CDE" w:rsidRDefault="00A70D39" w:rsidP="00A70D39">
      <w:pPr>
        <w:pStyle w:val="Zkladntext"/>
        <w:numPr>
          <w:ilvl w:val="1"/>
          <w:numId w:val="25"/>
        </w:numPr>
        <w:tabs>
          <w:tab w:val="clear" w:pos="417"/>
        </w:tabs>
        <w:ind w:left="363" w:firstLine="6"/>
        <w:jc w:val="both"/>
      </w:pPr>
      <w:r w:rsidRPr="004D5CDE">
        <w:t xml:space="preserve">Lehota na prebratie smernice </w:t>
      </w:r>
      <w:r w:rsidRPr="004D5CDE">
        <w:rPr>
          <w:rStyle w:val="Zvraznenie"/>
        </w:rPr>
        <w:t>(EÚ) 2020/262 je</w:t>
      </w:r>
      <w:r w:rsidRPr="004D5CDE">
        <w:t xml:space="preserve"> </w:t>
      </w:r>
      <w:r w:rsidRPr="004D5CDE">
        <w:rPr>
          <w:bCs/>
        </w:rPr>
        <w:t>stanovená</w:t>
      </w:r>
      <w:r w:rsidRPr="004D5CDE">
        <w:t xml:space="preserve"> do 31. decembra 2021.</w:t>
      </w:r>
    </w:p>
    <w:p w:rsidR="00A70D39" w:rsidRPr="004D5CDE" w:rsidRDefault="00A70D39" w:rsidP="00A70D39">
      <w:pPr>
        <w:pStyle w:val="Zkladntext"/>
        <w:ind w:left="369" w:firstLine="339"/>
        <w:jc w:val="both"/>
      </w:pPr>
      <w:r w:rsidRPr="004D5CDE">
        <w:rPr>
          <w:bCs/>
        </w:rPr>
        <w:t>Lehota na prebratie smernice (EÚ) 2019/475 bola stanovená do 31. decembra 2019.</w:t>
      </w:r>
    </w:p>
    <w:p w:rsidR="00A70D39" w:rsidRPr="004D5CDE" w:rsidRDefault="00A70D39" w:rsidP="00A70D39">
      <w:pPr>
        <w:pStyle w:val="Odsekzoznamu"/>
        <w:jc w:val="both"/>
        <w:rPr>
          <w:rFonts w:ascii="Times New Roman" w:hAnsi="Times New Roman"/>
          <w:bCs/>
          <w:sz w:val="24"/>
          <w:szCs w:val="24"/>
          <w:lang w:eastAsia="sk-SK"/>
        </w:rPr>
      </w:pPr>
      <w:r w:rsidRPr="004D5CDE">
        <w:rPr>
          <w:rFonts w:ascii="Times New Roman" w:hAnsi="Times New Roman"/>
          <w:bCs/>
          <w:sz w:val="24"/>
          <w:szCs w:val="24"/>
          <w:lang w:eastAsia="sk-SK"/>
        </w:rPr>
        <w:t>Lehota na prebratie smernice (EÚ) 2019/2235 je stanovená do 30. júna 2022.</w:t>
      </w:r>
    </w:p>
    <w:p w:rsidR="00A70D39" w:rsidRPr="004D5CDE" w:rsidRDefault="00A70D39" w:rsidP="00A70D39">
      <w:pPr>
        <w:pStyle w:val="Odsekzoznamu"/>
        <w:jc w:val="both"/>
        <w:rPr>
          <w:rFonts w:ascii="Times New Roman" w:hAnsi="Times New Roman"/>
          <w:bCs/>
          <w:sz w:val="24"/>
          <w:szCs w:val="24"/>
          <w:lang w:eastAsia="sk-SK"/>
        </w:rPr>
      </w:pPr>
    </w:p>
    <w:p w:rsidR="00A70D39" w:rsidRPr="004D5CDE" w:rsidRDefault="00A70D39" w:rsidP="00A70D39">
      <w:pPr>
        <w:pStyle w:val="Odsekzoznamu"/>
        <w:numPr>
          <w:ilvl w:val="1"/>
          <w:numId w:val="25"/>
        </w:numPr>
        <w:spacing w:after="160" w:line="259" w:lineRule="auto"/>
        <w:jc w:val="both"/>
        <w:rPr>
          <w:rFonts w:ascii="Times New Roman" w:hAnsi="Times New Roman"/>
          <w:sz w:val="24"/>
          <w:szCs w:val="24"/>
          <w:lang w:eastAsia="sk-SK"/>
        </w:rPr>
      </w:pPr>
      <w:r w:rsidRPr="004D5CDE">
        <w:rPr>
          <w:rFonts w:ascii="Times New Roman" w:hAnsi="Times New Roman"/>
          <w:sz w:val="24"/>
          <w:szCs w:val="24"/>
          <w:lang w:eastAsia="sk-SK"/>
        </w:rPr>
        <w:t xml:space="preserve">Proti SR bolo začaté konanie o porušení Zmluvy o fungovaní Európskej únie </w:t>
      </w:r>
      <w:r>
        <w:rPr>
          <w:rFonts w:ascii="Times New Roman" w:hAnsi="Times New Roman"/>
          <w:sz w:val="24"/>
          <w:szCs w:val="24"/>
          <w:lang w:eastAsia="sk-SK"/>
        </w:rPr>
        <w:t xml:space="preserve">v platnom znení </w:t>
      </w:r>
      <w:r w:rsidRPr="004D5CDE">
        <w:rPr>
          <w:rFonts w:ascii="Times New Roman" w:hAnsi="Times New Roman"/>
          <w:sz w:val="24"/>
          <w:szCs w:val="24"/>
          <w:lang w:eastAsia="sk-SK"/>
        </w:rPr>
        <w:t>podľa čl. 258 až 260 a to:</w:t>
      </w:r>
    </w:p>
    <w:p w:rsidR="00A70D39" w:rsidRPr="004D5CDE" w:rsidRDefault="00A70D39" w:rsidP="00A70D39">
      <w:pPr>
        <w:pStyle w:val="Odsekzoznamu"/>
        <w:ind w:left="709"/>
        <w:jc w:val="both"/>
        <w:rPr>
          <w:rFonts w:ascii="Times New Roman" w:hAnsi="Times New Roman"/>
          <w:sz w:val="24"/>
          <w:szCs w:val="24"/>
          <w:lang w:eastAsia="sk-SK"/>
        </w:rPr>
      </w:pPr>
      <w:r w:rsidRPr="004D5CDE">
        <w:rPr>
          <w:rFonts w:ascii="Times New Roman" w:hAnsi="Times New Roman"/>
          <w:sz w:val="24"/>
          <w:szCs w:val="24"/>
          <w:lang w:eastAsia="sk-SK"/>
        </w:rPr>
        <w:t>- konanie č. 2020/116 v súvislosti s nesplnením si povinnosti vyplývajúcej zo smernice (EÚ) 2019/475</w:t>
      </w:r>
    </w:p>
    <w:p w:rsidR="00A70D39" w:rsidRPr="004D5CDE" w:rsidRDefault="00A70D39" w:rsidP="00A70D39">
      <w:pPr>
        <w:pStyle w:val="Odsekzoznamu"/>
        <w:ind w:left="709"/>
        <w:jc w:val="both"/>
        <w:rPr>
          <w:rFonts w:ascii="Times New Roman" w:hAnsi="Times New Roman"/>
          <w:sz w:val="24"/>
          <w:szCs w:val="24"/>
          <w:lang w:eastAsia="sk-SK"/>
        </w:rPr>
      </w:pPr>
      <w:r w:rsidRPr="004D5CDE">
        <w:rPr>
          <w:rFonts w:ascii="Times New Roman" w:hAnsi="Times New Roman"/>
          <w:sz w:val="24"/>
          <w:szCs w:val="24"/>
          <w:lang w:eastAsia="sk-SK"/>
        </w:rPr>
        <w:t>- formálna výzva Slovenskej republike listom SG(2020)D/721 zo dňa 15. júna 2020.</w:t>
      </w:r>
    </w:p>
    <w:p w:rsidR="00A70D39" w:rsidRPr="004D5CDE" w:rsidRDefault="00A70D39" w:rsidP="00A70D39">
      <w:pPr>
        <w:pStyle w:val="Zkladntext0"/>
        <w:spacing w:after="360"/>
        <w:ind w:left="357"/>
        <w:jc w:val="both"/>
        <w:rPr>
          <w:color w:val="auto"/>
        </w:rPr>
      </w:pPr>
      <w:r w:rsidRPr="004D5CDE">
        <w:rPr>
          <w:color w:val="auto"/>
        </w:rPr>
        <w:t>c)</w:t>
      </w:r>
      <w:r w:rsidRPr="004D5CDE">
        <w:rPr>
          <w:color w:val="auto"/>
        </w:rPr>
        <w:tab/>
        <w:t>Bezpredmetné.</w:t>
      </w:r>
    </w:p>
    <w:p w:rsidR="00A70D39" w:rsidRPr="004D5CDE" w:rsidRDefault="00A70D39" w:rsidP="00A70D39">
      <w:pPr>
        <w:pStyle w:val="Zkladntext1"/>
        <w:tabs>
          <w:tab w:val="left" w:pos="284"/>
        </w:tabs>
        <w:spacing w:before="120"/>
        <w:ind w:firstLine="11"/>
        <w:jc w:val="both"/>
        <w:rPr>
          <w:b/>
          <w:bCs/>
          <w:color w:val="auto"/>
          <w:sz w:val="24"/>
          <w:szCs w:val="24"/>
        </w:rPr>
      </w:pPr>
      <w:r w:rsidRPr="004D5CDE">
        <w:rPr>
          <w:b/>
          <w:bCs/>
          <w:color w:val="auto"/>
          <w:sz w:val="24"/>
          <w:szCs w:val="24"/>
        </w:rPr>
        <w:t>5.</w:t>
      </w:r>
      <w:r w:rsidRPr="004D5CDE">
        <w:rPr>
          <w:b/>
          <w:bCs/>
          <w:color w:val="auto"/>
          <w:sz w:val="24"/>
          <w:szCs w:val="24"/>
        </w:rPr>
        <w:tab/>
        <w:t>Návrh zákona je zlučiteľný s právom Európskej únie:</w:t>
      </w:r>
    </w:p>
    <w:p w:rsidR="00A70D39" w:rsidRPr="00196F1B" w:rsidRDefault="00A70D39" w:rsidP="00A70D39">
      <w:pPr>
        <w:pStyle w:val="Zkladntext1"/>
        <w:spacing w:before="120"/>
        <w:ind w:left="284"/>
        <w:jc w:val="both"/>
      </w:pPr>
      <w:r w:rsidRPr="004D5CDE">
        <w:rPr>
          <w:color w:val="auto"/>
          <w:sz w:val="24"/>
          <w:szCs w:val="24"/>
        </w:rPr>
        <w:t>Úplne.</w:t>
      </w:r>
    </w:p>
    <w:p w:rsidR="002151A5" w:rsidRDefault="002151A5" w:rsidP="00A70D39">
      <w:pPr>
        <w:pStyle w:val="Nadpis7"/>
        <w:ind w:firstLine="0"/>
        <w:rPr>
          <w:rFonts w:ascii="Times New Roman" w:hAnsi="Times New Roman"/>
          <w:sz w:val="24"/>
        </w:rPr>
      </w:pPr>
    </w:p>
    <w:p w:rsidR="002151A5" w:rsidRDefault="002151A5" w:rsidP="00A70D39">
      <w:pPr>
        <w:pStyle w:val="Nadpis7"/>
        <w:ind w:firstLine="0"/>
        <w:rPr>
          <w:rFonts w:ascii="Times New Roman" w:hAnsi="Times New Roman"/>
          <w:sz w:val="24"/>
        </w:rPr>
      </w:pPr>
    </w:p>
    <w:p w:rsidR="00A70D39" w:rsidRPr="001107AD" w:rsidRDefault="002151A5" w:rsidP="00A70D39">
      <w:pPr>
        <w:pStyle w:val="Nadpis7"/>
        <w:ind w:firstLine="0"/>
        <w:rPr>
          <w:rFonts w:ascii="Times New Roman" w:hAnsi="Times New Roman"/>
          <w:sz w:val="24"/>
        </w:rPr>
      </w:pPr>
      <w:r>
        <w:rPr>
          <w:rFonts w:ascii="Times New Roman" w:hAnsi="Times New Roman"/>
          <w:sz w:val="24"/>
        </w:rPr>
        <w:t>B</w:t>
      </w:r>
      <w:r w:rsidR="00A70D39" w:rsidRPr="001107AD">
        <w:rPr>
          <w:rFonts w:ascii="Times New Roman" w:hAnsi="Times New Roman"/>
          <w:sz w:val="24"/>
        </w:rPr>
        <w:t xml:space="preserve">. Osobitná časť </w:t>
      </w:r>
    </w:p>
    <w:p w:rsidR="00A70D39" w:rsidRPr="001107AD" w:rsidRDefault="00A70D39" w:rsidP="00A70D39">
      <w:pPr>
        <w:spacing w:after="0" w:line="240" w:lineRule="auto"/>
        <w:rPr>
          <w:rFonts w:ascii="Times New Roman" w:hAnsi="Times New Roman"/>
          <w:sz w:val="24"/>
          <w:szCs w:val="24"/>
        </w:rPr>
      </w:pPr>
    </w:p>
    <w:p w:rsidR="00A70D39" w:rsidRPr="001107AD" w:rsidRDefault="00A70D39" w:rsidP="00A70D39">
      <w:pPr>
        <w:pStyle w:val="Nadpis7"/>
        <w:ind w:firstLine="0"/>
        <w:rPr>
          <w:rFonts w:ascii="Times New Roman" w:hAnsi="Times New Roman"/>
          <w:sz w:val="24"/>
        </w:rPr>
      </w:pPr>
      <w:r w:rsidRPr="001107AD">
        <w:rPr>
          <w:rFonts w:ascii="Times New Roman" w:hAnsi="Times New Roman"/>
          <w:sz w:val="24"/>
        </w:rPr>
        <w:t>K Čl. I</w:t>
      </w:r>
    </w:p>
    <w:p w:rsidR="00A70D39" w:rsidRPr="001107AD" w:rsidRDefault="00A70D39" w:rsidP="00A70D39">
      <w:pPr>
        <w:pStyle w:val="Zkladntext0"/>
        <w:autoSpaceDE w:val="0"/>
        <w:autoSpaceDN w:val="0"/>
        <w:jc w:val="both"/>
        <w:rPr>
          <w:bCs/>
        </w:rPr>
      </w:pPr>
    </w:p>
    <w:p w:rsidR="00A70D39" w:rsidRPr="001107AD" w:rsidRDefault="00A70D39" w:rsidP="00A70D39">
      <w:pPr>
        <w:tabs>
          <w:tab w:val="left" w:pos="284"/>
          <w:tab w:val="left" w:pos="426"/>
          <w:tab w:val="left" w:pos="567"/>
        </w:tabs>
        <w:autoSpaceDE w:val="0"/>
        <w:autoSpaceDN w:val="0"/>
        <w:adjustRightInd w:val="0"/>
        <w:spacing w:after="0" w:line="240" w:lineRule="auto"/>
        <w:jc w:val="both"/>
        <w:rPr>
          <w:rFonts w:ascii="Times New Roman" w:hAnsi="Times New Roman"/>
          <w:sz w:val="24"/>
          <w:szCs w:val="24"/>
        </w:rPr>
      </w:pPr>
      <w:r w:rsidRPr="001107AD">
        <w:rPr>
          <w:rFonts w:ascii="Times New Roman" w:hAnsi="Times New Roman"/>
          <w:b/>
          <w:sz w:val="24"/>
          <w:szCs w:val="24"/>
        </w:rPr>
        <w:t>K bodu 1</w:t>
      </w:r>
    </w:p>
    <w:p w:rsidR="00A70D39" w:rsidRPr="001107AD" w:rsidRDefault="00A70D39" w:rsidP="00A70D39">
      <w:pPr>
        <w:pStyle w:val="Zkladntext0"/>
        <w:autoSpaceDE w:val="0"/>
        <w:autoSpaceDN w:val="0"/>
        <w:jc w:val="both"/>
      </w:pPr>
      <w:r w:rsidRPr="001107AD">
        <w:t xml:space="preserve">Zosúladenie definície územia Európskej únie so smernicou Rady (EÚ) 2019/475 z 18. februára 2019, ktorou sa menia smernice 2006/112/ES a 2008/118/ES, pokiaľ ide o začlenenie talianskej obce </w:t>
      </w:r>
      <w:proofErr w:type="spellStart"/>
      <w:r w:rsidRPr="001107AD">
        <w:t>Campione</w:t>
      </w:r>
      <w:proofErr w:type="spellEnd"/>
      <w:r w:rsidRPr="001107AD">
        <w:t xml:space="preserve"> </w:t>
      </w:r>
      <w:proofErr w:type="spellStart"/>
      <w:r w:rsidRPr="001107AD">
        <w:t>d´Italia</w:t>
      </w:r>
      <w:proofErr w:type="spellEnd"/>
      <w:r w:rsidRPr="001107AD">
        <w:t xml:space="preserve"> a talianskych vôd jazera </w:t>
      </w:r>
      <w:proofErr w:type="spellStart"/>
      <w:r w:rsidRPr="001107AD">
        <w:t>Lugano</w:t>
      </w:r>
      <w:proofErr w:type="spellEnd"/>
      <w:r w:rsidRPr="001107AD">
        <w:t xml:space="preserve"> do colného územia Únie a do územnej pôsobnosti smernice 2008/118/ES.</w:t>
      </w:r>
    </w:p>
    <w:p w:rsidR="00A70D39" w:rsidRPr="001107AD" w:rsidRDefault="00A70D39" w:rsidP="00A70D39">
      <w:pPr>
        <w:pStyle w:val="Odsekzoznamu"/>
        <w:autoSpaceDE w:val="0"/>
        <w:autoSpaceDN w:val="0"/>
        <w:spacing w:after="0" w:line="240" w:lineRule="auto"/>
        <w:ind w:left="0"/>
        <w:contextualSpacing w:val="0"/>
        <w:jc w:val="both"/>
        <w:rPr>
          <w:rFonts w:ascii="Times New Roman" w:hAnsi="Times New Roman"/>
          <w:sz w:val="24"/>
          <w:szCs w:val="24"/>
        </w:rPr>
      </w:pPr>
    </w:p>
    <w:p w:rsidR="00A70D39" w:rsidRPr="001107AD" w:rsidRDefault="00A70D39" w:rsidP="00A70D39">
      <w:pPr>
        <w:spacing w:after="0" w:line="240" w:lineRule="auto"/>
        <w:jc w:val="both"/>
        <w:rPr>
          <w:rFonts w:ascii="Times New Roman" w:hAnsi="Times New Roman"/>
          <w:b/>
          <w:sz w:val="24"/>
          <w:szCs w:val="24"/>
        </w:rPr>
      </w:pPr>
      <w:r w:rsidRPr="001107AD">
        <w:rPr>
          <w:rFonts w:ascii="Times New Roman" w:hAnsi="Times New Roman"/>
          <w:b/>
          <w:sz w:val="24"/>
          <w:szCs w:val="24"/>
        </w:rPr>
        <w:t>K bodu 2</w:t>
      </w:r>
    </w:p>
    <w:p w:rsidR="00A70D39" w:rsidRPr="001107AD" w:rsidRDefault="00A70D39" w:rsidP="00A70D39">
      <w:pPr>
        <w:spacing w:after="0" w:line="240" w:lineRule="auto"/>
        <w:jc w:val="both"/>
        <w:rPr>
          <w:rFonts w:ascii="Times New Roman" w:hAnsi="Times New Roman"/>
          <w:b/>
          <w:sz w:val="24"/>
          <w:szCs w:val="24"/>
        </w:rPr>
      </w:pPr>
      <w:r w:rsidRPr="001107AD">
        <w:rPr>
          <w:rFonts w:ascii="Times New Roman" w:hAnsi="Times New Roman"/>
          <w:sz w:val="24"/>
          <w:szCs w:val="24"/>
        </w:rPr>
        <w:t xml:space="preserve">V súlade s Nariadením Európskeho parlamentu a Rady (EÚ) č. 952/2013, ktorým sa ustanovuje Colný kódex Únie sa </w:t>
      </w:r>
      <w:r>
        <w:rPr>
          <w:rFonts w:ascii="Times New Roman" w:hAnsi="Times New Roman"/>
          <w:sz w:val="24"/>
          <w:szCs w:val="24"/>
        </w:rPr>
        <w:t>aktualizuje</w:t>
      </w:r>
      <w:r w:rsidRPr="001107AD">
        <w:rPr>
          <w:rFonts w:ascii="Times New Roman" w:hAnsi="Times New Roman"/>
          <w:sz w:val="24"/>
          <w:szCs w:val="24"/>
        </w:rPr>
        <w:t xml:space="preserve"> odkaz na definíciu colného režimu voľný obeh. </w:t>
      </w:r>
    </w:p>
    <w:p w:rsidR="00A70D39" w:rsidRPr="001107AD" w:rsidRDefault="00A70D39" w:rsidP="00A70D39">
      <w:pPr>
        <w:spacing w:after="0" w:line="240" w:lineRule="auto"/>
        <w:jc w:val="both"/>
        <w:rPr>
          <w:rFonts w:ascii="Times New Roman" w:hAnsi="Times New Roman"/>
          <w:b/>
          <w:sz w:val="24"/>
          <w:szCs w:val="24"/>
        </w:rPr>
      </w:pPr>
    </w:p>
    <w:p w:rsidR="00A70D39" w:rsidRPr="001107AD" w:rsidRDefault="00A70D39" w:rsidP="00A70D39">
      <w:pPr>
        <w:spacing w:after="0" w:line="240" w:lineRule="auto"/>
        <w:jc w:val="both"/>
        <w:rPr>
          <w:rFonts w:ascii="Times New Roman" w:hAnsi="Times New Roman"/>
          <w:b/>
          <w:sz w:val="24"/>
          <w:szCs w:val="24"/>
        </w:rPr>
      </w:pPr>
      <w:r w:rsidRPr="001107AD">
        <w:rPr>
          <w:rFonts w:ascii="Times New Roman" w:hAnsi="Times New Roman"/>
          <w:b/>
          <w:sz w:val="24"/>
          <w:szCs w:val="24"/>
        </w:rPr>
        <w:t>K bodu 3</w:t>
      </w:r>
    </w:p>
    <w:p w:rsidR="00A70D39" w:rsidRPr="001107AD" w:rsidRDefault="00A70D39" w:rsidP="00A70D39">
      <w:pPr>
        <w:spacing w:after="0" w:line="240" w:lineRule="auto"/>
        <w:jc w:val="both"/>
        <w:rPr>
          <w:rFonts w:ascii="Times New Roman" w:hAnsi="Times New Roman"/>
          <w:sz w:val="24"/>
          <w:szCs w:val="24"/>
          <w:lang w:eastAsia="sk-SK"/>
        </w:rPr>
      </w:pPr>
      <w:r w:rsidRPr="001107AD">
        <w:rPr>
          <w:rFonts w:ascii="Times New Roman" w:hAnsi="Times New Roman"/>
          <w:sz w:val="24"/>
          <w:szCs w:val="24"/>
        </w:rPr>
        <w:t xml:space="preserve">Ustanovuje sa nový typ právnickej osoby alebo fyzickej osoby oprávnenej odosielať alkoholický nápoj uvedený do daňového voľného obehu na daňovom území na územie iného členského štátu Európskej únie na podnikateľské účely, ktorou je schválený odosielateľ. Zároveň sa ustanovuje nový typ právnickej osoby alebo fyzickej osoby oprávnenej prijímať alkoholický nápoj uvedený do daňového voľného obehu na území členských štátov Európskej únie na podnikateľské účely, ktorým je schválený príjemca. Schválený odosielateľ a schválený príjemca môže alkoholický nápoj prepravovať len s elektronickým zjednodušeným administratívnym dokumentom vyhotoveným prostredníctvom elektronického systému.  </w:t>
      </w:r>
    </w:p>
    <w:p w:rsidR="00A70D39" w:rsidRPr="001107AD" w:rsidRDefault="00A70D39" w:rsidP="00A70D39">
      <w:pPr>
        <w:spacing w:after="0" w:line="240" w:lineRule="auto"/>
        <w:jc w:val="both"/>
        <w:rPr>
          <w:rFonts w:ascii="Times New Roman" w:hAnsi="Times New Roman"/>
          <w:b/>
          <w:sz w:val="24"/>
          <w:szCs w:val="24"/>
        </w:rPr>
      </w:pPr>
    </w:p>
    <w:p w:rsidR="00A70D39" w:rsidRDefault="00A70D39" w:rsidP="00A70D39">
      <w:pPr>
        <w:spacing w:after="0" w:line="240" w:lineRule="auto"/>
        <w:jc w:val="both"/>
        <w:rPr>
          <w:rFonts w:ascii="Times New Roman" w:hAnsi="Times New Roman"/>
          <w:b/>
          <w:sz w:val="24"/>
          <w:szCs w:val="24"/>
        </w:rPr>
      </w:pPr>
      <w:r w:rsidRPr="001107AD">
        <w:rPr>
          <w:rFonts w:ascii="Times New Roman" w:hAnsi="Times New Roman"/>
          <w:b/>
          <w:sz w:val="24"/>
          <w:szCs w:val="24"/>
        </w:rPr>
        <w:t>K bod</w:t>
      </w:r>
      <w:r>
        <w:rPr>
          <w:rFonts w:ascii="Times New Roman" w:hAnsi="Times New Roman"/>
          <w:b/>
          <w:sz w:val="24"/>
          <w:szCs w:val="24"/>
        </w:rPr>
        <w:t>om</w:t>
      </w:r>
      <w:r w:rsidRPr="001107AD">
        <w:rPr>
          <w:rFonts w:ascii="Times New Roman" w:hAnsi="Times New Roman"/>
          <w:b/>
          <w:sz w:val="24"/>
          <w:szCs w:val="24"/>
        </w:rPr>
        <w:t xml:space="preserve"> 4</w:t>
      </w:r>
      <w:r>
        <w:rPr>
          <w:rFonts w:ascii="Times New Roman" w:hAnsi="Times New Roman"/>
          <w:b/>
          <w:sz w:val="24"/>
          <w:szCs w:val="24"/>
        </w:rPr>
        <w:t>, 8, 76 a 81</w:t>
      </w:r>
    </w:p>
    <w:p w:rsidR="00A70D39" w:rsidRPr="009155CC" w:rsidRDefault="00A70D39" w:rsidP="00A70D39">
      <w:pPr>
        <w:spacing w:after="0" w:line="240" w:lineRule="auto"/>
        <w:jc w:val="both"/>
        <w:rPr>
          <w:rFonts w:ascii="Times New Roman" w:hAnsi="Times New Roman"/>
          <w:sz w:val="24"/>
          <w:szCs w:val="24"/>
        </w:rPr>
      </w:pPr>
      <w:r w:rsidRPr="009155CC">
        <w:rPr>
          <w:rFonts w:ascii="Times New Roman" w:hAnsi="Times New Roman"/>
          <w:sz w:val="24"/>
          <w:szCs w:val="24"/>
        </w:rPr>
        <w:t>Aktualizácia poznámok pod čiarou.</w:t>
      </w:r>
    </w:p>
    <w:p w:rsidR="00A70D39" w:rsidRDefault="00A70D39" w:rsidP="00A70D39">
      <w:pPr>
        <w:spacing w:after="0" w:line="240" w:lineRule="auto"/>
        <w:jc w:val="both"/>
        <w:rPr>
          <w:rFonts w:ascii="Times New Roman" w:hAnsi="Times New Roman"/>
          <w:b/>
          <w:sz w:val="24"/>
          <w:szCs w:val="24"/>
        </w:rPr>
      </w:pPr>
    </w:p>
    <w:p w:rsidR="00A70D39" w:rsidRPr="001107AD" w:rsidRDefault="00A70D39" w:rsidP="00A70D39">
      <w:pPr>
        <w:spacing w:after="0" w:line="240" w:lineRule="auto"/>
        <w:jc w:val="both"/>
        <w:rPr>
          <w:rFonts w:ascii="Times New Roman" w:hAnsi="Times New Roman"/>
          <w:b/>
          <w:sz w:val="24"/>
          <w:szCs w:val="24"/>
        </w:rPr>
      </w:pPr>
      <w:r w:rsidRPr="001107AD">
        <w:rPr>
          <w:rFonts w:ascii="Times New Roman" w:hAnsi="Times New Roman"/>
          <w:b/>
          <w:sz w:val="24"/>
          <w:szCs w:val="24"/>
        </w:rPr>
        <w:t>K bodu 5</w:t>
      </w:r>
    </w:p>
    <w:p w:rsidR="00A70D39" w:rsidRPr="001107AD" w:rsidRDefault="00A70D39" w:rsidP="00A70D39">
      <w:pPr>
        <w:spacing w:after="0" w:line="240" w:lineRule="auto"/>
        <w:jc w:val="both"/>
        <w:rPr>
          <w:rFonts w:ascii="Times New Roman" w:hAnsi="Times New Roman"/>
          <w:sz w:val="24"/>
          <w:szCs w:val="24"/>
        </w:rPr>
      </w:pPr>
      <w:r w:rsidRPr="001107AD">
        <w:rPr>
          <w:rFonts w:ascii="Times New Roman" w:hAnsi="Times New Roman"/>
          <w:sz w:val="24"/>
          <w:szCs w:val="24"/>
        </w:rPr>
        <w:t>Legislatívno-technická úprava súvisiaca so zrušením súkromnej výroby destilátu.</w:t>
      </w:r>
    </w:p>
    <w:p w:rsidR="00A70D39" w:rsidRDefault="00A70D39" w:rsidP="00A70D39">
      <w:pPr>
        <w:pStyle w:val="Zkladntext0"/>
        <w:autoSpaceDE w:val="0"/>
        <w:autoSpaceDN w:val="0"/>
        <w:jc w:val="both"/>
        <w:rPr>
          <w:b/>
        </w:rPr>
      </w:pPr>
    </w:p>
    <w:p w:rsidR="00A70D39" w:rsidRDefault="00A70D39" w:rsidP="00A70D39">
      <w:pPr>
        <w:pStyle w:val="Zkladntext0"/>
        <w:autoSpaceDE w:val="0"/>
        <w:autoSpaceDN w:val="0"/>
        <w:jc w:val="both"/>
        <w:rPr>
          <w:b/>
        </w:rPr>
      </w:pPr>
      <w:r w:rsidRPr="001107AD">
        <w:rPr>
          <w:b/>
        </w:rPr>
        <w:t xml:space="preserve">K bodu </w:t>
      </w:r>
      <w:r>
        <w:rPr>
          <w:b/>
        </w:rPr>
        <w:t>6</w:t>
      </w:r>
    </w:p>
    <w:p w:rsidR="00A70D39" w:rsidRPr="001107AD" w:rsidRDefault="00A70D39" w:rsidP="00A70D39">
      <w:pPr>
        <w:spacing w:after="0" w:line="240" w:lineRule="auto"/>
        <w:jc w:val="both"/>
        <w:rPr>
          <w:rFonts w:ascii="Times New Roman" w:hAnsi="Times New Roman"/>
          <w:sz w:val="24"/>
          <w:szCs w:val="24"/>
        </w:rPr>
      </w:pPr>
      <w:r>
        <w:rPr>
          <w:rFonts w:ascii="Times New Roman" w:hAnsi="Times New Roman"/>
          <w:sz w:val="24"/>
          <w:szCs w:val="24"/>
        </w:rPr>
        <w:t xml:space="preserve">V súlade so smernicou </w:t>
      </w:r>
      <w:r w:rsidRPr="00A70DBE">
        <w:rPr>
          <w:rFonts w:ascii="Times New Roman" w:hAnsi="Times New Roman"/>
          <w:sz w:val="24"/>
          <w:szCs w:val="24"/>
        </w:rPr>
        <w:t>2020/262</w:t>
      </w:r>
      <w:r>
        <w:rPr>
          <w:rFonts w:ascii="Times New Roman" w:hAnsi="Times New Roman"/>
          <w:sz w:val="24"/>
          <w:szCs w:val="24"/>
        </w:rPr>
        <w:t xml:space="preserve"> sa ustanovuje oslobodenie</w:t>
      </w:r>
      <w:r w:rsidRPr="001107AD">
        <w:rPr>
          <w:rFonts w:ascii="Times New Roman" w:hAnsi="Times New Roman"/>
          <w:sz w:val="24"/>
          <w:szCs w:val="24"/>
        </w:rPr>
        <w:t xml:space="preserve"> od spotrebnej dane pre alkoholické nápoje dodávané na použitie ozbrojenými silami iných členských štátov, pokiaľ sa tieto ozbrojené sily a ich civilní zamestnanci podieľajú na obrannom úsilí vynakladanom v rámci spoločnej bezpečnostnej a obrannej politiky Európskej únie. </w:t>
      </w:r>
    </w:p>
    <w:p w:rsidR="00A70D39" w:rsidRPr="001107AD" w:rsidRDefault="00A70D39" w:rsidP="00A70D39">
      <w:pPr>
        <w:pStyle w:val="Zkladntext0"/>
        <w:autoSpaceDE w:val="0"/>
        <w:autoSpaceDN w:val="0"/>
        <w:jc w:val="both"/>
      </w:pPr>
    </w:p>
    <w:p w:rsidR="00A70D39" w:rsidRDefault="00A70D39" w:rsidP="00A70D39">
      <w:pPr>
        <w:pStyle w:val="Zkladntext0"/>
        <w:autoSpaceDE w:val="0"/>
        <w:autoSpaceDN w:val="0"/>
        <w:jc w:val="both"/>
        <w:rPr>
          <w:b/>
        </w:rPr>
      </w:pPr>
      <w:r>
        <w:rPr>
          <w:b/>
        </w:rPr>
        <w:t>K bodu 7</w:t>
      </w:r>
    </w:p>
    <w:p w:rsidR="00A70D39" w:rsidRPr="009155CC" w:rsidRDefault="00A70D39" w:rsidP="00A70D39">
      <w:pPr>
        <w:spacing w:after="0" w:line="240" w:lineRule="auto"/>
        <w:jc w:val="both"/>
        <w:rPr>
          <w:rFonts w:ascii="Times New Roman" w:hAnsi="Times New Roman"/>
          <w:sz w:val="24"/>
          <w:szCs w:val="24"/>
        </w:rPr>
      </w:pPr>
      <w:r w:rsidRPr="009155CC">
        <w:rPr>
          <w:rFonts w:ascii="Times New Roman" w:hAnsi="Times New Roman"/>
          <w:sz w:val="24"/>
          <w:szCs w:val="24"/>
        </w:rPr>
        <w:t xml:space="preserve">Podľa § 1 písm. b) zákona č. 157/2018 Z. z. o metrológii a o zmene a doplnení niektorých zákonov </w:t>
      </w:r>
      <w:r>
        <w:rPr>
          <w:rFonts w:ascii="Times New Roman" w:hAnsi="Times New Roman"/>
          <w:sz w:val="24"/>
          <w:szCs w:val="24"/>
        </w:rPr>
        <w:t xml:space="preserve">sa upravuje </w:t>
      </w:r>
      <w:r w:rsidRPr="009155CC">
        <w:rPr>
          <w:rFonts w:ascii="Times New Roman" w:hAnsi="Times New Roman"/>
          <w:sz w:val="24"/>
          <w:szCs w:val="24"/>
        </w:rPr>
        <w:t>meraci</w:t>
      </w:r>
      <w:r>
        <w:rPr>
          <w:rFonts w:ascii="Times New Roman" w:hAnsi="Times New Roman"/>
          <w:sz w:val="24"/>
          <w:szCs w:val="24"/>
        </w:rPr>
        <w:t>a</w:t>
      </w:r>
      <w:r w:rsidRPr="009155CC">
        <w:rPr>
          <w:rFonts w:ascii="Times New Roman" w:hAnsi="Times New Roman"/>
          <w:sz w:val="24"/>
          <w:szCs w:val="24"/>
        </w:rPr>
        <w:t xml:space="preserve"> jednotk</w:t>
      </w:r>
      <w:r>
        <w:rPr>
          <w:rFonts w:ascii="Times New Roman" w:hAnsi="Times New Roman"/>
          <w:sz w:val="24"/>
          <w:szCs w:val="24"/>
        </w:rPr>
        <w:t>a</w:t>
      </w:r>
      <w:r w:rsidRPr="009155CC">
        <w:rPr>
          <w:rFonts w:ascii="Times New Roman" w:hAnsi="Times New Roman"/>
          <w:sz w:val="24"/>
          <w:szCs w:val="24"/>
        </w:rPr>
        <w:t xml:space="preserve"> a jej používanie</w:t>
      </w:r>
      <w:r>
        <w:rPr>
          <w:rFonts w:ascii="Times New Roman" w:hAnsi="Times New Roman"/>
          <w:sz w:val="24"/>
          <w:szCs w:val="24"/>
        </w:rPr>
        <w:t>, čím sa</w:t>
      </w:r>
      <w:r w:rsidRPr="009155CC">
        <w:rPr>
          <w:rFonts w:ascii="Times New Roman" w:hAnsi="Times New Roman"/>
          <w:sz w:val="24"/>
          <w:szCs w:val="24"/>
        </w:rPr>
        <w:t xml:space="preserve"> zabezpeč</w:t>
      </w:r>
      <w:r>
        <w:rPr>
          <w:rFonts w:ascii="Times New Roman" w:hAnsi="Times New Roman"/>
          <w:sz w:val="24"/>
          <w:szCs w:val="24"/>
        </w:rPr>
        <w:t>ia</w:t>
      </w:r>
      <w:r w:rsidRPr="009155CC">
        <w:rPr>
          <w:rFonts w:ascii="Times New Roman" w:hAnsi="Times New Roman"/>
          <w:sz w:val="24"/>
          <w:szCs w:val="24"/>
        </w:rPr>
        <w:t xml:space="preserve"> správn</w:t>
      </w:r>
      <w:r>
        <w:rPr>
          <w:rFonts w:ascii="Times New Roman" w:hAnsi="Times New Roman"/>
          <w:sz w:val="24"/>
          <w:szCs w:val="24"/>
        </w:rPr>
        <w:t>e</w:t>
      </w:r>
      <w:r w:rsidRPr="009155CC">
        <w:rPr>
          <w:rFonts w:ascii="Times New Roman" w:hAnsi="Times New Roman"/>
          <w:sz w:val="24"/>
          <w:szCs w:val="24"/>
        </w:rPr>
        <w:t xml:space="preserve"> a jednotn</w:t>
      </w:r>
      <w:r>
        <w:rPr>
          <w:rFonts w:ascii="Times New Roman" w:hAnsi="Times New Roman"/>
          <w:sz w:val="24"/>
          <w:szCs w:val="24"/>
        </w:rPr>
        <w:t>é</w:t>
      </w:r>
      <w:r w:rsidRPr="009155CC">
        <w:rPr>
          <w:rFonts w:ascii="Times New Roman" w:hAnsi="Times New Roman"/>
          <w:sz w:val="24"/>
          <w:szCs w:val="24"/>
        </w:rPr>
        <w:t xml:space="preserve"> merania a</w:t>
      </w:r>
      <w:r>
        <w:rPr>
          <w:rFonts w:ascii="Times New Roman" w:hAnsi="Times New Roman"/>
          <w:sz w:val="24"/>
          <w:szCs w:val="24"/>
        </w:rPr>
        <w:t xml:space="preserve"> používanie meradiel pre</w:t>
      </w:r>
      <w:r w:rsidRPr="009155CC">
        <w:rPr>
          <w:rFonts w:ascii="Times New Roman" w:hAnsi="Times New Roman"/>
          <w:sz w:val="24"/>
          <w:szCs w:val="24"/>
        </w:rPr>
        <w:t xml:space="preserve"> oblas</w:t>
      </w:r>
      <w:r>
        <w:rPr>
          <w:rFonts w:ascii="Times New Roman" w:hAnsi="Times New Roman"/>
          <w:sz w:val="24"/>
          <w:szCs w:val="24"/>
        </w:rPr>
        <w:t>ť</w:t>
      </w:r>
      <w:r w:rsidRPr="009155CC">
        <w:rPr>
          <w:rFonts w:ascii="Times New Roman" w:hAnsi="Times New Roman"/>
          <w:sz w:val="24"/>
          <w:szCs w:val="24"/>
        </w:rPr>
        <w:t xml:space="preserve"> metrológie.</w:t>
      </w:r>
    </w:p>
    <w:p w:rsidR="00A70D39" w:rsidRDefault="00A70D39" w:rsidP="00A70D39">
      <w:pPr>
        <w:pStyle w:val="Zkladntext0"/>
        <w:autoSpaceDE w:val="0"/>
        <w:autoSpaceDN w:val="0"/>
        <w:jc w:val="both"/>
      </w:pPr>
    </w:p>
    <w:p w:rsidR="00A70D39" w:rsidRPr="009155CC" w:rsidRDefault="00A70D39" w:rsidP="00A70D39">
      <w:pPr>
        <w:pStyle w:val="Zkladntext0"/>
        <w:autoSpaceDE w:val="0"/>
        <w:autoSpaceDN w:val="0"/>
        <w:jc w:val="both"/>
        <w:rPr>
          <w:b/>
        </w:rPr>
      </w:pPr>
      <w:r>
        <w:rPr>
          <w:b/>
        </w:rPr>
        <w:t>K bodom</w:t>
      </w:r>
      <w:r w:rsidRPr="009155CC">
        <w:rPr>
          <w:b/>
        </w:rPr>
        <w:t xml:space="preserve"> 9</w:t>
      </w:r>
      <w:r>
        <w:rPr>
          <w:b/>
        </w:rPr>
        <w:t xml:space="preserve"> a 10</w:t>
      </w:r>
    </w:p>
    <w:p w:rsidR="00A70D39" w:rsidRPr="00AA4567" w:rsidRDefault="00A70D39" w:rsidP="00A70D39">
      <w:pPr>
        <w:pStyle w:val="Zkladntext0"/>
        <w:autoSpaceDE w:val="0"/>
        <w:autoSpaceDN w:val="0"/>
        <w:jc w:val="both"/>
      </w:pPr>
      <w:r w:rsidRPr="00AA4567">
        <w:t>V snahe znížiť administratívnu záťaž užívateľských podnikov sa upravuje povinnosť vyhotoviť odberný poukaz pre colný úrad iba v dvoch vyhotoveniach</w:t>
      </w:r>
      <w:r>
        <w:rPr>
          <w:b/>
        </w:rPr>
        <w:t xml:space="preserve"> </w:t>
      </w:r>
      <w:r w:rsidRPr="00AA4567">
        <w:t>a</w:t>
      </w:r>
      <w:r>
        <w:t xml:space="preserve"> umožňuje sa </w:t>
      </w:r>
      <w:r w:rsidRPr="00AA4567">
        <w:t xml:space="preserve">zaslať </w:t>
      </w:r>
      <w:r>
        <w:t>odberný poukaz</w:t>
      </w:r>
      <w:r w:rsidRPr="00AA4567">
        <w:t xml:space="preserve"> dotknutým daňovým subjektom</w:t>
      </w:r>
      <w:r w:rsidRPr="00341F32">
        <w:t xml:space="preserve"> </w:t>
      </w:r>
      <w:r w:rsidRPr="00AA4567">
        <w:t xml:space="preserve">elektronicky. </w:t>
      </w:r>
    </w:p>
    <w:p w:rsidR="00A70D39" w:rsidRDefault="00A70D39" w:rsidP="00A70D39">
      <w:pPr>
        <w:pStyle w:val="Zkladntext0"/>
        <w:autoSpaceDE w:val="0"/>
        <w:autoSpaceDN w:val="0"/>
        <w:jc w:val="both"/>
        <w:rPr>
          <w:b/>
        </w:rPr>
      </w:pPr>
    </w:p>
    <w:p w:rsidR="00A70D39" w:rsidRPr="00AA4567" w:rsidRDefault="00A70D39" w:rsidP="00A70D39">
      <w:pPr>
        <w:pStyle w:val="Zkladntext0"/>
        <w:autoSpaceDE w:val="0"/>
        <w:autoSpaceDN w:val="0"/>
        <w:jc w:val="both"/>
        <w:rPr>
          <w:b/>
        </w:rPr>
      </w:pPr>
      <w:r>
        <w:rPr>
          <w:b/>
        </w:rPr>
        <w:t>K bodu 11</w:t>
      </w:r>
    </w:p>
    <w:p w:rsidR="00A70D39" w:rsidRDefault="00A70D39" w:rsidP="00A70D39">
      <w:pPr>
        <w:pStyle w:val="Zkladntext0"/>
        <w:autoSpaceDE w:val="0"/>
        <w:autoSpaceDN w:val="0"/>
        <w:jc w:val="both"/>
      </w:pPr>
      <w:r>
        <w:t>Upúšťa sa od p</w:t>
      </w:r>
      <w:r w:rsidRPr="001107AD">
        <w:t>ovinnos</w:t>
      </w:r>
      <w:r>
        <w:t>ti</w:t>
      </w:r>
      <w:r w:rsidRPr="001107AD">
        <w:t xml:space="preserve"> </w:t>
      </w:r>
      <w:r>
        <w:t xml:space="preserve">colného úradu </w:t>
      </w:r>
      <w:r w:rsidRPr="001107AD">
        <w:t>odňať odberný poukaz</w:t>
      </w:r>
      <w:r>
        <w:t>,</w:t>
      </w:r>
      <w:r w:rsidRPr="001107AD">
        <w:t xml:space="preserve"> </w:t>
      </w:r>
      <w:r>
        <w:t>ak</w:t>
      </w:r>
      <w:r w:rsidRPr="001107AD">
        <w:t xml:space="preserve"> bola</w:t>
      </w:r>
      <w:r>
        <w:t xml:space="preserve"> vykonaná </w:t>
      </w:r>
      <w:r w:rsidRPr="001107AD">
        <w:t>registr</w:t>
      </w:r>
      <w:r>
        <w:t>ácia</w:t>
      </w:r>
      <w:r w:rsidRPr="001107AD">
        <w:t xml:space="preserve"> a vydané povolenie </w:t>
      </w:r>
      <w:r>
        <w:t xml:space="preserve">na prevádzkovanie daňového skladu, a to v snahe znížiť administratívnu záťaž subjektov, ktoré chcú naďalej zostať užívateľskými podnikmi a </w:t>
      </w:r>
      <w:r w:rsidRPr="001107AD">
        <w:t xml:space="preserve">používať </w:t>
      </w:r>
      <w:r>
        <w:t>alkoholický nápoj</w:t>
      </w:r>
      <w:r w:rsidRPr="001107AD">
        <w:t xml:space="preserve"> na </w:t>
      </w:r>
      <w:r>
        <w:t>ú</w:t>
      </w:r>
      <w:r w:rsidRPr="001107AD">
        <w:t>čely oslobodené od dane</w:t>
      </w:r>
      <w:r>
        <w:t>.</w:t>
      </w:r>
    </w:p>
    <w:p w:rsidR="00A70D39" w:rsidRDefault="00A70D39" w:rsidP="00A70D39">
      <w:pPr>
        <w:spacing w:after="0" w:line="240" w:lineRule="auto"/>
        <w:jc w:val="both"/>
        <w:rPr>
          <w:rFonts w:ascii="Times New Roman" w:hAnsi="Times New Roman"/>
          <w:b/>
          <w:sz w:val="24"/>
          <w:szCs w:val="24"/>
        </w:rPr>
      </w:pPr>
    </w:p>
    <w:p w:rsidR="00A70D39" w:rsidRDefault="00A70D39" w:rsidP="00A70D39">
      <w:pPr>
        <w:spacing w:after="0" w:line="240" w:lineRule="auto"/>
        <w:jc w:val="both"/>
        <w:rPr>
          <w:rFonts w:ascii="Times New Roman" w:hAnsi="Times New Roman"/>
          <w:b/>
          <w:sz w:val="24"/>
          <w:szCs w:val="24"/>
        </w:rPr>
      </w:pPr>
      <w:r w:rsidRPr="004756E8">
        <w:rPr>
          <w:rFonts w:ascii="Times New Roman" w:hAnsi="Times New Roman"/>
          <w:b/>
          <w:sz w:val="24"/>
          <w:szCs w:val="24"/>
        </w:rPr>
        <w:t xml:space="preserve">K bodu </w:t>
      </w:r>
      <w:r>
        <w:rPr>
          <w:rFonts w:ascii="Times New Roman" w:hAnsi="Times New Roman"/>
          <w:b/>
          <w:sz w:val="24"/>
          <w:szCs w:val="24"/>
        </w:rPr>
        <w:t>12</w:t>
      </w:r>
    </w:p>
    <w:p w:rsidR="00A70D39" w:rsidRPr="001107AD" w:rsidRDefault="00A70D39" w:rsidP="00A70D39">
      <w:pPr>
        <w:pStyle w:val="Zkladntext0"/>
        <w:autoSpaceDE w:val="0"/>
        <w:autoSpaceDN w:val="0"/>
        <w:jc w:val="both"/>
      </w:pPr>
      <w:r w:rsidRPr="009155CC">
        <w:t xml:space="preserve">Spresňuje sa lehota platnosti odberných poukazov a súčasne sa </w:t>
      </w:r>
      <w:r>
        <w:t>v nadväznosti na úpravu v bode 11 spresňujú povinnosti colného úradu.</w:t>
      </w:r>
    </w:p>
    <w:p w:rsidR="00A70D39" w:rsidRDefault="00A70D39" w:rsidP="00A70D39">
      <w:pPr>
        <w:pStyle w:val="Zkladntext0"/>
        <w:autoSpaceDE w:val="0"/>
        <w:autoSpaceDN w:val="0"/>
        <w:jc w:val="both"/>
      </w:pPr>
    </w:p>
    <w:p w:rsidR="00A70D39" w:rsidRDefault="00A70D39" w:rsidP="00A70D39">
      <w:pPr>
        <w:spacing w:after="0" w:line="240" w:lineRule="auto"/>
        <w:jc w:val="both"/>
        <w:rPr>
          <w:rFonts w:ascii="Times New Roman" w:hAnsi="Times New Roman"/>
          <w:b/>
          <w:sz w:val="24"/>
          <w:szCs w:val="24"/>
        </w:rPr>
      </w:pPr>
      <w:r w:rsidRPr="00AA4567">
        <w:rPr>
          <w:rFonts w:ascii="Times New Roman" w:hAnsi="Times New Roman"/>
          <w:b/>
          <w:sz w:val="24"/>
          <w:szCs w:val="24"/>
        </w:rPr>
        <w:t xml:space="preserve">K bodu </w:t>
      </w:r>
      <w:r>
        <w:rPr>
          <w:rFonts w:ascii="Times New Roman" w:hAnsi="Times New Roman"/>
          <w:b/>
          <w:sz w:val="24"/>
          <w:szCs w:val="24"/>
        </w:rPr>
        <w:t>13</w:t>
      </w:r>
    </w:p>
    <w:p w:rsidR="00A70D39" w:rsidRPr="005A0D77" w:rsidRDefault="00A70D39" w:rsidP="00A70D39">
      <w:pPr>
        <w:spacing w:after="0" w:line="240" w:lineRule="auto"/>
        <w:jc w:val="both"/>
        <w:rPr>
          <w:rFonts w:ascii="Times New Roman" w:hAnsi="Times New Roman"/>
          <w:sz w:val="24"/>
          <w:szCs w:val="24"/>
        </w:rPr>
      </w:pPr>
      <w:r w:rsidRPr="009155CC">
        <w:rPr>
          <w:rFonts w:ascii="Times New Roman" w:hAnsi="Times New Roman"/>
          <w:sz w:val="24"/>
          <w:szCs w:val="24"/>
        </w:rPr>
        <w:t xml:space="preserve">V snahe znížiť finančnú záťaž podnikateľských subjektov sa navrhovanou úpravou umožňuje užívateľskému podniku, ktorý už nemôže použiť alkoholický nápoj oslobodený od dane na účel použitia uvedený v odbernom poukaze, dodať tento alkoholický nápoj inému užívateľskému podniku alebo daňovému skladu, avšak len so súhlasom colného úradu. </w:t>
      </w:r>
      <w:r>
        <w:rPr>
          <w:rFonts w:ascii="Times New Roman" w:hAnsi="Times New Roman"/>
          <w:sz w:val="24"/>
          <w:szCs w:val="24"/>
        </w:rPr>
        <w:t xml:space="preserve"> </w:t>
      </w:r>
    </w:p>
    <w:p w:rsidR="00A70D39" w:rsidRDefault="00A70D39" w:rsidP="00A70D39">
      <w:pPr>
        <w:spacing w:after="0" w:line="240" w:lineRule="auto"/>
        <w:jc w:val="both"/>
        <w:rPr>
          <w:rFonts w:ascii="Times New Roman" w:hAnsi="Times New Roman"/>
          <w:b/>
          <w:sz w:val="24"/>
          <w:szCs w:val="24"/>
        </w:rPr>
      </w:pPr>
    </w:p>
    <w:p w:rsidR="00A70D39" w:rsidRPr="00AA4567" w:rsidRDefault="00A70D39" w:rsidP="00A70D39">
      <w:pPr>
        <w:spacing w:after="0" w:line="240" w:lineRule="auto"/>
        <w:jc w:val="both"/>
        <w:rPr>
          <w:rFonts w:ascii="Times New Roman" w:hAnsi="Times New Roman"/>
          <w:b/>
          <w:sz w:val="24"/>
          <w:szCs w:val="24"/>
        </w:rPr>
      </w:pPr>
      <w:r>
        <w:rPr>
          <w:rFonts w:ascii="Times New Roman" w:hAnsi="Times New Roman"/>
          <w:b/>
          <w:sz w:val="24"/>
          <w:szCs w:val="24"/>
        </w:rPr>
        <w:t>K bodu 14</w:t>
      </w:r>
    </w:p>
    <w:p w:rsidR="00A70D39" w:rsidRPr="001107AD" w:rsidRDefault="00A70D39" w:rsidP="00A70D39">
      <w:pPr>
        <w:spacing w:after="0" w:line="240" w:lineRule="auto"/>
        <w:jc w:val="both"/>
        <w:rPr>
          <w:rFonts w:ascii="Times New Roman" w:hAnsi="Times New Roman"/>
          <w:sz w:val="24"/>
          <w:szCs w:val="24"/>
        </w:rPr>
      </w:pPr>
      <w:r w:rsidRPr="001107AD">
        <w:rPr>
          <w:rFonts w:ascii="Times New Roman" w:hAnsi="Times New Roman"/>
          <w:sz w:val="24"/>
          <w:szCs w:val="24"/>
        </w:rPr>
        <w:t>Upúšťa sa od povinnej prítomnosti zamestnanca colného úradu v užívateľskom podniku, ktorý používa lieh denaturovaný octom na výrobu octu a v užívateľskom podniku podľa § 9 ods. 18 zákona č. 530/2011 Z. z., ak nevykonáva činnosť, na ktorú má vydaný odberný poukaz. Colný úrad je v takomto prípade povinný zabezpečiť technické a technologické zariadenia a priestory užívateľského podniku voči nelegálnej výrobe liehu a zneužitiu liehu.</w:t>
      </w:r>
    </w:p>
    <w:p w:rsidR="00A70D39" w:rsidRDefault="00A70D39" w:rsidP="00A70D39">
      <w:pPr>
        <w:spacing w:after="0" w:line="240" w:lineRule="auto"/>
        <w:jc w:val="both"/>
        <w:rPr>
          <w:rFonts w:ascii="Times New Roman" w:hAnsi="Times New Roman"/>
          <w:b/>
          <w:sz w:val="24"/>
          <w:szCs w:val="24"/>
        </w:rPr>
      </w:pPr>
    </w:p>
    <w:p w:rsidR="00A70D39" w:rsidRPr="004756E8" w:rsidRDefault="00A70D39" w:rsidP="00A70D39">
      <w:pPr>
        <w:spacing w:after="0" w:line="240" w:lineRule="auto"/>
        <w:jc w:val="both"/>
        <w:rPr>
          <w:rFonts w:ascii="Times New Roman" w:hAnsi="Times New Roman"/>
          <w:b/>
          <w:sz w:val="24"/>
          <w:szCs w:val="24"/>
        </w:rPr>
      </w:pPr>
      <w:r w:rsidRPr="004756E8">
        <w:rPr>
          <w:rFonts w:ascii="Times New Roman" w:hAnsi="Times New Roman"/>
          <w:b/>
          <w:sz w:val="24"/>
          <w:szCs w:val="24"/>
        </w:rPr>
        <w:t>K bod</w:t>
      </w:r>
      <w:r>
        <w:rPr>
          <w:rFonts w:ascii="Times New Roman" w:hAnsi="Times New Roman"/>
          <w:b/>
          <w:sz w:val="24"/>
          <w:szCs w:val="24"/>
        </w:rPr>
        <w:t>om</w:t>
      </w:r>
      <w:r w:rsidRPr="004756E8">
        <w:rPr>
          <w:rFonts w:ascii="Times New Roman" w:hAnsi="Times New Roman"/>
          <w:b/>
          <w:sz w:val="24"/>
          <w:szCs w:val="24"/>
        </w:rPr>
        <w:t xml:space="preserve"> </w:t>
      </w:r>
      <w:r>
        <w:rPr>
          <w:rFonts w:ascii="Times New Roman" w:hAnsi="Times New Roman"/>
          <w:b/>
          <w:sz w:val="24"/>
          <w:szCs w:val="24"/>
        </w:rPr>
        <w:t>15 a 18</w:t>
      </w:r>
    </w:p>
    <w:p w:rsidR="00A70D39" w:rsidRPr="001107AD" w:rsidRDefault="00A70D39" w:rsidP="00A70D39">
      <w:pPr>
        <w:spacing w:after="0" w:line="240" w:lineRule="auto"/>
        <w:jc w:val="both"/>
        <w:rPr>
          <w:rFonts w:ascii="Times New Roman" w:hAnsi="Times New Roman"/>
          <w:sz w:val="24"/>
          <w:szCs w:val="24"/>
        </w:rPr>
      </w:pPr>
      <w:r w:rsidRPr="001107AD">
        <w:rPr>
          <w:rFonts w:ascii="Times New Roman" w:hAnsi="Times New Roman"/>
          <w:sz w:val="24"/>
          <w:szCs w:val="24"/>
        </w:rPr>
        <w:t>Legislatívno-technická úprava súvisiaca so zavedením nového typu osoby, ktorou je schválený príjemca</w:t>
      </w:r>
      <w:r>
        <w:rPr>
          <w:rFonts w:ascii="Times New Roman" w:hAnsi="Times New Roman"/>
          <w:sz w:val="24"/>
          <w:szCs w:val="24"/>
        </w:rPr>
        <w:t>,</w:t>
      </w:r>
      <w:r w:rsidRPr="001107AD">
        <w:rPr>
          <w:rFonts w:ascii="Times New Roman" w:hAnsi="Times New Roman"/>
          <w:sz w:val="24"/>
          <w:szCs w:val="24"/>
        </w:rPr>
        <w:t> schválený odosielateľ</w:t>
      </w:r>
      <w:r>
        <w:rPr>
          <w:rFonts w:ascii="Times New Roman" w:hAnsi="Times New Roman"/>
          <w:sz w:val="24"/>
          <w:szCs w:val="24"/>
        </w:rPr>
        <w:t xml:space="preserve"> a s vypustením súkromnej výroby destilátu</w:t>
      </w:r>
      <w:r w:rsidRPr="001107AD">
        <w:rPr>
          <w:rFonts w:ascii="Times New Roman" w:hAnsi="Times New Roman"/>
          <w:sz w:val="24"/>
          <w:szCs w:val="24"/>
        </w:rPr>
        <w:t>.</w:t>
      </w:r>
    </w:p>
    <w:p w:rsidR="00A70D39" w:rsidRPr="001107AD" w:rsidRDefault="00A70D39" w:rsidP="00A70D39">
      <w:pPr>
        <w:spacing w:after="0" w:line="240" w:lineRule="auto"/>
        <w:jc w:val="both"/>
        <w:rPr>
          <w:rFonts w:ascii="Times New Roman" w:hAnsi="Times New Roman"/>
          <w:sz w:val="24"/>
          <w:szCs w:val="24"/>
        </w:rPr>
      </w:pPr>
    </w:p>
    <w:p w:rsidR="00A70D39" w:rsidRPr="001107AD" w:rsidRDefault="00A70D39" w:rsidP="00A70D39">
      <w:pPr>
        <w:spacing w:after="0" w:line="240" w:lineRule="auto"/>
        <w:jc w:val="both"/>
        <w:rPr>
          <w:rFonts w:ascii="Times New Roman" w:hAnsi="Times New Roman"/>
          <w:b/>
          <w:sz w:val="24"/>
          <w:szCs w:val="24"/>
        </w:rPr>
      </w:pPr>
      <w:r w:rsidRPr="001107AD">
        <w:rPr>
          <w:rFonts w:ascii="Times New Roman" w:hAnsi="Times New Roman"/>
          <w:b/>
          <w:sz w:val="24"/>
          <w:szCs w:val="24"/>
        </w:rPr>
        <w:t xml:space="preserve">K bodom </w:t>
      </w:r>
      <w:r>
        <w:rPr>
          <w:rFonts w:ascii="Times New Roman" w:hAnsi="Times New Roman"/>
          <w:b/>
          <w:sz w:val="24"/>
          <w:szCs w:val="24"/>
        </w:rPr>
        <w:t>16</w:t>
      </w:r>
      <w:r w:rsidRPr="001107AD">
        <w:rPr>
          <w:rFonts w:ascii="Times New Roman" w:hAnsi="Times New Roman"/>
          <w:b/>
          <w:sz w:val="24"/>
          <w:szCs w:val="24"/>
        </w:rPr>
        <w:t xml:space="preserve"> a </w:t>
      </w:r>
      <w:r>
        <w:rPr>
          <w:rFonts w:ascii="Times New Roman" w:hAnsi="Times New Roman"/>
          <w:b/>
          <w:sz w:val="24"/>
          <w:szCs w:val="24"/>
        </w:rPr>
        <w:t>19</w:t>
      </w:r>
    </w:p>
    <w:p w:rsidR="00A70D39" w:rsidRPr="001107AD" w:rsidRDefault="00A70D39" w:rsidP="00A70D39">
      <w:pPr>
        <w:spacing w:after="0" w:line="240" w:lineRule="auto"/>
        <w:jc w:val="both"/>
        <w:rPr>
          <w:rFonts w:ascii="Times New Roman" w:hAnsi="Times New Roman"/>
          <w:sz w:val="24"/>
          <w:szCs w:val="24"/>
        </w:rPr>
      </w:pPr>
      <w:r w:rsidRPr="001107AD">
        <w:rPr>
          <w:rFonts w:ascii="Times New Roman" w:hAnsi="Times New Roman"/>
          <w:sz w:val="24"/>
          <w:szCs w:val="24"/>
        </w:rPr>
        <w:t>Vzhľadom na to, že ozbrojené sily iných členských štátov a ich civilní zamestnanci, ktorí sa podieľajú na obrannom úsilí vynakladanom v rámci spoločnej bezpečnostnej a obrannej politiky Európskej únie môžu v súlade so smernicou</w:t>
      </w:r>
      <w:r>
        <w:rPr>
          <w:rFonts w:ascii="Times New Roman" w:hAnsi="Times New Roman"/>
          <w:sz w:val="24"/>
          <w:szCs w:val="24"/>
        </w:rPr>
        <w:t xml:space="preserve"> 2020/262 </w:t>
      </w:r>
      <w:r w:rsidRPr="001107AD">
        <w:rPr>
          <w:rFonts w:ascii="Times New Roman" w:hAnsi="Times New Roman"/>
          <w:sz w:val="24"/>
          <w:szCs w:val="24"/>
        </w:rPr>
        <w:t>prijať lieh v pozastavení dane, upravuje sa vznik daňovej povinnosti a daňový dlžník, ak na takéto prijatie liehu nenadväzuje oslobodenie od dane podľa § 7 ods. 2 písm. g) zákona č. 530/2011 Z. z..</w:t>
      </w:r>
    </w:p>
    <w:p w:rsidR="00A70D39" w:rsidRDefault="00A70D39" w:rsidP="00A70D39">
      <w:pPr>
        <w:spacing w:after="0" w:line="240" w:lineRule="auto"/>
        <w:jc w:val="both"/>
        <w:rPr>
          <w:rFonts w:ascii="Times New Roman" w:hAnsi="Times New Roman"/>
          <w:b/>
          <w:sz w:val="24"/>
          <w:szCs w:val="24"/>
        </w:rPr>
      </w:pPr>
    </w:p>
    <w:p w:rsidR="00A70D39" w:rsidRPr="001107AD" w:rsidRDefault="00A70D39" w:rsidP="00A70D39">
      <w:pPr>
        <w:spacing w:after="0" w:line="240" w:lineRule="auto"/>
        <w:jc w:val="both"/>
        <w:rPr>
          <w:rFonts w:ascii="Times New Roman" w:hAnsi="Times New Roman"/>
          <w:b/>
          <w:sz w:val="24"/>
          <w:szCs w:val="24"/>
        </w:rPr>
      </w:pPr>
      <w:r w:rsidRPr="001107AD">
        <w:rPr>
          <w:rFonts w:ascii="Times New Roman" w:hAnsi="Times New Roman"/>
          <w:b/>
          <w:sz w:val="24"/>
          <w:szCs w:val="24"/>
        </w:rPr>
        <w:t>K bodom 1</w:t>
      </w:r>
      <w:r>
        <w:rPr>
          <w:rFonts w:ascii="Times New Roman" w:hAnsi="Times New Roman"/>
          <w:b/>
          <w:sz w:val="24"/>
          <w:szCs w:val="24"/>
        </w:rPr>
        <w:t>7, 20 a 21</w:t>
      </w:r>
    </w:p>
    <w:p w:rsidR="00A70D39" w:rsidRPr="001107AD" w:rsidRDefault="00A70D39" w:rsidP="00A70D39">
      <w:pPr>
        <w:spacing w:after="0" w:line="240" w:lineRule="auto"/>
        <w:jc w:val="both"/>
        <w:rPr>
          <w:rFonts w:ascii="Times New Roman" w:hAnsi="Times New Roman"/>
          <w:sz w:val="24"/>
          <w:szCs w:val="24"/>
        </w:rPr>
      </w:pPr>
      <w:r w:rsidRPr="001107AD">
        <w:rPr>
          <w:rFonts w:ascii="Times New Roman" w:hAnsi="Times New Roman"/>
          <w:sz w:val="24"/>
          <w:szCs w:val="24"/>
        </w:rPr>
        <w:t>V súvislosti so zavedením elektronickej prepravy alkoholických nápojov uvedených do daňového voľného obehu na podnikateľské účely a ustanovením schváleného príjemcu a schváleného odosielateľa sa upravuje vznik daňovej povinnosti, povinnosť podať daňové priznanie</w:t>
      </w:r>
      <w:r>
        <w:rPr>
          <w:rFonts w:ascii="Times New Roman" w:hAnsi="Times New Roman"/>
          <w:sz w:val="24"/>
          <w:szCs w:val="24"/>
        </w:rPr>
        <w:t>, daňový dlžník</w:t>
      </w:r>
      <w:r w:rsidRPr="001107AD">
        <w:rPr>
          <w:rFonts w:ascii="Times New Roman" w:hAnsi="Times New Roman"/>
          <w:sz w:val="24"/>
          <w:szCs w:val="24"/>
        </w:rPr>
        <w:t xml:space="preserve"> a zaplat</w:t>
      </w:r>
      <w:r>
        <w:rPr>
          <w:rFonts w:ascii="Times New Roman" w:hAnsi="Times New Roman"/>
          <w:sz w:val="24"/>
          <w:szCs w:val="24"/>
        </w:rPr>
        <w:t>enie</w:t>
      </w:r>
      <w:r w:rsidRPr="001107AD">
        <w:rPr>
          <w:rFonts w:ascii="Times New Roman" w:hAnsi="Times New Roman"/>
          <w:sz w:val="24"/>
          <w:szCs w:val="24"/>
        </w:rPr>
        <w:t xml:space="preserve"> da</w:t>
      </w:r>
      <w:r>
        <w:rPr>
          <w:rFonts w:ascii="Times New Roman" w:hAnsi="Times New Roman"/>
          <w:sz w:val="24"/>
          <w:szCs w:val="24"/>
        </w:rPr>
        <w:t>ne</w:t>
      </w:r>
      <w:r w:rsidRPr="001107AD">
        <w:rPr>
          <w:rFonts w:ascii="Times New Roman" w:hAnsi="Times New Roman"/>
          <w:sz w:val="24"/>
          <w:szCs w:val="24"/>
        </w:rPr>
        <w:t xml:space="preserve">. </w:t>
      </w:r>
    </w:p>
    <w:p w:rsidR="00A70D39" w:rsidRPr="001107AD" w:rsidRDefault="00A70D39" w:rsidP="00A70D39">
      <w:pPr>
        <w:spacing w:after="0" w:line="240" w:lineRule="auto"/>
        <w:jc w:val="both"/>
        <w:rPr>
          <w:rFonts w:ascii="Times New Roman" w:hAnsi="Times New Roman"/>
          <w:b/>
          <w:sz w:val="24"/>
          <w:szCs w:val="24"/>
        </w:rPr>
      </w:pPr>
    </w:p>
    <w:p w:rsidR="00A70D39" w:rsidRDefault="00A70D39" w:rsidP="00A70D39">
      <w:pPr>
        <w:spacing w:after="0" w:line="240" w:lineRule="auto"/>
        <w:jc w:val="both"/>
        <w:rPr>
          <w:rFonts w:ascii="Times New Roman" w:hAnsi="Times New Roman"/>
          <w:b/>
          <w:sz w:val="24"/>
          <w:szCs w:val="24"/>
        </w:rPr>
      </w:pPr>
      <w:r>
        <w:rPr>
          <w:rFonts w:ascii="Times New Roman" w:hAnsi="Times New Roman"/>
          <w:b/>
          <w:sz w:val="24"/>
          <w:szCs w:val="24"/>
        </w:rPr>
        <w:t>K bodu 22</w:t>
      </w:r>
    </w:p>
    <w:p w:rsidR="00A70D39" w:rsidRPr="001107AD" w:rsidRDefault="00A70D39" w:rsidP="00A70D39">
      <w:pPr>
        <w:spacing w:after="0" w:line="240" w:lineRule="auto"/>
        <w:jc w:val="both"/>
        <w:rPr>
          <w:rFonts w:ascii="Times New Roman" w:hAnsi="Times New Roman"/>
          <w:sz w:val="24"/>
          <w:szCs w:val="24"/>
        </w:rPr>
      </w:pPr>
      <w:r w:rsidRPr="001107AD">
        <w:rPr>
          <w:rFonts w:ascii="Times New Roman" w:hAnsi="Times New Roman"/>
          <w:sz w:val="24"/>
          <w:szCs w:val="24"/>
        </w:rPr>
        <w:t xml:space="preserve">Upravujú sa podmienky vrátenia dane v prípade dodania alkoholického nápoja uvedeného do daňového voľného obehu na podnikateľské účely na územie iného členského štátu.   </w:t>
      </w:r>
    </w:p>
    <w:p w:rsidR="00A70D39" w:rsidRPr="001107AD" w:rsidRDefault="00A70D39" w:rsidP="00A70D39">
      <w:pPr>
        <w:spacing w:after="0" w:line="240" w:lineRule="auto"/>
        <w:jc w:val="both"/>
        <w:rPr>
          <w:rFonts w:ascii="Times New Roman" w:hAnsi="Times New Roman"/>
          <w:sz w:val="24"/>
          <w:szCs w:val="24"/>
        </w:rPr>
      </w:pPr>
    </w:p>
    <w:p w:rsidR="00A70D39" w:rsidRDefault="00A70D39" w:rsidP="00A70D39">
      <w:pPr>
        <w:spacing w:after="0" w:line="240" w:lineRule="auto"/>
        <w:jc w:val="both"/>
        <w:rPr>
          <w:rFonts w:ascii="Times New Roman" w:hAnsi="Times New Roman"/>
          <w:b/>
          <w:sz w:val="24"/>
          <w:szCs w:val="24"/>
        </w:rPr>
      </w:pPr>
      <w:r>
        <w:rPr>
          <w:rFonts w:ascii="Times New Roman" w:hAnsi="Times New Roman"/>
          <w:b/>
          <w:sz w:val="24"/>
          <w:szCs w:val="24"/>
        </w:rPr>
        <w:t>K bodu 23</w:t>
      </w:r>
    </w:p>
    <w:p w:rsidR="00A70D39" w:rsidRPr="00EF6236" w:rsidRDefault="00A70D39" w:rsidP="00A70D39">
      <w:pPr>
        <w:jc w:val="both"/>
        <w:rPr>
          <w:rFonts w:ascii="Times New Roman" w:hAnsi="Times New Roman"/>
          <w:sz w:val="24"/>
          <w:szCs w:val="24"/>
        </w:rPr>
      </w:pPr>
      <w:r>
        <w:rPr>
          <w:rFonts w:ascii="Times New Roman" w:hAnsi="Times New Roman"/>
          <w:sz w:val="24"/>
          <w:szCs w:val="24"/>
        </w:rPr>
        <w:t>Úprava nadväzuje na skutočnosť, že j</w:t>
      </w:r>
      <w:r w:rsidRPr="00EF6236">
        <w:rPr>
          <w:rFonts w:ascii="Times New Roman" w:hAnsi="Times New Roman"/>
          <w:sz w:val="24"/>
          <w:szCs w:val="24"/>
        </w:rPr>
        <w:t>ednotný colný doklad sa</w:t>
      </w:r>
      <w:r>
        <w:rPr>
          <w:rFonts w:ascii="Times New Roman" w:hAnsi="Times New Roman"/>
          <w:sz w:val="24"/>
          <w:szCs w:val="24"/>
        </w:rPr>
        <w:t xml:space="preserve"> už</w:t>
      </w:r>
      <w:r w:rsidRPr="00EF6236">
        <w:rPr>
          <w:rFonts w:ascii="Times New Roman" w:hAnsi="Times New Roman"/>
          <w:sz w:val="24"/>
          <w:szCs w:val="24"/>
        </w:rPr>
        <w:t xml:space="preserve"> v súčasnosti nepoužíva. Bol nahradený </w:t>
      </w:r>
      <w:r>
        <w:rPr>
          <w:rFonts w:ascii="Times New Roman" w:hAnsi="Times New Roman"/>
          <w:sz w:val="24"/>
          <w:szCs w:val="24"/>
        </w:rPr>
        <w:t>colným vyhlásením</w:t>
      </w:r>
      <w:r w:rsidRPr="00EF6236">
        <w:rPr>
          <w:rFonts w:ascii="Times New Roman" w:hAnsi="Times New Roman"/>
          <w:sz w:val="24"/>
          <w:szCs w:val="24"/>
        </w:rPr>
        <w:t>, ktor</w:t>
      </w:r>
      <w:r>
        <w:rPr>
          <w:rFonts w:ascii="Times New Roman" w:hAnsi="Times New Roman"/>
          <w:sz w:val="24"/>
          <w:szCs w:val="24"/>
        </w:rPr>
        <w:t>é</w:t>
      </w:r>
      <w:r w:rsidRPr="00EF6236">
        <w:rPr>
          <w:rFonts w:ascii="Times New Roman" w:hAnsi="Times New Roman"/>
          <w:sz w:val="24"/>
          <w:szCs w:val="24"/>
        </w:rPr>
        <w:t xml:space="preserve"> sa podáva v elektronickej podobe.</w:t>
      </w:r>
    </w:p>
    <w:p w:rsidR="00A70D39" w:rsidRPr="001107AD" w:rsidRDefault="00A70D39" w:rsidP="00A70D39">
      <w:pPr>
        <w:spacing w:after="0" w:line="240" w:lineRule="auto"/>
        <w:jc w:val="both"/>
        <w:rPr>
          <w:rFonts w:ascii="Times New Roman" w:hAnsi="Times New Roman"/>
          <w:b/>
          <w:sz w:val="24"/>
          <w:szCs w:val="24"/>
        </w:rPr>
      </w:pPr>
      <w:r w:rsidRPr="001107AD">
        <w:rPr>
          <w:rFonts w:ascii="Times New Roman" w:hAnsi="Times New Roman"/>
          <w:b/>
          <w:sz w:val="24"/>
          <w:szCs w:val="24"/>
        </w:rPr>
        <w:t>K bo</w:t>
      </w:r>
      <w:r>
        <w:rPr>
          <w:rFonts w:ascii="Times New Roman" w:hAnsi="Times New Roman"/>
          <w:b/>
          <w:sz w:val="24"/>
          <w:szCs w:val="24"/>
        </w:rPr>
        <w:t>du 24</w:t>
      </w:r>
    </w:p>
    <w:p w:rsidR="00A70D39" w:rsidRPr="001107AD" w:rsidRDefault="00A70D39" w:rsidP="00A70D39">
      <w:pPr>
        <w:spacing w:after="0" w:line="240" w:lineRule="auto"/>
        <w:jc w:val="both"/>
        <w:rPr>
          <w:rFonts w:ascii="Times New Roman" w:hAnsi="Times New Roman"/>
          <w:sz w:val="24"/>
          <w:szCs w:val="24"/>
        </w:rPr>
      </w:pPr>
      <w:r w:rsidRPr="001107AD">
        <w:rPr>
          <w:rFonts w:ascii="Times New Roman" w:hAnsi="Times New Roman"/>
          <w:sz w:val="24"/>
          <w:szCs w:val="24"/>
        </w:rPr>
        <w:t>Z dôvodu duplicitnej úpravy možnosti vrátenia dane s</w:t>
      </w:r>
      <w:r>
        <w:rPr>
          <w:rFonts w:ascii="Times New Roman" w:hAnsi="Times New Roman"/>
          <w:sz w:val="24"/>
          <w:szCs w:val="24"/>
        </w:rPr>
        <w:t>o zákonom č. 563/2009 Z. z. o správe daní (</w:t>
      </w:r>
      <w:r w:rsidRPr="001107AD">
        <w:rPr>
          <w:rFonts w:ascii="Times New Roman" w:hAnsi="Times New Roman"/>
          <w:sz w:val="24"/>
          <w:szCs w:val="24"/>
        </w:rPr>
        <w:t>daňový poriad</w:t>
      </w:r>
      <w:r>
        <w:rPr>
          <w:rFonts w:ascii="Times New Roman" w:hAnsi="Times New Roman"/>
          <w:sz w:val="24"/>
          <w:szCs w:val="24"/>
        </w:rPr>
        <w:t>o</w:t>
      </w:r>
      <w:r w:rsidRPr="001107AD">
        <w:rPr>
          <w:rFonts w:ascii="Times New Roman" w:hAnsi="Times New Roman"/>
          <w:sz w:val="24"/>
          <w:szCs w:val="24"/>
        </w:rPr>
        <w:t>k</w:t>
      </w:r>
      <w:r>
        <w:rPr>
          <w:rFonts w:ascii="Times New Roman" w:hAnsi="Times New Roman"/>
          <w:sz w:val="24"/>
          <w:szCs w:val="24"/>
        </w:rPr>
        <w:t>)</w:t>
      </w:r>
      <w:r w:rsidRPr="001107AD">
        <w:rPr>
          <w:rFonts w:ascii="Times New Roman" w:hAnsi="Times New Roman"/>
          <w:sz w:val="24"/>
          <w:szCs w:val="24"/>
        </w:rPr>
        <w:t xml:space="preserve"> </w:t>
      </w:r>
      <w:r>
        <w:rPr>
          <w:rFonts w:ascii="Times New Roman" w:hAnsi="Times New Roman"/>
          <w:sz w:val="24"/>
          <w:szCs w:val="24"/>
        </w:rPr>
        <w:t>a o zmene a doplnení niektorých zákonov</w:t>
      </w:r>
      <w:r w:rsidRPr="001107AD">
        <w:rPr>
          <w:rFonts w:ascii="Times New Roman" w:hAnsi="Times New Roman"/>
          <w:sz w:val="24"/>
          <w:szCs w:val="24"/>
        </w:rPr>
        <w:t> sa predmetné ustanovenie  vypúšťa.</w:t>
      </w:r>
    </w:p>
    <w:p w:rsidR="00A70D39" w:rsidRPr="001107AD" w:rsidRDefault="00A70D39" w:rsidP="00A70D39">
      <w:pPr>
        <w:spacing w:after="0" w:line="240" w:lineRule="auto"/>
        <w:jc w:val="both"/>
        <w:rPr>
          <w:rFonts w:ascii="Times New Roman" w:hAnsi="Times New Roman"/>
          <w:b/>
          <w:sz w:val="24"/>
          <w:szCs w:val="24"/>
        </w:rPr>
      </w:pPr>
    </w:p>
    <w:p w:rsidR="00A70D39" w:rsidRPr="001107AD" w:rsidRDefault="00A70D39" w:rsidP="00A70D39">
      <w:pPr>
        <w:spacing w:after="0" w:line="240" w:lineRule="auto"/>
        <w:jc w:val="both"/>
        <w:rPr>
          <w:rFonts w:ascii="Times New Roman" w:hAnsi="Times New Roman"/>
          <w:b/>
          <w:sz w:val="24"/>
          <w:szCs w:val="24"/>
        </w:rPr>
      </w:pPr>
      <w:r w:rsidRPr="001107AD">
        <w:rPr>
          <w:rFonts w:ascii="Times New Roman" w:hAnsi="Times New Roman"/>
          <w:b/>
          <w:sz w:val="24"/>
          <w:szCs w:val="24"/>
        </w:rPr>
        <w:t xml:space="preserve">K bodu </w:t>
      </w:r>
      <w:r>
        <w:rPr>
          <w:rFonts w:ascii="Times New Roman" w:hAnsi="Times New Roman"/>
          <w:b/>
          <w:sz w:val="24"/>
          <w:szCs w:val="24"/>
        </w:rPr>
        <w:t>25</w:t>
      </w:r>
    </w:p>
    <w:p w:rsidR="00A70D39" w:rsidRPr="001107AD" w:rsidRDefault="00A70D39" w:rsidP="00A70D39">
      <w:pPr>
        <w:spacing w:after="0" w:line="240" w:lineRule="auto"/>
        <w:jc w:val="both"/>
        <w:rPr>
          <w:rFonts w:ascii="Times New Roman" w:hAnsi="Times New Roman"/>
          <w:sz w:val="24"/>
          <w:szCs w:val="24"/>
        </w:rPr>
      </w:pPr>
      <w:r w:rsidRPr="001107AD">
        <w:rPr>
          <w:rFonts w:ascii="Times New Roman" w:hAnsi="Times New Roman"/>
          <w:sz w:val="24"/>
          <w:szCs w:val="24"/>
        </w:rPr>
        <w:t>Legislatívno</w:t>
      </w:r>
      <w:r>
        <w:rPr>
          <w:rFonts w:ascii="Times New Roman" w:hAnsi="Times New Roman"/>
          <w:sz w:val="24"/>
          <w:szCs w:val="24"/>
        </w:rPr>
        <w:t>-</w:t>
      </w:r>
      <w:r w:rsidRPr="001107AD">
        <w:rPr>
          <w:rFonts w:ascii="Times New Roman" w:hAnsi="Times New Roman"/>
          <w:sz w:val="24"/>
          <w:szCs w:val="24"/>
        </w:rPr>
        <w:t xml:space="preserve">technická úprava v nadväznosti na bod </w:t>
      </w:r>
      <w:r>
        <w:rPr>
          <w:rFonts w:ascii="Times New Roman" w:hAnsi="Times New Roman"/>
          <w:sz w:val="24"/>
          <w:szCs w:val="24"/>
        </w:rPr>
        <w:t>24</w:t>
      </w:r>
      <w:r w:rsidRPr="001107AD">
        <w:rPr>
          <w:rFonts w:ascii="Times New Roman" w:hAnsi="Times New Roman"/>
          <w:sz w:val="24"/>
          <w:szCs w:val="24"/>
        </w:rPr>
        <w:t>.</w:t>
      </w:r>
    </w:p>
    <w:p w:rsidR="00A70D39" w:rsidRPr="001107AD" w:rsidRDefault="00A70D39" w:rsidP="00A70D39">
      <w:pPr>
        <w:spacing w:after="0" w:line="240" w:lineRule="auto"/>
        <w:jc w:val="both"/>
        <w:rPr>
          <w:rFonts w:ascii="Times New Roman" w:hAnsi="Times New Roman"/>
          <w:b/>
          <w:sz w:val="24"/>
          <w:szCs w:val="24"/>
        </w:rPr>
      </w:pPr>
    </w:p>
    <w:p w:rsidR="00A70D39" w:rsidRDefault="00A70D39" w:rsidP="00A70D39">
      <w:pPr>
        <w:spacing w:after="0" w:line="240" w:lineRule="auto"/>
        <w:jc w:val="both"/>
        <w:rPr>
          <w:rFonts w:ascii="Times New Roman" w:hAnsi="Times New Roman"/>
          <w:b/>
          <w:sz w:val="24"/>
          <w:szCs w:val="24"/>
        </w:rPr>
      </w:pPr>
      <w:r w:rsidRPr="00EF6236">
        <w:rPr>
          <w:rFonts w:ascii="Times New Roman" w:hAnsi="Times New Roman"/>
          <w:b/>
          <w:sz w:val="24"/>
          <w:szCs w:val="24"/>
        </w:rPr>
        <w:t>K bod</w:t>
      </w:r>
      <w:r>
        <w:rPr>
          <w:rFonts w:ascii="Times New Roman" w:hAnsi="Times New Roman"/>
          <w:b/>
          <w:sz w:val="24"/>
          <w:szCs w:val="24"/>
        </w:rPr>
        <w:t>u</w:t>
      </w:r>
      <w:r w:rsidRPr="00EF6236">
        <w:rPr>
          <w:rFonts w:ascii="Times New Roman" w:hAnsi="Times New Roman"/>
          <w:b/>
          <w:sz w:val="24"/>
          <w:szCs w:val="24"/>
        </w:rPr>
        <w:t xml:space="preserve"> 2</w:t>
      </w:r>
      <w:r>
        <w:rPr>
          <w:rFonts w:ascii="Times New Roman" w:hAnsi="Times New Roman"/>
          <w:b/>
          <w:sz w:val="24"/>
          <w:szCs w:val="24"/>
        </w:rPr>
        <w:t>6</w:t>
      </w:r>
    </w:p>
    <w:p w:rsidR="00A70D39" w:rsidRDefault="00A70D39" w:rsidP="00A70D39">
      <w:pPr>
        <w:spacing w:after="0" w:line="240" w:lineRule="auto"/>
        <w:jc w:val="both"/>
        <w:rPr>
          <w:rFonts w:ascii="Times New Roman" w:hAnsi="Times New Roman"/>
          <w:sz w:val="24"/>
          <w:szCs w:val="24"/>
        </w:rPr>
      </w:pPr>
      <w:r>
        <w:rPr>
          <w:rFonts w:ascii="Times New Roman" w:hAnsi="Times New Roman"/>
          <w:sz w:val="24"/>
          <w:szCs w:val="24"/>
        </w:rPr>
        <w:t>Legislatívno-technická úprava upravujúca odkaz na neexistujúce ustanovenie.</w:t>
      </w:r>
    </w:p>
    <w:p w:rsidR="00A70D39" w:rsidRPr="00EF6236" w:rsidRDefault="00A70D39" w:rsidP="00A70D39">
      <w:pPr>
        <w:spacing w:after="0" w:line="240" w:lineRule="auto"/>
        <w:jc w:val="both"/>
        <w:rPr>
          <w:rFonts w:ascii="Times New Roman" w:hAnsi="Times New Roman"/>
          <w:sz w:val="24"/>
          <w:szCs w:val="24"/>
        </w:rPr>
      </w:pPr>
    </w:p>
    <w:p w:rsidR="00A70D39" w:rsidRDefault="00A70D39" w:rsidP="00A70D39">
      <w:pPr>
        <w:spacing w:after="0" w:line="240" w:lineRule="auto"/>
        <w:jc w:val="both"/>
        <w:rPr>
          <w:rFonts w:ascii="Times New Roman" w:hAnsi="Times New Roman"/>
          <w:b/>
          <w:sz w:val="24"/>
          <w:szCs w:val="24"/>
        </w:rPr>
      </w:pPr>
      <w:r w:rsidRPr="00072563">
        <w:rPr>
          <w:rFonts w:ascii="Times New Roman" w:hAnsi="Times New Roman"/>
          <w:b/>
          <w:sz w:val="24"/>
          <w:szCs w:val="24"/>
        </w:rPr>
        <w:t>K bodom 27, 31, 43, 73, 78, 90,</w:t>
      </w:r>
      <w:r>
        <w:rPr>
          <w:rFonts w:ascii="Times New Roman" w:hAnsi="Times New Roman"/>
          <w:b/>
          <w:sz w:val="24"/>
          <w:szCs w:val="24"/>
        </w:rPr>
        <w:t xml:space="preserve"> 96, 99</w:t>
      </w:r>
    </w:p>
    <w:p w:rsidR="00A70D39" w:rsidRPr="00E56A3C" w:rsidRDefault="00A70D39" w:rsidP="00A70D39">
      <w:pPr>
        <w:spacing w:after="0" w:line="240" w:lineRule="auto"/>
        <w:jc w:val="both"/>
        <w:rPr>
          <w:rFonts w:ascii="Times New Roman" w:hAnsi="Times New Roman"/>
          <w:sz w:val="24"/>
          <w:szCs w:val="24"/>
        </w:rPr>
      </w:pPr>
      <w:r w:rsidRPr="00E56A3C">
        <w:rPr>
          <w:rFonts w:ascii="Times New Roman" w:hAnsi="Times New Roman"/>
          <w:sz w:val="24"/>
          <w:szCs w:val="24"/>
        </w:rPr>
        <w:t xml:space="preserve">Upravuje sa povinnosť oznamovať colnému úradu iba tie zmeny údajov a skutočností, ktoré colný úrad, ako orgán verejnej moci nevie získať pri svojej úradnej činnosti v zmysle zákona </w:t>
      </w:r>
      <w:r>
        <w:rPr>
          <w:rFonts w:ascii="Times New Roman" w:hAnsi="Times New Roman"/>
          <w:sz w:val="24"/>
          <w:szCs w:val="24"/>
        </w:rPr>
        <w:t xml:space="preserve">             </w:t>
      </w:r>
      <w:r w:rsidRPr="00E56A3C">
        <w:rPr>
          <w:rFonts w:ascii="Times New Roman" w:hAnsi="Times New Roman"/>
          <w:sz w:val="24"/>
          <w:szCs w:val="24"/>
        </w:rPr>
        <w:t>č. 177/2018 Z. z. o niektorých opatreniach na znižovanie administratívnej záťaže využívaním informačných systémov verejnej správy a o zmene a doplnení niektorých zákonov (zákon proti byrokracii) v znení neskorších predpisov</w:t>
      </w:r>
      <w:r>
        <w:rPr>
          <w:rFonts w:ascii="Times New Roman" w:hAnsi="Times New Roman"/>
          <w:sz w:val="24"/>
          <w:szCs w:val="24"/>
        </w:rPr>
        <w:t>. S</w:t>
      </w:r>
      <w:r w:rsidRPr="00E56A3C">
        <w:rPr>
          <w:rFonts w:ascii="Times New Roman" w:hAnsi="Times New Roman"/>
          <w:sz w:val="24"/>
          <w:szCs w:val="24"/>
        </w:rPr>
        <w:t xml:space="preserve">účasne sa </w:t>
      </w:r>
      <w:r>
        <w:rPr>
          <w:rFonts w:ascii="Times New Roman" w:hAnsi="Times New Roman"/>
          <w:sz w:val="24"/>
          <w:szCs w:val="24"/>
        </w:rPr>
        <w:t>spresňujú lehoty na oznámenie jednotlivých zmien</w:t>
      </w:r>
      <w:r w:rsidRPr="00E56A3C">
        <w:rPr>
          <w:rFonts w:ascii="Times New Roman" w:hAnsi="Times New Roman"/>
          <w:sz w:val="24"/>
          <w:szCs w:val="24"/>
        </w:rPr>
        <w:t>.</w:t>
      </w:r>
    </w:p>
    <w:p w:rsidR="00A70D39" w:rsidRDefault="00A70D39" w:rsidP="00A70D39">
      <w:pPr>
        <w:spacing w:after="0" w:line="240" w:lineRule="auto"/>
        <w:jc w:val="both"/>
        <w:rPr>
          <w:rFonts w:ascii="Times New Roman" w:hAnsi="Times New Roman"/>
          <w:sz w:val="24"/>
          <w:szCs w:val="24"/>
        </w:rPr>
      </w:pPr>
    </w:p>
    <w:p w:rsidR="00A70D39" w:rsidRPr="00E56A3C" w:rsidRDefault="00A70D39" w:rsidP="00A70D39">
      <w:pPr>
        <w:spacing w:after="0" w:line="240" w:lineRule="auto"/>
        <w:jc w:val="both"/>
        <w:rPr>
          <w:rFonts w:ascii="Times New Roman" w:hAnsi="Times New Roman"/>
          <w:b/>
          <w:sz w:val="24"/>
          <w:szCs w:val="24"/>
        </w:rPr>
      </w:pPr>
      <w:r>
        <w:rPr>
          <w:rFonts w:ascii="Times New Roman" w:hAnsi="Times New Roman"/>
          <w:b/>
          <w:sz w:val="24"/>
          <w:szCs w:val="24"/>
        </w:rPr>
        <w:t>K bodu 28</w:t>
      </w:r>
    </w:p>
    <w:p w:rsidR="00A70D39" w:rsidRDefault="00A70D39" w:rsidP="00A70D39">
      <w:pPr>
        <w:spacing w:after="0" w:line="240" w:lineRule="auto"/>
        <w:jc w:val="both"/>
        <w:rPr>
          <w:rFonts w:ascii="Times New Roman" w:hAnsi="Times New Roman"/>
          <w:sz w:val="24"/>
          <w:szCs w:val="24"/>
        </w:rPr>
      </w:pPr>
      <w:r>
        <w:rPr>
          <w:rFonts w:ascii="Times New Roman" w:hAnsi="Times New Roman"/>
          <w:sz w:val="24"/>
          <w:szCs w:val="24"/>
        </w:rPr>
        <w:t>Dopĺňa sa dôvod na zánik povolenia na prevádzkovanie daňového skladu, ak nie je v stanovenej lehote doplnená zábezpeka na daň.</w:t>
      </w:r>
    </w:p>
    <w:p w:rsidR="00A70D39" w:rsidRDefault="00A70D39" w:rsidP="00A70D39">
      <w:pPr>
        <w:spacing w:after="0" w:line="240" w:lineRule="auto"/>
        <w:jc w:val="both"/>
        <w:rPr>
          <w:rFonts w:ascii="Times New Roman" w:hAnsi="Times New Roman"/>
          <w:sz w:val="24"/>
          <w:szCs w:val="24"/>
        </w:rPr>
      </w:pPr>
    </w:p>
    <w:p w:rsidR="00A70D39" w:rsidRPr="00337C67" w:rsidRDefault="00A70D39" w:rsidP="00A70D39">
      <w:pPr>
        <w:spacing w:after="0" w:line="240" w:lineRule="auto"/>
        <w:jc w:val="both"/>
        <w:rPr>
          <w:rFonts w:ascii="Times New Roman" w:hAnsi="Times New Roman"/>
          <w:b/>
          <w:sz w:val="24"/>
          <w:szCs w:val="24"/>
        </w:rPr>
      </w:pPr>
      <w:r>
        <w:rPr>
          <w:rFonts w:ascii="Times New Roman" w:hAnsi="Times New Roman"/>
          <w:b/>
          <w:sz w:val="24"/>
          <w:szCs w:val="24"/>
        </w:rPr>
        <w:t>K bodu 29</w:t>
      </w:r>
    </w:p>
    <w:p w:rsidR="00A70D39" w:rsidRPr="001107AD" w:rsidRDefault="00A70D39" w:rsidP="00A70D39">
      <w:pPr>
        <w:spacing w:after="0" w:line="240" w:lineRule="auto"/>
        <w:jc w:val="both"/>
        <w:rPr>
          <w:rFonts w:ascii="Times New Roman" w:hAnsi="Times New Roman"/>
          <w:sz w:val="24"/>
          <w:szCs w:val="24"/>
        </w:rPr>
      </w:pPr>
      <w:r w:rsidRPr="001107AD">
        <w:rPr>
          <w:rFonts w:ascii="Times New Roman" w:hAnsi="Times New Roman"/>
          <w:sz w:val="24"/>
          <w:szCs w:val="24"/>
        </w:rPr>
        <w:t>Dopĺňajú sa podmienky odňatia povolenia na prevádzkovanie daňového skladu colným úradom o podmienku trestnej bezúhonnosti prevádzkovateľa tohto skladu.</w:t>
      </w:r>
    </w:p>
    <w:p w:rsidR="00A70D39" w:rsidRDefault="00A70D39" w:rsidP="00A70D39">
      <w:pPr>
        <w:spacing w:after="0" w:line="240" w:lineRule="auto"/>
        <w:jc w:val="both"/>
        <w:rPr>
          <w:rFonts w:ascii="Times New Roman" w:hAnsi="Times New Roman"/>
          <w:b/>
          <w:sz w:val="24"/>
          <w:szCs w:val="24"/>
        </w:rPr>
      </w:pPr>
    </w:p>
    <w:p w:rsidR="00A70D39" w:rsidRDefault="00A70D39" w:rsidP="00A70D39">
      <w:pPr>
        <w:spacing w:after="0" w:line="240" w:lineRule="auto"/>
        <w:jc w:val="both"/>
        <w:rPr>
          <w:rFonts w:ascii="Times New Roman" w:hAnsi="Times New Roman"/>
          <w:b/>
          <w:sz w:val="24"/>
          <w:szCs w:val="24"/>
        </w:rPr>
      </w:pPr>
      <w:r w:rsidRPr="00E56A3C">
        <w:rPr>
          <w:rFonts w:ascii="Times New Roman" w:hAnsi="Times New Roman"/>
          <w:b/>
          <w:sz w:val="24"/>
          <w:szCs w:val="24"/>
        </w:rPr>
        <w:t xml:space="preserve">K bodu </w:t>
      </w:r>
      <w:r>
        <w:rPr>
          <w:rFonts w:ascii="Times New Roman" w:hAnsi="Times New Roman"/>
          <w:b/>
          <w:sz w:val="24"/>
          <w:szCs w:val="24"/>
        </w:rPr>
        <w:t>30</w:t>
      </w:r>
    </w:p>
    <w:p w:rsidR="00A70D39" w:rsidRPr="00431D1B" w:rsidRDefault="00A70D39" w:rsidP="00A70D39">
      <w:pPr>
        <w:spacing w:after="0" w:line="240" w:lineRule="auto"/>
        <w:jc w:val="both"/>
        <w:rPr>
          <w:rFonts w:ascii="Times New Roman" w:hAnsi="Times New Roman"/>
          <w:sz w:val="24"/>
          <w:szCs w:val="24"/>
        </w:rPr>
      </w:pPr>
      <w:r w:rsidRPr="00431D1B">
        <w:rPr>
          <w:rFonts w:ascii="Times New Roman" w:hAnsi="Times New Roman"/>
          <w:sz w:val="24"/>
          <w:szCs w:val="24"/>
        </w:rPr>
        <w:t>Legislatívno-technická úprava v nadvä</w:t>
      </w:r>
      <w:r>
        <w:rPr>
          <w:rFonts w:ascii="Times New Roman" w:hAnsi="Times New Roman"/>
          <w:sz w:val="24"/>
          <w:szCs w:val="24"/>
        </w:rPr>
        <w:t>znosti na zmenu v § 9 ods. 14</w:t>
      </w:r>
      <w:r w:rsidRPr="00431D1B">
        <w:rPr>
          <w:rFonts w:ascii="Times New Roman" w:hAnsi="Times New Roman"/>
          <w:sz w:val="24"/>
          <w:szCs w:val="24"/>
        </w:rPr>
        <w:t>.</w:t>
      </w:r>
    </w:p>
    <w:p w:rsidR="00A70D39" w:rsidRDefault="00A70D39" w:rsidP="00A70D39">
      <w:pPr>
        <w:spacing w:after="0" w:line="240" w:lineRule="auto"/>
        <w:jc w:val="both"/>
        <w:rPr>
          <w:rFonts w:ascii="Times New Roman" w:hAnsi="Times New Roman"/>
          <w:b/>
          <w:sz w:val="24"/>
          <w:szCs w:val="24"/>
        </w:rPr>
      </w:pPr>
    </w:p>
    <w:p w:rsidR="00A70D39" w:rsidRDefault="00A70D39" w:rsidP="00A70D39">
      <w:pPr>
        <w:spacing w:after="0" w:line="240" w:lineRule="auto"/>
        <w:jc w:val="both"/>
        <w:rPr>
          <w:rFonts w:ascii="Times New Roman" w:hAnsi="Times New Roman"/>
          <w:b/>
          <w:sz w:val="24"/>
          <w:szCs w:val="24"/>
        </w:rPr>
      </w:pPr>
      <w:r>
        <w:rPr>
          <w:rFonts w:ascii="Times New Roman" w:hAnsi="Times New Roman"/>
          <w:b/>
          <w:sz w:val="24"/>
          <w:szCs w:val="24"/>
        </w:rPr>
        <w:t>K bodu 32</w:t>
      </w:r>
    </w:p>
    <w:p w:rsidR="00A70D39" w:rsidRPr="00431D1B" w:rsidRDefault="00A70D39" w:rsidP="00A70D39">
      <w:pPr>
        <w:spacing w:after="0" w:line="240" w:lineRule="auto"/>
        <w:jc w:val="both"/>
        <w:rPr>
          <w:rFonts w:ascii="Times New Roman" w:hAnsi="Times New Roman"/>
          <w:sz w:val="24"/>
          <w:szCs w:val="24"/>
        </w:rPr>
      </w:pPr>
      <w:r w:rsidRPr="00431D1B">
        <w:rPr>
          <w:rFonts w:ascii="Times New Roman" w:hAnsi="Times New Roman"/>
          <w:sz w:val="24"/>
          <w:szCs w:val="24"/>
        </w:rPr>
        <w:t>V snahe zamedziť daňovým únikom sa umožňuje colnému úradu v prípade odôvodnenej obavy</w:t>
      </w:r>
      <w:r>
        <w:rPr>
          <w:rFonts w:ascii="Times New Roman" w:hAnsi="Times New Roman"/>
          <w:sz w:val="24"/>
          <w:szCs w:val="24"/>
        </w:rPr>
        <w:t>, že nevyrubená alebo nesplatná daň bude nevymožiteľná alebo vymáhanie dane bude spojené so značnými ťažkosťami</w:t>
      </w:r>
      <w:r w:rsidRPr="00431D1B">
        <w:rPr>
          <w:rFonts w:ascii="Times New Roman" w:hAnsi="Times New Roman"/>
          <w:sz w:val="24"/>
          <w:szCs w:val="24"/>
        </w:rPr>
        <w:t xml:space="preserve"> uložiť povinnosť prevádzkovateľovi daňového skladu doplniť zábezpeku na daň.</w:t>
      </w:r>
    </w:p>
    <w:p w:rsidR="00A70D39" w:rsidRDefault="00A70D39" w:rsidP="00A70D39">
      <w:pPr>
        <w:spacing w:after="0" w:line="240" w:lineRule="auto"/>
        <w:jc w:val="both"/>
        <w:rPr>
          <w:rFonts w:ascii="Times New Roman" w:hAnsi="Times New Roman"/>
          <w:b/>
          <w:sz w:val="24"/>
          <w:szCs w:val="24"/>
        </w:rPr>
      </w:pPr>
    </w:p>
    <w:p w:rsidR="00A70D39" w:rsidRDefault="00A70D39" w:rsidP="00A70D39">
      <w:pPr>
        <w:spacing w:after="0" w:line="240" w:lineRule="auto"/>
        <w:jc w:val="both"/>
        <w:rPr>
          <w:rFonts w:ascii="Times New Roman" w:hAnsi="Times New Roman"/>
          <w:b/>
          <w:sz w:val="24"/>
          <w:szCs w:val="24"/>
        </w:rPr>
      </w:pPr>
      <w:r>
        <w:rPr>
          <w:rFonts w:ascii="Times New Roman" w:hAnsi="Times New Roman"/>
          <w:b/>
          <w:sz w:val="24"/>
          <w:szCs w:val="24"/>
        </w:rPr>
        <w:t>K bodu 33</w:t>
      </w:r>
    </w:p>
    <w:p w:rsidR="00A70D39" w:rsidRPr="00337C67" w:rsidRDefault="00A70D39" w:rsidP="00A70D39">
      <w:pPr>
        <w:spacing w:after="0" w:line="240" w:lineRule="auto"/>
        <w:jc w:val="both"/>
        <w:rPr>
          <w:rFonts w:ascii="Times New Roman" w:hAnsi="Times New Roman"/>
          <w:sz w:val="24"/>
          <w:szCs w:val="24"/>
        </w:rPr>
      </w:pPr>
      <w:r w:rsidRPr="00337C67">
        <w:rPr>
          <w:rFonts w:ascii="Times New Roman" w:hAnsi="Times New Roman"/>
          <w:sz w:val="24"/>
          <w:szCs w:val="24"/>
        </w:rPr>
        <w:t xml:space="preserve">Úprava ustanovenia týkajúceho sa prepravy </w:t>
      </w:r>
      <w:r>
        <w:rPr>
          <w:rFonts w:ascii="Times New Roman" w:hAnsi="Times New Roman"/>
          <w:sz w:val="24"/>
          <w:szCs w:val="24"/>
        </w:rPr>
        <w:t xml:space="preserve">alkoholického nápoja oslobodeného od dane užívateľským podnikom </w:t>
      </w:r>
      <w:r w:rsidRPr="00337C67">
        <w:rPr>
          <w:rFonts w:ascii="Times New Roman" w:hAnsi="Times New Roman"/>
          <w:sz w:val="24"/>
          <w:szCs w:val="24"/>
        </w:rPr>
        <w:t>v nadväznosti na zmenu v § 9 ods. 16.</w:t>
      </w:r>
    </w:p>
    <w:p w:rsidR="00A70D39" w:rsidRPr="00337C67" w:rsidRDefault="00A70D39" w:rsidP="00A70D39">
      <w:pPr>
        <w:spacing w:after="0" w:line="240" w:lineRule="auto"/>
        <w:jc w:val="both"/>
        <w:rPr>
          <w:rFonts w:ascii="Times New Roman" w:hAnsi="Times New Roman"/>
          <w:sz w:val="24"/>
          <w:szCs w:val="24"/>
        </w:rPr>
      </w:pPr>
    </w:p>
    <w:p w:rsidR="00A70D39" w:rsidRPr="00E56A3C" w:rsidRDefault="00A70D39" w:rsidP="00A70D39">
      <w:pPr>
        <w:spacing w:after="0" w:line="240" w:lineRule="auto"/>
        <w:jc w:val="both"/>
        <w:rPr>
          <w:rFonts w:ascii="Times New Roman" w:hAnsi="Times New Roman"/>
          <w:b/>
          <w:sz w:val="24"/>
          <w:szCs w:val="24"/>
        </w:rPr>
      </w:pPr>
      <w:r w:rsidRPr="00E56A3C">
        <w:rPr>
          <w:rFonts w:ascii="Times New Roman" w:hAnsi="Times New Roman"/>
          <w:b/>
          <w:sz w:val="24"/>
          <w:szCs w:val="24"/>
        </w:rPr>
        <w:t xml:space="preserve">K bodu </w:t>
      </w:r>
      <w:r>
        <w:rPr>
          <w:rFonts w:ascii="Times New Roman" w:hAnsi="Times New Roman"/>
          <w:b/>
          <w:sz w:val="24"/>
          <w:szCs w:val="24"/>
        </w:rPr>
        <w:t>34</w:t>
      </w:r>
    </w:p>
    <w:p w:rsidR="00A70D39" w:rsidRDefault="00A70D39" w:rsidP="00A70D39">
      <w:pPr>
        <w:spacing w:after="0" w:line="240" w:lineRule="auto"/>
        <w:jc w:val="both"/>
        <w:rPr>
          <w:rFonts w:ascii="Times New Roman" w:hAnsi="Times New Roman"/>
          <w:sz w:val="24"/>
          <w:szCs w:val="24"/>
        </w:rPr>
      </w:pPr>
      <w:r w:rsidRPr="00E56A3C">
        <w:rPr>
          <w:rFonts w:ascii="Times New Roman" w:hAnsi="Times New Roman"/>
          <w:sz w:val="24"/>
          <w:szCs w:val="24"/>
        </w:rPr>
        <w:t>Zosúladenie znenia ustanoven</w:t>
      </w:r>
      <w:r>
        <w:rPr>
          <w:rFonts w:ascii="Times New Roman" w:hAnsi="Times New Roman"/>
          <w:sz w:val="24"/>
          <w:szCs w:val="24"/>
        </w:rPr>
        <w:t>í</w:t>
      </w:r>
      <w:r w:rsidRPr="00E56A3C">
        <w:rPr>
          <w:rFonts w:ascii="Times New Roman" w:hAnsi="Times New Roman"/>
          <w:sz w:val="24"/>
          <w:szCs w:val="24"/>
        </w:rPr>
        <w:t xml:space="preserve"> so zákonom č. 272/2016 Z. z. o dôveryhodných službách pre elektronické transakcie na vnútornom</w:t>
      </w:r>
      <w:r>
        <w:rPr>
          <w:rFonts w:ascii="Times New Roman" w:hAnsi="Times New Roman"/>
          <w:sz w:val="24"/>
          <w:szCs w:val="24"/>
        </w:rPr>
        <w:t xml:space="preserve"> trhu a o zmene a doplnení niektorých zákonov </w:t>
      </w:r>
      <w:r w:rsidRPr="00E56A3C">
        <w:rPr>
          <w:rFonts w:ascii="Times New Roman" w:hAnsi="Times New Roman"/>
          <w:sz w:val="24"/>
          <w:szCs w:val="24"/>
        </w:rPr>
        <w:t>(zákon o dôveryhodných službách).</w:t>
      </w:r>
    </w:p>
    <w:p w:rsidR="00A70D39" w:rsidRPr="00E56A3C" w:rsidRDefault="00A70D39" w:rsidP="00A70D39">
      <w:pPr>
        <w:spacing w:after="0" w:line="240" w:lineRule="auto"/>
        <w:jc w:val="both"/>
        <w:rPr>
          <w:rFonts w:ascii="Times New Roman" w:hAnsi="Times New Roman"/>
          <w:sz w:val="24"/>
          <w:szCs w:val="24"/>
        </w:rPr>
      </w:pPr>
    </w:p>
    <w:p w:rsidR="00A70D39" w:rsidRDefault="00A70D39" w:rsidP="00A70D39">
      <w:pPr>
        <w:spacing w:after="0" w:line="240" w:lineRule="auto"/>
        <w:jc w:val="both"/>
        <w:rPr>
          <w:rFonts w:ascii="Times New Roman" w:hAnsi="Times New Roman"/>
          <w:b/>
          <w:sz w:val="24"/>
          <w:szCs w:val="24"/>
        </w:rPr>
      </w:pPr>
      <w:r>
        <w:rPr>
          <w:rFonts w:ascii="Times New Roman" w:hAnsi="Times New Roman"/>
          <w:b/>
          <w:sz w:val="24"/>
          <w:szCs w:val="24"/>
        </w:rPr>
        <w:t>K bodu 35</w:t>
      </w:r>
    </w:p>
    <w:p w:rsidR="00A70D39" w:rsidRDefault="00A70D39" w:rsidP="00A70D39">
      <w:pPr>
        <w:spacing w:after="0" w:line="240" w:lineRule="auto"/>
        <w:jc w:val="both"/>
        <w:rPr>
          <w:rFonts w:ascii="Times New Roman" w:hAnsi="Times New Roman"/>
          <w:sz w:val="24"/>
          <w:szCs w:val="24"/>
        </w:rPr>
      </w:pPr>
      <w:r w:rsidRPr="0017319B">
        <w:rPr>
          <w:rFonts w:ascii="Times New Roman" w:hAnsi="Times New Roman"/>
          <w:sz w:val="24"/>
          <w:szCs w:val="24"/>
        </w:rPr>
        <w:t xml:space="preserve">Umožňuje sa znížiť zložená zábezpeka na daň v prípade prepravy denaturovaného liehu užívateľským podnikom, ktorý je zároveň registrovaný aj ako prevádzkovateľ daňového skladu, podnik na výrobu minerálneho oleja. Takéto podniky použijú lieh na výrobu pohonných látok a teda musia plniť podmienky aj podľa zákona </w:t>
      </w:r>
      <w:r>
        <w:rPr>
          <w:rFonts w:ascii="Times New Roman" w:hAnsi="Times New Roman"/>
          <w:sz w:val="24"/>
          <w:szCs w:val="24"/>
        </w:rPr>
        <w:t xml:space="preserve">č. 98/2004 Z. z. </w:t>
      </w:r>
      <w:r w:rsidRPr="0017319B">
        <w:rPr>
          <w:rFonts w:ascii="Times New Roman" w:hAnsi="Times New Roman"/>
          <w:sz w:val="24"/>
          <w:szCs w:val="24"/>
        </w:rPr>
        <w:t xml:space="preserve">o spotrebnej dani z minerálneho oleja </w:t>
      </w:r>
      <w:r>
        <w:rPr>
          <w:rFonts w:ascii="Times New Roman" w:hAnsi="Times New Roman"/>
          <w:sz w:val="24"/>
          <w:szCs w:val="24"/>
        </w:rPr>
        <w:t xml:space="preserve">v znení neskorších predpisov, </w:t>
      </w:r>
      <w:r w:rsidRPr="0017319B">
        <w:rPr>
          <w:rFonts w:ascii="Times New Roman" w:hAnsi="Times New Roman"/>
          <w:sz w:val="24"/>
          <w:szCs w:val="24"/>
        </w:rPr>
        <w:t xml:space="preserve">vrátane skladania zábezpeky na </w:t>
      </w:r>
      <w:r w:rsidRPr="003C1D0E">
        <w:rPr>
          <w:rFonts w:ascii="Times New Roman" w:hAnsi="Times New Roman"/>
          <w:sz w:val="24"/>
          <w:szCs w:val="24"/>
        </w:rPr>
        <w:t>spotrebnú daň. Zároveň</w:t>
      </w:r>
      <w:r>
        <w:rPr>
          <w:rFonts w:ascii="Times New Roman" w:hAnsi="Times New Roman"/>
          <w:sz w:val="24"/>
          <w:szCs w:val="24"/>
        </w:rPr>
        <w:t xml:space="preserve"> sa v</w:t>
      </w:r>
      <w:r w:rsidRPr="00431D1B">
        <w:rPr>
          <w:rFonts w:ascii="Times New Roman" w:hAnsi="Times New Roman"/>
          <w:sz w:val="24"/>
          <w:szCs w:val="24"/>
        </w:rPr>
        <w:t xml:space="preserve"> snahe zamedziť daňovým únikom </w:t>
      </w:r>
      <w:r>
        <w:rPr>
          <w:rFonts w:ascii="Times New Roman" w:hAnsi="Times New Roman"/>
          <w:sz w:val="24"/>
          <w:szCs w:val="24"/>
        </w:rPr>
        <w:t xml:space="preserve">a možnosti výkonu daňového dozoru </w:t>
      </w:r>
      <w:r w:rsidRPr="00431D1B">
        <w:rPr>
          <w:rFonts w:ascii="Times New Roman" w:hAnsi="Times New Roman"/>
          <w:sz w:val="24"/>
          <w:szCs w:val="24"/>
        </w:rPr>
        <w:t>umožňuje colnému úradu</w:t>
      </w:r>
      <w:r>
        <w:rPr>
          <w:rFonts w:ascii="Times New Roman" w:hAnsi="Times New Roman"/>
          <w:sz w:val="24"/>
          <w:szCs w:val="24"/>
        </w:rPr>
        <w:t xml:space="preserve"> časovo obmedziť daňovému subjektu manipuláciu s alkoholickým nápojom počas dvoch hodín po dopravení alkoholického nápoja na miesto prijatia.</w:t>
      </w:r>
    </w:p>
    <w:p w:rsidR="00A70D39" w:rsidRDefault="00A70D39" w:rsidP="00A70D39">
      <w:pPr>
        <w:spacing w:after="0" w:line="240" w:lineRule="auto"/>
        <w:jc w:val="both"/>
        <w:rPr>
          <w:rFonts w:ascii="Times New Roman" w:hAnsi="Times New Roman"/>
          <w:b/>
          <w:sz w:val="24"/>
          <w:szCs w:val="24"/>
        </w:rPr>
      </w:pPr>
    </w:p>
    <w:p w:rsidR="00A70D39" w:rsidRPr="005002FC" w:rsidRDefault="00A70D39" w:rsidP="00A70D39">
      <w:pPr>
        <w:spacing w:after="0" w:line="240" w:lineRule="auto"/>
        <w:jc w:val="both"/>
        <w:rPr>
          <w:rFonts w:ascii="Times New Roman" w:hAnsi="Times New Roman"/>
          <w:b/>
          <w:sz w:val="24"/>
          <w:szCs w:val="24"/>
        </w:rPr>
      </w:pPr>
      <w:r w:rsidRPr="005002FC">
        <w:rPr>
          <w:rFonts w:ascii="Times New Roman" w:hAnsi="Times New Roman"/>
          <w:b/>
          <w:sz w:val="24"/>
          <w:szCs w:val="24"/>
        </w:rPr>
        <w:t xml:space="preserve">K bodom </w:t>
      </w:r>
      <w:r>
        <w:rPr>
          <w:rFonts w:ascii="Times New Roman" w:hAnsi="Times New Roman"/>
          <w:b/>
          <w:sz w:val="24"/>
          <w:szCs w:val="24"/>
        </w:rPr>
        <w:t>36</w:t>
      </w:r>
      <w:r w:rsidRPr="005002FC">
        <w:rPr>
          <w:rFonts w:ascii="Times New Roman" w:hAnsi="Times New Roman"/>
          <w:b/>
          <w:sz w:val="24"/>
          <w:szCs w:val="24"/>
        </w:rPr>
        <w:t xml:space="preserve"> a </w:t>
      </w:r>
      <w:r>
        <w:rPr>
          <w:rFonts w:ascii="Times New Roman" w:hAnsi="Times New Roman"/>
          <w:b/>
          <w:sz w:val="24"/>
          <w:szCs w:val="24"/>
        </w:rPr>
        <w:t>38</w:t>
      </w:r>
    </w:p>
    <w:p w:rsidR="00A70D39" w:rsidRPr="001107AD" w:rsidRDefault="00A70D39" w:rsidP="00A70D39">
      <w:pPr>
        <w:spacing w:after="0" w:line="240" w:lineRule="auto"/>
        <w:jc w:val="both"/>
        <w:rPr>
          <w:rFonts w:ascii="Times New Roman" w:hAnsi="Times New Roman"/>
          <w:sz w:val="24"/>
          <w:szCs w:val="24"/>
        </w:rPr>
      </w:pPr>
      <w:r w:rsidRPr="001107AD">
        <w:rPr>
          <w:rFonts w:ascii="Times New Roman" w:hAnsi="Times New Roman"/>
          <w:sz w:val="24"/>
          <w:szCs w:val="24"/>
        </w:rPr>
        <w:t xml:space="preserve">Ustanovenia sa upravujú v nadväznosti na úpravu prepravy alkoholických nápojov v pozastavení dane pre </w:t>
      </w:r>
      <w:r w:rsidRPr="001107AD">
        <w:rPr>
          <w:rFonts w:ascii="Times New Roman" w:hAnsi="Times New Roman"/>
          <w:color w:val="000000"/>
          <w:sz w:val="24"/>
          <w:szCs w:val="24"/>
        </w:rPr>
        <w:t xml:space="preserve">ozbrojené sily </w:t>
      </w:r>
      <w:r w:rsidRPr="001107AD">
        <w:rPr>
          <w:rFonts w:ascii="Times New Roman" w:hAnsi="Times New Roman"/>
          <w:sz w:val="24"/>
          <w:szCs w:val="24"/>
        </w:rPr>
        <w:t>iných členských štátov a ich civilných zamestnancov, ak sa podieľajú na obrannom úsilí vynakladanom v rámci spoločnej bezpečnostnej a obrannej politiky Európskej únie. Tieto osoby sú povinné prepravovať lieh v pozastavení dane na účely oslobodené od dane s osvedčením o oslobodení od spotrebnej dane vyhotoveným podľa vzoru a spôsobom ustanoveným v osobitnom predpise Európskej únie. Povinnosť zložiť zábezpeku na daň pri preprave tohto alkoholického nápoja sa nevyžaduje.</w:t>
      </w:r>
    </w:p>
    <w:p w:rsidR="00A70D39" w:rsidRDefault="00A70D39" w:rsidP="00A70D39">
      <w:pPr>
        <w:spacing w:after="0" w:line="240" w:lineRule="auto"/>
        <w:jc w:val="both"/>
        <w:rPr>
          <w:rFonts w:ascii="Times New Roman" w:hAnsi="Times New Roman"/>
          <w:b/>
          <w:sz w:val="24"/>
          <w:szCs w:val="24"/>
        </w:rPr>
      </w:pPr>
      <w:r>
        <w:rPr>
          <w:rFonts w:ascii="Times New Roman" w:hAnsi="Times New Roman"/>
          <w:b/>
          <w:sz w:val="24"/>
          <w:szCs w:val="24"/>
        </w:rPr>
        <w:t>K bodu 37</w:t>
      </w:r>
    </w:p>
    <w:p w:rsidR="00A70D39" w:rsidRPr="00ED631B" w:rsidRDefault="00A70D39" w:rsidP="00A70D39">
      <w:pPr>
        <w:spacing w:after="0" w:line="240" w:lineRule="auto"/>
        <w:jc w:val="both"/>
        <w:rPr>
          <w:rFonts w:ascii="Times New Roman" w:hAnsi="Times New Roman"/>
          <w:sz w:val="24"/>
          <w:szCs w:val="24"/>
        </w:rPr>
      </w:pPr>
      <w:r w:rsidRPr="00ED631B">
        <w:rPr>
          <w:rFonts w:ascii="Times New Roman" w:hAnsi="Times New Roman"/>
          <w:sz w:val="24"/>
          <w:szCs w:val="24"/>
        </w:rPr>
        <w:t xml:space="preserve">Ustanovenie sa zosúlaďuje s čl. 16 ods. 1 písm. a) bod i) </w:t>
      </w:r>
      <w:r w:rsidRPr="0017319B">
        <w:rPr>
          <w:rFonts w:ascii="Times New Roman" w:hAnsi="Times New Roman"/>
          <w:sz w:val="24"/>
          <w:szCs w:val="24"/>
        </w:rPr>
        <w:t>smernice 2020</w:t>
      </w:r>
      <w:r w:rsidRPr="00ED631B">
        <w:rPr>
          <w:rFonts w:ascii="Times New Roman" w:hAnsi="Times New Roman"/>
          <w:sz w:val="24"/>
          <w:szCs w:val="24"/>
        </w:rPr>
        <w:t>/262.</w:t>
      </w:r>
    </w:p>
    <w:p w:rsidR="00A70D39" w:rsidRPr="00ED631B" w:rsidRDefault="00A70D39" w:rsidP="00A70D39">
      <w:pPr>
        <w:spacing w:after="0" w:line="240" w:lineRule="auto"/>
        <w:jc w:val="both"/>
        <w:rPr>
          <w:rFonts w:ascii="Times New Roman" w:hAnsi="Times New Roman"/>
          <w:sz w:val="24"/>
          <w:szCs w:val="24"/>
        </w:rPr>
      </w:pPr>
    </w:p>
    <w:p w:rsidR="00A70D39" w:rsidRDefault="00A70D39" w:rsidP="00A70D39">
      <w:pPr>
        <w:spacing w:after="0" w:line="240" w:lineRule="auto"/>
        <w:jc w:val="both"/>
        <w:rPr>
          <w:rFonts w:ascii="Times New Roman" w:hAnsi="Times New Roman"/>
          <w:b/>
          <w:sz w:val="24"/>
          <w:szCs w:val="24"/>
        </w:rPr>
      </w:pPr>
      <w:r>
        <w:rPr>
          <w:rFonts w:ascii="Times New Roman" w:hAnsi="Times New Roman"/>
          <w:b/>
          <w:sz w:val="24"/>
          <w:szCs w:val="24"/>
        </w:rPr>
        <w:t>K bodu 39</w:t>
      </w:r>
    </w:p>
    <w:p w:rsidR="00A70D39" w:rsidRDefault="00A70D39" w:rsidP="00A70D39">
      <w:pPr>
        <w:spacing w:after="0" w:line="240" w:lineRule="auto"/>
        <w:jc w:val="both"/>
        <w:rPr>
          <w:rFonts w:ascii="Times New Roman" w:hAnsi="Times New Roman"/>
          <w:sz w:val="24"/>
          <w:szCs w:val="24"/>
        </w:rPr>
      </w:pPr>
      <w:r w:rsidRPr="00431D1B">
        <w:rPr>
          <w:rFonts w:ascii="Times New Roman" w:hAnsi="Times New Roman"/>
          <w:sz w:val="24"/>
          <w:szCs w:val="24"/>
        </w:rPr>
        <w:t xml:space="preserve">V snahe zamedziť daňovým únikom </w:t>
      </w:r>
      <w:r>
        <w:rPr>
          <w:rFonts w:ascii="Times New Roman" w:hAnsi="Times New Roman"/>
          <w:sz w:val="24"/>
          <w:szCs w:val="24"/>
        </w:rPr>
        <w:t xml:space="preserve">a možnosti výkonu daňového dozoru </w:t>
      </w:r>
      <w:r w:rsidRPr="00431D1B">
        <w:rPr>
          <w:rFonts w:ascii="Times New Roman" w:hAnsi="Times New Roman"/>
          <w:sz w:val="24"/>
          <w:szCs w:val="24"/>
        </w:rPr>
        <w:t>sa umožňuje colnému úradu</w:t>
      </w:r>
      <w:r>
        <w:rPr>
          <w:rFonts w:ascii="Times New Roman" w:hAnsi="Times New Roman"/>
          <w:sz w:val="24"/>
          <w:szCs w:val="24"/>
        </w:rPr>
        <w:t xml:space="preserve"> časovo obmedziť daňovému subjektu manipuláciu s alkoholickým nápojom počas dvoch hodín po dopravení alkoholického nápoja na miesto prijatia.</w:t>
      </w:r>
    </w:p>
    <w:p w:rsidR="00A70D39" w:rsidRDefault="00A70D39" w:rsidP="00A70D39">
      <w:pPr>
        <w:spacing w:after="0" w:line="240" w:lineRule="auto"/>
        <w:jc w:val="both"/>
        <w:rPr>
          <w:rFonts w:ascii="Times New Roman" w:hAnsi="Times New Roman"/>
          <w:b/>
          <w:sz w:val="24"/>
          <w:szCs w:val="24"/>
        </w:rPr>
      </w:pPr>
    </w:p>
    <w:p w:rsidR="00A70D39" w:rsidRPr="00ED631B" w:rsidRDefault="00A70D39" w:rsidP="00A70D39">
      <w:pPr>
        <w:spacing w:after="0" w:line="240" w:lineRule="auto"/>
        <w:jc w:val="both"/>
        <w:rPr>
          <w:rFonts w:ascii="Times New Roman" w:hAnsi="Times New Roman"/>
          <w:b/>
          <w:sz w:val="24"/>
          <w:szCs w:val="24"/>
        </w:rPr>
      </w:pPr>
      <w:r w:rsidRPr="00ED631B">
        <w:rPr>
          <w:rFonts w:ascii="Times New Roman" w:hAnsi="Times New Roman"/>
          <w:b/>
          <w:sz w:val="24"/>
          <w:szCs w:val="24"/>
        </w:rPr>
        <w:t>K </w:t>
      </w:r>
      <w:r>
        <w:rPr>
          <w:rFonts w:ascii="Times New Roman" w:hAnsi="Times New Roman"/>
          <w:b/>
          <w:sz w:val="24"/>
          <w:szCs w:val="24"/>
        </w:rPr>
        <w:t>bodom</w:t>
      </w:r>
      <w:r w:rsidRPr="00ED631B">
        <w:rPr>
          <w:rFonts w:ascii="Times New Roman" w:hAnsi="Times New Roman"/>
          <w:b/>
          <w:sz w:val="24"/>
          <w:szCs w:val="24"/>
        </w:rPr>
        <w:t xml:space="preserve"> </w:t>
      </w:r>
      <w:r>
        <w:rPr>
          <w:rFonts w:ascii="Times New Roman" w:hAnsi="Times New Roman"/>
          <w:b/>
          <w:sz w:val="24"/>
          <w:szCs w:val="24"/>
        </w:rPr>
        <w:t xml:space="preserve">40, </w:t>
      </w:r>
      <w:r w:rsidRPr="00656806">
        <w:rPr>
          <w:rFonts w:ascii="Times New Roman" w:hAnsi="Times New Roman"/>
          <w:b/>
          <w:sz w:val="24"/>
          <w:szCs w:val="24"/>
        </w:rPr>
        <w:t>7</w:t>
      </w:r>
      <w:r>
        <w:rPr>
          <w:rFonts w:ascii="Times New Roman" w:hAnsi="Times New Roman"/>
          <w:b/>
          <w:sz w:val="24"/>
          <w:szCs w:val="24"/>
        </w:rPr>
        <w:t>7</w:t>
      </w:r>
      <w:r w:rsidRPr="00656806">
        <w:rPr>
          <w:rFonts w:ascii="Times New Roman" w:hAnsi="Times New Roman"/>
          <w:b/>
          <w:sz w:val="24"/>
          <w:szCs w:val="24"/>
        </w:rPr>
        <w:t>, 9</w:t>
      </w:r>
      <w:r>
        <w:rPr>
          <w:rFonts w:ascii="Times New Roman" w:hAnsi="Times New Roman"/>
          <w:b/>
          <w:sz w:val="24"/>
          <w:szCs w:val="24"/>
        </w:rPr>
        <w:t>5, 97</w:t>
      </w:r>
    </w:p>
    <w:p w:rsidR="00A70D39" w:rsidRPr="00ED631B" w:rsidRDefault="00A70D39" w:rsidP="00A70D39">
      <w:pPr>
        <w:spacing w:after="0" w:line="240" w:lineRule="auto"/>
        <w:jc w:val="both"/>
        <w:rPr>
          <w:rFonts w:ascii="Times New Roman" w:hAnsi="Times New Roman"/>
          <w:sz w:val="24"/>
          <w:szCs w:val="24"/>
        </w:rPr>
      </w:pPr>
      <w:r w:rsidRPr="00ED631B">
        <w:rPr>
          <w:rFonts w:ascii="Times New Roman" w:hAnsi="Times New Roman"/>
          <w:sz w:val="24"/>
          <w:szCs w:val="24"/>
        </w:rPr>
        <w:t>Vzhľadom na to, že colný úrad je povinný preveriť nedoplatky na dani u personálne prepojených osôb alebo majetkovo prepojených osôb so žiadateľom, je potrebné aby žiadateľ predložil zoznam dotknutých osôb.</w:t>
      </w:r>
    </w:p>
    <w:p w:rsidR="00A70D39" w:rsidRDefault="00A70D39" w:rsidP="00A70D39">
      <w:pPr>
        <w:spacing w:after="0" w:line="240" w:lineRule="auto"/>
        <w:jc w:val="both"/>
        <w:rPr>
          <w:rFonts w:ascii="Times New Roman" w:hAnsi="Times New Roman"/>
          <w:sz w:val="24"/>
          <w:szCs w:val="24"/>
        </w:rPr>
      </w:pPr>
    </w:p>
    <w:p w:rsidR="00A70D39" w:rsidRPr="00ED631B" w:rsidRDefault="00A70D39" w:rsidP="00A70D39">
      <w:pPr>
        <w:spacing w:after="0" w:line="240" w:lineRule="auto"/>
        <w:jc w:val="both"/>
        <w:rPr>
          <w:rFonts w:ascii="Times New Roman" w:hAnsi="Times New Roman"/>
          <w:b/>
          <w:sz w:val="24"/>
          <w:szCs w:val="24"/>
        </w:rPr>
      </w:pPr>
      <w:r w:rsidRPr="00ED631B">
        <w:rPr>
          <w:rFonts w:ascii="Times New Roman" w:hAnsi="Times New Roman"/>
          <w:b/>
          <w:sz w:val="24"/>
          <w:szCs w:val="24"/>
        </w:rPr>
        <w:t xml:space="preserve">K bodu </w:t>
      </w:r>
      <w:r>
        <w:rPr>
          <w:rFonts w:ascii="Times New Roman" w:hAnsi="Times New Roman"/>
          <w:b/>
          <w:sz w:val="24"/>
          <w:szCs w:val="24"/>
        </w:rPr>
        <w:t>41</w:t>
      </w:r>
    </w:p>
    <w:p w:rsidR="00A70D39" w:rsidRPr="00331EDB" w:rsidRDefault="00A70D39" w:rsidP="00A70D39">
      <w:pPr>
        <w:spacing w:after="0" w:line="240" w:lineRule="auto"/>
        <w:jc w:val="both"/>
        <w:rPr>
          <w:rFonts w:ascii="Times New Roman" w:hAnsi="Times New Roman"/>
          <w:sz w:val="24"/>
          <w:szCs w:val="24"/>
        </w:rPr>
      </w:pPr>
      <w:r w:rsidRPr="00331EDB">
        <w:rPr>
          <w:rFonts w:ascii="Times New Roman" w:hAnsi="Times New Roman"/>
          <w:sz w:val="24"/>
          <w:szCs w:val="24"/>
        </w:rPr>
        <w:t xml:space="preserve">Odstraňuje sa rozdielny prístup pri zložení zábezpeky na daň pre jednotlivé druhy alkoholických nápojov. Zároveň sa z dôvodu predchádzania vzniku daňových únikov upravuje minimálna výška zloženej zábezpeky na daň pred registráciou žiadateľa a vydaním povolenia. </w:t>
      </w:r>
    </w:p>
    <w:p w:rsidR="00A70D39" w:rsidRDefault="00A70D39" w:rsidP="00A70D39">
      <w:pPr>
        <w:spacing w:after="0" w:line="240" w:lineRule="auto"/>
        <w:ind w:right="102"/>
        <w:jc w:val="both"/>
        <w:rPr>
          <w:rFonts w:ascii="Times New Roman" w:hAnsi="Times New Roman"/>
          <w:sz w:val="24"/>
          <w:szCs w:val="24"/>
        </w:rPr>
      </w:pPr>
    </w:p>
    <w:p w:rsidR="00A70D39" w:rsidRPr="001107AD" w:rsidRDefault="00A70D39" w:rsidP="00A70D39">
      <w:pPr>
        <w:spacing w:after="0" w:line="240" w:lineRule="auto"/>
        <w:jc w:val="both"/>
        <w:rPr>
          <w:rFonts w:ascii="Times New Roman" w:hAnsi="Times New Roman"/>
          <w:b/>
          <w:sz w:val="24"/>
          <w:szCs w:val="24"/>
        </w:rPr>
      </w:pPr>
      <w:r w:rsidRPr="001107AD">
        <w:rPr>
          <w:rFonts w:ascii="Times New Roman" w:hAnsi="Times New Roman"/>
          <w:b/>
          <w:sz w:val="24"/>
          <w:szCs w:val="24"/>
        </w:rPr>
        <w:t xml:space="preserve">K bodu </w:t>
      </w:r>
      <w:r>
        <w:rPr>
          <w:rFonts w:ascii="Times New Roman" w:hAnsi="Times New Roman"/>
          <w:b/>
          <w:sz w:val="24"/>
          <w:szCs w:val="24"/>
        </w:rPr>
        <w:t>42</w:t>
      </w:r>
    </w:p>
    <w:p w:rsidR="00A70D39" w:rsidRPr="001107AD" w:rsidRDefault="00A70D39" w:rsidP="00A70D39">
      <w:pPr>
        <w:spacing w:after="0" w:line="240" w:lineRule="auto"/>
        <w:jc w:val="both"/>
        <w:rPr>
          <w:rFonts w:ascii="Times New Roman" w:hAnsi="Times New Roman"/>
          <w:sz w:val="24"/>
          <w:szCs w:val="24"/>
        </w:rPr>
      </w:pPr>
      <w:r w:rsidRPr="001107AD">
        <w:rPr>
          <w:rFonts w:ascii="Times New Roman" w:hAnsi="Times New Roman"/>
          <w:sz w:val="24"/>
          <w:szCs w:val="24"/>
        </w:rPr>
        <w:t>Spresňuje sa znenie ustanovenia upravujúceho povinnosť oprávneného príjemcu, ktorý prijíma lieh z iného členského štátu v pozastavení dane opakovane</w:t>
      </w:r>
      <w:r>
        <w:rPr>
          <w:rFonts w:ascii="Times New Roman" w:hAnsi="Times New Roman"/>
          <w:sz w:val="24"/>
          <w:szCs w:val="24"/>
        </w:rPr>
        <w:t>,</w:t>
      </w:r>
      <w:r w:rsidRPr="001107AD">
        <w:rPr>
          <w:rFonts w:ascii="Times New Roman" w:hAnsi="Times New Roman"/>
          <w:sz w:val="24"/>
          <w:szCs w:val="24"/>
        </w:rPr>
        <w:t xml:space="preserve"> zvýšiť zloženú zábezpeku na daň. V snahe predchádzať daňovým únikom sa táto povinnosť zavádza pre všetky alkoholické nápoje rovnako. </w:t>
      </w:r>
    </w:p>
    <w:p w:rsidR="00A70D39" w:rsidRPr="001107AD" w:rsidRDefault="00A70D39" w:rsidP="00A70D39">
      <w:pPr>
        <w:spacing w:after="0" w:line="240" w:lineRule="auto"/>
        <w:jc w:val="both"/>
        <w:rPr>
          <w:rFonts w:ascii="Times New Roman" w:hAnsi="Times New Roman"/>
          <w:sz w:val="24"/>
          <w:szCs w:val="24"/>
        </w:rPr>
      </w:pPr>
    </w:p>
    <w:p w:rsidR="00A70D39" w:rsidRPr="001107AD" w:rsidRDefault="00A70D39" w:rsidP="00A70D39">
      <w:pPr>
        <w:spacing w:after="0" w:line="240" w:lineRule="auto"/>
        <w:jc w:val="both"/>
        <w:rPr>
          <w:rFonts w:ascii="Times New Roman" w:hAnsi="Times New Roman"/>
          <w:b/>
          <w:sz w:val="24"/>
          <w:szCs w:val="24"/>
        </w:rPr>
      </w:pPr>
      <w:r w:rsidRPr="001107AD">
        <w:rPr>
          <w:rFonts w:ascii="Times New Roman" w:hAnsi="Times New Roman"/>
          <w:b/>
          <w:sz w:val="24"/>
          <w:szCs w:val="24"/>
        </w:rPr>
        <w:t xml:space="preserve">K bodom </w:t>
      </w:r>
      <w:r>
        <w:rPr>
          <w:rFonts w:ascii="Times New Roman" w:hAnsi="Times New Roman"/>
          <w:b/>
          <w:sz w:val="24"/>
          <w:szCs w:val="24"/>
        </w:rPr>
        <w:t>44 a 45</w:t>
      </w:r>
      <w:r w:rsidRPr="001107AD">
        <w:rPr>
          <w:rFonts w:ascii="Times New Roman" w:hAnsi="Times New Roman"/>
          <w:b/>
          <w:sz w:val="24"/>
          <w:szCs w:val="24"/>
        </w:rPr>
        <w:t xml:space="preserve"> </w:t>
      </w:r>
    </w:p>
    <w:p w:rsidR="00A70D39" w:rsidRPr="001107AD" w:rsidRDefault="00A70D39" w:rsidP="00A70D39">
      <w:pPr>
        <w:spacing w:after="0" w:line="240" w:lineRule="auto"/>
        <w:jc w:val="both"/>
        <w:rPr>
          <w:rFonts w:ascii="Times New Roman" w:hAnsi="Times New Roman"/>
          <w:sz w:val="24"/>
          <w:szCs w:val="24"/>
        </w:rPr>
      </w:pPr>
      <w:r w:rsidRPr="001107AD">
        <w:rPr>
          <w:rFonts w:ascii="Times New Roman" w:hAnsi="Times New Roman"/>
          <w:sz w:val="24"/>
          <w:szCs w:val="24"/>
        </w:rPr>
        <w:t>Vypúšťa sa povinnosť pre osobu, ktorá chce byť registrovaným odosielateľom</w:t>
      </w:r>
      <w:r>
        <w:rPr>
          <w:rFonts w:ascii="Times New Roman" w:hAnsi="Times New Roman"/>
          <w:sz w:val="24"/>
          <w:szCs w:val="24"/>
        </w:rPr>
        <w:t>,</w:t>
      </w:r>
      <w:r w:rsidRPr="001107AD">
        <w:rPr>
          <w:rFonts w:ascii="Times New Roman" w:hAnsi="Times New Roman"/>
          <w:sz w:val="24"/>
          <w:szCs w:val="24"/>
        </w:rPr>
        <w:t xml:space="preserve"> uvádzať zoznam členských štátov do ktorých bude odosielať alkoholický nápoj v pozastavení dane a spresňujú sa prílohy, ktoré má predložiť k žiadosti o registráciu.</w:t>
      </w:r>
    </w:p>
    <w:p w:rsidR="00A70D39" w:rsidRDefault="00A70D39" w:rsidP="00A70D39">
      <w:pPr>
        <w:spacing w:after="0" w:line="240" w:lineRule="auto"/>
        <w:ind w:right="102"/>
        <w:jc w:val="both"/>
        <w:rPr>
          <w:rFonts w:ascii="Times New Roman" w:hAnsi="Times New Roman"/>
          <w:b/>
          <w:sz w:val="24"/>
          <w:szCs w:val="24"/>
        </w:rPr>
      </w:pPr>
    </w:p>
    <w:p w:rsidR="00A70D39" w:rsidRPr="00331EDB" w:rsidRDefault="00A70D39" w:rsidP="00A70D39">
      <w:pPr>
        <w:spacing w:after="0" w:line="240" w:lineRule="auto"/>
        <w:ind w:right="102"/>
        <w:jc w:val="both"/>
        <w:rPr>
          <w:rFonts w:ascii="Times New Roman" w:hAnsi="Times New Roman"/>
          <w:b/>
          <w:sz w:val="24"/>
          <w:szCs w:val="24"/>
        </w:rPr>
      </w:pPr>
      <w:r>
        <w:rPr>
          <w:rFonts w:ascii="Times New Roman" w:hAnsi="Times New Roman"/>
          <w:b/>
          <w:sz w:val="24"/>
          <w:szCs w:val="24"/>
        </w:rPr>
        <w:t>K bodu 46</w:t>
      </w:r>
    </w:p>
    <w:p w:rsidR="00A70D39" w:rsidRPr="001107AD" w:rsidRDefault="00A70D39" w:rsidP="00A70D39">
      <w:pPr>
        <w:spacing w:after="0" w:line="240" w:lineRule="auto"/>
        <w:jc w:val="both"/>
        <w:rPr>
          <w:rFonts w:ascii="Times New Roman" w:hAnsi="Times New Roman"/>
          <w:sz w:val="24"/>
          <w:szCs w:val="24"/>
        </w:rPr>
      </w:pPr>
      <w:r w:rsidRPr="001107AD">
        <w:rPr>
          <w:rFonts w:ascii="Times New Roman" w:hAnsi="Times New Roman"/>
          <w:sz w:val="24"/>
          <w:szCs w:val="24"/>
        </w:rPr>
        <w:t xml:space="preserve">Aktualizácia odkazov z dôvodu zmeny colných predpisov.  </w:t>
      </w:r>
    </w:p>
    <w:p w:rsidR="00A70D39" w:rsidRPr="001107AD" w:rsidRDefault="00A70D39" w:rsidP="00A70D39">
      <w:pPr>
        <w:spacing w:after="0" w:line="240" w:lineRule="auto"/>
        <w:jc w:val="both"/>
        <w:rPr>
          <w:rFonts w:ascii="Times New Roman" w:hAnsi="Times New Roman"/>
          <w:sz w:val="24"/>
          <w:szCs w:val="24"/>
        </w:rPr>
      </w:pPr>
    </w:p>
    <w:p w:rsidR="00A70D39" w:rsidRDefault="00A70D39" w:rsidP="00A70D39">
      <w:pPr>
        <w:spacing w:after="0" w:line="240" w:lineRule="auto"/>
        <w:jc w:val="both"/>
        <w:rPr>
          <w:rFonts w:ascii="Times New Roman" w:hAnsi="Times New Roman"/>
          <w:b/>
          <w:sz w:val="24"/>
          <w:szCs w:val="24"/>
        </w:rPr>
      </w:pPr>
      <w:r>
        <w:rPr>
          <w:rFonts w:ascii="Times New Roman" w:hAnsi="Times New Roman"/>
          <w:b/>
          <w:sz w:val="24"/>
          <w:szCs w:val="24"/>
        </w:rPr>
        <w:t>K bodom 47 až 50</w:t>
      </w:r>
    </w:p>
    <w:p w:rsidR="00A70D39" w:rsidRPr="00CF2357" w:rsidRDefault="00A70D39" w:rsidP="00A70D39">
      <w:pPr>
        <w:spacing w:after="0" w:line="240" w:lineRule="auto"/>
        <w:jc w:val="both"/>
        <w:rPr>
          <w:rFonts w:ascii="Times New Roman" w:hAnsi="Times New Roman"/>
          <w:sz w:val="24"/>
          <w:szCs w:val="24"/>
        </w:rPr>
      </w:pPr>
      <w:r w:rsidRPr="00CF2357">
        <w:rPr>
          <w:rFonts w:ascii="Times New Roman" w:hAnsi="Times New Roman"/>
          <w:sz w:val="24"/>
          <w:szCs w:val="24"/>
        </w:rPr>
        <w:t xml:space="preserve">Zjednodušujú sa povinnosti daňových subjektov v prípade nedostupnosti elektronického systému. </w:t>
      </w:r>
    </w:p>
    <w:p w:rsidR="00A70D39" w:rsidRDefault="00A70D39" w:rsidP="00A70D39">
      <w:pPr>
        <w:spacing w:after="0" w:line="240" w:lineRule="auto"/>
        <w:jc w:val="both"/>
        <w:rPr>
          <w:rFonts w:ascii="Times New Roman" w:hAnsi="Times New Roman"/>
          <w:b/>
          <w:sz w:val="24"/>
          <w:szCs w:val="24"/>
        </w:rPr>
      </w:pPr>
    </w:p>
    <w:p w:rsidR="00A70D39" w:rsidRDefault="00A70D39" w:rsidP="00A70D39">
      <w:pPr>
        <w:spacing w:after="0" w:line="240" w:lineRule="auto"/>
        <w:jc w:val="both"/>
        <w:rPr>
          <w:rFonts w:ascii="Times New Roman" w:hAnsi="Times New Roman"/>
          <w:b/>
          <w:sz w:val="24"/>
          <w:szCs w:val="24"/>
        </w:rPr>
      </w:pPr>
      <w:r>
        <w:rPr>
          <w:rFonts w:ascii="Times New Roman" w:hAnsi="Times New Roman"/>
          <w:b/>
          <w:sz w:val="24"/>
          <w:szCs w:val="24"/>
        </w:rPr>
        <w:t>K bodom 51 a 52</w:t>
      </w:r>
    </w:p>
    <w:p w:rsidR="00A70D39" w:rsidRPr="00A11D71" w:rsidRDefault="00A70D39" w:rsidP="00A70D39">
      <w:pPr>
        <w:spacing w:after="0" w:line="240" w:lineRule="auto"/>
        <w:jc w:val="both"/>
        <w:rPr>
          <w:rFonts w:ascii="Times New Roman" w:hAnsi="Times New Roman"/>
          <w:sz w:val="24"/>
          <w:szCs w:val="24"/>
        </w:rPr>
      </w:pPr>
      <w:r>
        <w:rPr>
          <w:rFonts w:ascii="Times New Roman" w:hAnsi="Times New Roman"/>
          <w:sz w:val="24"/>
          <w:szCs w:val="24"/>
        </w:rPr>
        <w:t>Znižuje sa administratívna záťaž daňových subjektov tak, aby neboli povinné</w:t>
      </w:r>
      <w:r w:rsidRPr="00A11D71">
        <w:rPr>
          <w:rFonts w:ascii="Times New Roman" w:hAnsi="Times New Roman"/>
          <w:sz w:val="24"/>
          <w:szCs w:val="24"/>
        </w:rPr>
        <w:t xml:space="preserve"> predkladať doklady, ktoré má colný úrad k dispozícii.</w:t>
      </w:r>
    </w:p>
    <w:p w:rsidR="00A70D39" w:rsidRDefault="00A70D39" w:rsidP="00A70D39">
      <w:pPr>
        <w:spacing w:after="0" w:line="240" w:lineRule="auto"/>
        <w:jc w:val="both"/>
        <w:rPr>
          <w:rFonts w:ascii="Times New Roman" w:hAnsi="Times New Roman"/>
          <w:b/>
          <w:sz w:val="24"/>
          <w:szCs w:val="24"/>
        </w:rPr>
      </w:pPr>
    </w:p>
    <w:p w:rsidR="00A70D39" w:rsidRPr="001107AD" w:rsidRDefault="00A70D39" w:rsidP="00A70D39">
      <w:pPr>
        <w:spacing w:after="0" w:line="240" w:lineRule="auto"/>
        <w:jc w:val="both"/>
        <w:rPr>
          <w:rFonts w:ascii="Times New Roman" w:hAnsi="Times New Roman"/>
          <w:b/>
          <w:sz w:val="24"/>
          <w:szCs w:val="24"/>
        </w:rPr>
      </w:pPr>
      <w:r w:rsidRPr="001107AD">
        <w:rPr>
          <w:rFonts w:ascii="Times New Roman" w:hAnsi="Times New Roman"/>
          <w:b/>
          <w:sz w:val="24"/>
          <w:szCs w:val="24"/>
        </w:rPr>
        <w:t>K</w:t>
      </w:r>
      <w:r>
        <w:rPr>
          <w:rFonts w:ascii="Times New Roman" w:hAnsi="Times New Roman"/>
          <w:b/>
          <w:sz w:val="24"/>
          <w:szCs w:val="24"/>
        </w:rPr>
        <w:t> bodu 53</w:t>
      </w:r>
    </w:p>
    <w:p w:rsidR="00A70D39" w:rsidRPr="001107AD" w:rsidRDefault="00A70D39" w:rsidP="00A70D39">
      <w:pPr>
        <w:spacing w:after="0" w:line="240" w:lineRule="auto"/>
        <w:jc w:val="both"/>
        <w:rPr>
          <w:rFonts w:ascii="Times New Roman" w:hAnsi="Times New Roman"/>
          <w:sz w:val="24"/>
          <w:szCs w:val="24"/>
        </w:rPr>
      </w:pPr>
      <w:r w:rsidRPr="001107AD">
        <w:rPr>
          <w:rFonts w:ascii="Times New Roman" w:hAnsi="Times New Roman"/>
          <w:sz w:val="24"/>
          <w:szCs w:val="24"/>
        </w:rPr>
        <w:t>V nadväznosti na zavedenie nového daňového subjektu, ktorým je schválený odosielateľ sa ustanovujú podmienky, za ktorých je možné povolenie odosielať alkoholický nápoj uvedený do daňového voľného obehu na daňovom území na územie iného členského štátu na podnikateľské účely vydať, odňať alebo za ktorých toto povolenie zaniká.</w:t>
      </w:r>
    </w:p>
    <w:p w:rsidR="00A70D39" w:rsidRPr="001107AD" w:rsidRDefault="00A70D39" w:rsidP="00A70D39">
      <w:pPr>
        <w:spacing w:after="0" w:line="240" w:lineRule="auto"/>
        <w:jc w:val="both"/>
        <w:rPr>
          <w:rFonts w:ascii="Times New Roman" w:hAnsi="Times New Roman"/>
          <w:sz w:val="24"/>
          <w:szCs w:val="24"/>
        </w:rPr>
      </w:pPr>
    </w:p>
    <w:p w:rsidR="00A70D39" w:rsidRPr="001107AD" w:rsidRDefault="00A70D39" w:rsidP="00A70D39">
      <w:pPr>
        <w:spacing w:after="0" w:line="240" w:lineRule="auto"/>
        <w:jc w:val="both"/>
        <w:rPr>
          <w:rFonts w:ascii="Times New Roman" w:hAnsi="Times New Roman"/>
          <w:b/>
          <w:sz w:val="24"/>
          <w:szCs w:val="24"/>
        </w:rPr>
      </w:pPr>
      <w:r w:rsidRPr="001107AD">
        <w:rPr>
          <w:rFonts w:ascii="Times New Roman" w:hAnsi="Times New Roman"/>
          <w:b/>
          <w:sz w:val="24"/>
          <w:szCs w:val="24"/>
        </w:rPr>
        <w:t xml:space="preserve">K bodu </w:t>
      </w:r>
      <w:r>
        <w:rPr>
          <w:rFonts w:ascii="Times New Roman" w:hAnsi="Times New Roman"/>
          <w:b/>
          <w:sz w:val="24"/>
          <w:szCs w:val="24"/>
        </w:rPr>
        <w:t>54</w:t>
      </w:r>
    </w:p>
    <w:p w:rsidR="00A70D39" w:rsidRPr="001107AD" w:rsidRDefault="00A70D39" w:rsidP="00A70D39">
      <w:pPr>
        <w:spacing w:after="0" w:line="240" w:lineRule="auto"/>
        <w:jc w:val="both"/>
        <w:rPr>
          <w:rFonts w:ascii="Times New Roman" w:hAnsi="Times New Roman"/>
          <w:sz w:val="24"/>
          <w:szCs w:val="24"/>
        </w:rPr>
      </w:pPr>
      <w:r w:rsidRPr="001107AD">
        <w:rPr>
          <w:rFonts w:ascii="Times New Roman" w:hAnsi="Times New Roman"/>
          <w:sz w:val="24"/>
          <w:szCs w:val="24"/>
        </w:rPr>
        <w:t>V nadväznosti na zavedenie nového daňového subjektu, ktorým je schválený príjemca</w:t>
      </w:r>
      <w:r>
        <w:rPr>
          <w:rFonts w:ascii="Times New Roman" w:hAnsi="Times New Roman"/>
          <w:sz w:val="24"/>
          <w:szCs w:val="24"/>
        </w:rPr>
        <w:t>,</w:t>
      </w:r>
      <w:r w:rsidRPr="001107AD">
        <w:rPr>
          <w:rFonts w:ascii="Times New Roman" w:hAnsi="Times New Roman"/>
          <w:sz w:val="24"/>
          <w:szCs w:val="24"/>
        </w:rPr>
        <w:t xml:space="preserve"> sa ustanovujú podmienky, za ktorých je možné povolenie prijímať alkoholický nápoj uvedený do daňového voľného obehu na území iného členského štátu na podnikateľské účely vydať, odňať alebo za ktorých toto povolenie zaniká. Zároveň sa ustanovujú podmienky, ktoré je schválený odosielateľ povinný pred prijatím alkoholického nápoja splniť.</w:t>
      </w:r>
    </w:p>
    <w:p w:rsidR="002151A5" w:rsidRDefault="002151A5" w:rsidP="00A70D39">
      <w:pPr>
        <w:spacing w:after="0" w:line="240" w:lineRule="auto"/>
        <w:jc w:val="both"/>
        <w:rPr>
          <w:rFonts w:ascii="Times New Roman" w:hAnsi="Times New Roman"/>
          <w:b/>
          <w:sz w:val="24"/>
          <w:szCs w:val="24"/>
        </w:rPr>
      </w:pPr>
    </w:p>
    <w:p w:rsidR="00A70D39" w:rsidRPr="001107AD" w:rsidRDefault="00A70D39" w:rsidP="00A70D39">
      <w:pPr>
        <w:spacing w:after="0" w:line="240" w:lineRule="auto"/>
        <w:jc w:val="both"/>
        <w:rPr>
          <w:rFonts w:ascii="Times New Roman" w:hAnsi="Times New Roman"/>
          <w:b/>
          <w:sz w:val="24"/>
          <w:szCs w:val="24"/>
        </w:rPr>
      </w:pPr>
      <w:r w:rsidRPr="001107AD">
        <w:rPr>
          <w:rFonts w:ascii="Times New Roman" w:hAnsi="Times New Roman"/>
          <w:b/>
          <w:sz w:val="24"/>
          <w:szCs w:val="24"/>
        </w:rPr>
        <w:t>K bodom</w:t>
      </w:r>
      <w:r>
        <w:rPr>
          <w:rFonts w:ascii="Times New Roman" w:hAnsi="Times New Roman"/>
          <w:b/>
          <w:sz w:val="24"/>
          <w:szCs w:val="24"/>
        </w:rPr>
        <w:t xml:space="preserve"> 55 a 56</w:t>
      </w:r>
    </w:p>
    <w:p w:rsidR="00A70D39" w:rsidRPr="001107AD" w:rsidRDefault="00A70D39" w:rsidP="00A70D39">
      <w:pPr>
        <w:autoSpaceDE w:val="0"/>
        <w:autoSpaceDN w:val="0"/>
        <w:spacing w:line="240" w:lineRule="atLeast"/>
        <w:ind w:left="23"/>
        <w:jc w:val="both"/>
        <w:rPr>
          <w:rFonts w:ascii="Times New Roman" w:hAnsi="Times New Roman"/>
          <w:sz w:val="24"/>
          <w:szCs w:val="24"/>
        </w:rPr>
      </w:pPr>
      <w:r w:rsidRPr="001107AD">
        <w:rPr>
          <w:rFonts w:ascii="Times New Roman" w:hAnsi="Times New Roman"/>
          <w:sz w:val="24"/>
          <w:szCs w:val="24"/>
        </w:rPr>
        <w:t xml:space="preserve">V porovnaní s doteraz platnou právnou úpravou sa zásadne mení postup pri preprave liehu mimo pozastavenia dane na podnikateľské účely na daňovom území, ako i  na území Európskej únie. Papierový trojdielny zjednodušený sprievodný dokument sa nahrádza elektronickým systémom vyhotovovania elektronického zjednodušeného administratívneho dokumentu (ďalej len „zjednodušený elektronický dokument“). Elektronicky sa uskutočňuje preprava od jej začatia, cez zasielanie návrhu zjednodušeného elektronického dokumentu colnému úradu, prideľovanie zjednodušeného administratívneho referenčného kódu colným úradom, informovanie colného úradu schváleného odosielateľa ako i colného úradu schváleného príjemcu o preprave alkoholického nápoja mimo pozastavenia dane na podnikateľské účely, až po jej ukončenie potvrdzovaním prijatia alkoholického nápoja prostredníctvom elektronického vyhotovovania správ o prijatí schváleným odberateľom.  </w:t>
      </w:r>
    </w:p>
    <w:p w:rsidR="00A70D39" w:rsidRPr="001107AD" w:rsidRDefault="00A70D39" w:rsidP="00A70D39">
      <w:pPr>
        <w:autoSpaceDE w:val="0"/>
        <w:autoSpaceDN w:val="0"/>
        <w:spacing w:line="240" w:lineRule="atLeast"/>
        <w:ind w:left="23"/>
        <w:jc w:val="both"/>
        <w:rPr>
          <w:rFonts w:ascii="Times New Roman" w:hAnsi="Times New Roman"/>
          <w:sz w:val="24"/>
          <w:szCs w:val="24"/>
        </w:rPr>
      </w:pPr>
      <w:r w:rsidRPr="001107AD">
        <w:rPr>
          <w:rFonts w:ascii="Times New Roman" w:hAnsi="Times New Roman"/>
          <w:sz w:val="24"/>
          <w:szCs w:val="24"/>
        </w:rPr>
        <w:t xml:space="preserve">V nadväznosti na zavedenie elektronického systému monitorovania a kontroly prepravy alkoholického nápoja uvedeného do daňového voľného obehu na podnikateľské účely je možné prepravovať alkoholický nápoj len so zjednodušeným elektronickým dokumentom. Colný úrad po preverení správnosti údajov v návrhu zjednodušeného elektronického dokumentu pridelí zjednodušený administratívny referenčný kód, ktorý musí sprevádzať prepravu v písomnej podobe. Prepravu je možné uskutočňovať aj na miesto určenia, ktorým je miesto na daňovom území uvedené schváleným odosielateľom v elektronickom zjednodušenom dokumente. </w:t>
      </w:r>
    </w:p>
    <w:p w:rsidR="00A70D39" w:rsidRPr="001107AD" w:rsidRDefault="00A70D39" w:rsidP="00A70D39">
      <w:pPr>
        <w:autoSpaceDE w:val="0"/>
        <w:autoSpaceDN w:val="0"/>
        <w:spacing w:line="240" w:lineRule="atLeast"/>
        <w:ind w:left="23"/>
        <w:jc w:val="both"/>
        <w:rPr>
          <w:rFonts w:ascii="Times New Roman" w:hAnsi="Times New Roman"/>
          <w:sz w:val="24"/>
          <w:szCs w:val="24"/>
        </w:rPr>
      </w:pPr>
      <w:r w:rsidRPr="001107AD">
        <w:rPr>
          <w:rFonts w:ascii="Times New Roman" w:hAnsi="Times New Roman"/>
          <w:sz w:val="24"/>
          <w:szCs w:val="24"/>
        </w:rPr>
        <w:t xml:space="preserve">Upravuje sa aj postup pri preprave alkoholického nápoja uvedeného do daňového voľného obehu na podnikateľské účely v prípade nedostupnosti elektronického systému. </w:t>
      </w:r>
      <w:r w:rsidRPr="001107AD">
        <w:rPr>
          <w:rFonts w:ascii="Times New Roman" w:hAnsi="Times New Roman"/>
          <w:color w:val="000000"/>
          <w:sz w:val="24"/>
          <w:szCs w:val="24"/>
        </w:rPr>
        <w:t xml:space="preserve">V prípade nedostupného elektronického systému je schválený odosielateľ povinný písomne, telefonicky, faxom alebo emailom oznámiť colnému úradu začatie prepravy </w:t>
      </w:r>
      <w:r w:rsidRPr="001107AD">
        <w:rPr>
          <w:rFonts w:ascii="Times New Roman" w:hAnsi="Times New Roman"/>
          <w:sz w:val="24"/>
          <w:szCs w:val="24"/>
        </w:rPr>
        <w:t>alkoholického nápoja uvedeného do daňového voľného obehu na podnikateľské účely</w:t>
      </w:r>
      <w:r w:rsidRPr="001107AD">
        <w:rPr>
          <w:rFonts w:ascii="Times New Roman" w:hAnsi="Times New Roman"/>
          <w:color w:val="000000"/>
          <w:sz w:val="24"/>
          <w:szCs w:val="24"/>
        </w:rPr>
        <w:t>. V prípade telefonického, faxového alebo elektronického oznámenia sa písomné, teda listinné potvrdenie oznámenia nevyžaduje.</w:t>
      </w:r>
    </w:p>
    <w:p w:rsidR="00A70D39" w:rsidRPr="001107AD" w:rsidRDefault="00A70D39" w:rsidP="00A70D39">
      <w:pPr>
        <w:spacing w:after="0" w:line="240" w:lineRule="auto"/>
        <w:jc w:val="both"/>
        <w:rPr>
          <w:rFonts w:ascii="Times New Roman" w:hAnsi="Times New Roman"/>
          <w:sz w:val="24"/>
          <w:szCs w:val="24"/>
        </w:rPr>
      </w:pPr>
      <w:r w:rsidRPr="001107AD">
        <w:rPr>
          <w:rFonts w:ascii="Times New Roman" w:hAnsi="Times New Roman"/>
          <w:sz w:val="24"/>
          <w:szCs w:val="24"/>
        </w:rPr>
        <w:t xml:space="preserve">V súlade so </w:t>
      </w:r>
      <w:r w:rsidRPr="00CF2357">
        <w:rPr>
          <w:rFonts w:ascii="Times New Roman" w:hAnsi="Times New Roman"/>
          <w:sz w:val="24"/>
          <w:szCs w:val="24"/>
        </w:rPr>
        <w:t>smernicou 2020/</w:t>
      </w:r>
      <w:r w:rsidRPr="001107AD">
        <w:rPr>
          <w:rFonts w:ascii="Times New Roman" w:hAnsi="Times New Roman"/>
          <w:sz w:val="24"/>
          <w:szCs w:val="24"/>
        </w:rPr>
        <w:t xml:space="preserve">262 sa ustanovuje, že daňová povinnosť nevznikne z množstva alkoholického nápoja pripadajúceho na straty alkoholického nápoja vyplývajúce z jeho fyzikálno-chemických vlastností pri jeho dodaní na podnikateľské účely, ako aj z množstva preukázateľne znehodnoteného a zničeného alkoholického nápoja. Tieto straty musia byť uznané colným úradom alebo správcom dane iného členského štátu. Ustanovenie sa súčasne upravuje tak, aby bolo možné vrátiť zloženú zábezpeku na daň, a to maximálne do výšky dane pripadajúcej na straty alkoholického nápoja, ktoré uznal colný úrad alebo správca dane iného členského štátu. </w:t>
      </w:r>
    </w:p>
    <w:p w:rsidR="00A70D39" w:rsidRPr="001107AD" w:rsidRDefault="00A70D39" w:rsidP="00A70D39">
      <w:pPr>
        <w:spacing w:after="0" w:line="240" w:lineRule="auto"/>
        <w:jc w:val="both"/>
        <w:rPr>
          <w:rFonts w:ascii="Times New Roman" w:hAnsi="Times New Roman"/>
          <w:sz w:val="24"/>
          <w:szCs w:val="24"/>
        </w:rPr>
      </w:pPr>
    </w:p>
    <w:p w:rsidR="00A70D39" w:rsidRPr="001107AD" w:rsidRDefault="00A70D39" w:rsidP="00A70D39">
      <w:pPr>
        <w:spacing w:after="0" w:line="240" w:lineRule="auto"/>
        <w:jc w:val="both"/>
        <w:rPr>
          <w:rFonts w:ascii="Times New Roman" w:hAnsi="Times New Roman"/>
          <w:sz w:val="24"/>
          <w:szCs w:val="24"/>
        </w:rPr>
      </w:pPr>
      <w:r w:rsidRPr="001107AD">
        <w:rPr>
          <w:rFonts w:ascii="Times New Roman" w:hAnsi="Times New Roman"/>
          <w:sz w:val="24"/>
          <w:szCs w:val="24"/>
        </w:rPr>
        <w:t xml:space="preserve">Povinnosť vyhotoviť zjednodušený elektronický dokument sa vzťahuje aj na prepravu všeobecne denaturovaného liehu a pri preprave alkoholického nápoja uvedeného do daňového voľného obehu na účely reklamácie. </w:t>
      </w:r>
    </w:p>
    <w:p w:rsidR="00A70D39" w:rsidRPr="001107AD" w:rsidRDefault="00A70D39" w:rsidP="00A70D39">
      <w:pPr>
        <w:spacing w:after="0" w:line="240" w:lineRule="auto"/>
        <w:jc w:val="both"/>
        <w:rPr>
          <w:rFonts w:ascii="Times New Roman" w:hAnsi="Times New Roman"/>
          <w:b/>
          <w:sz w:val="24"/>
          <w:szCs w:val="24"/>
        </w:rPr>
      </w:pPr>
    </w:p>
    <w:p w:rsidR="00A70D39" w:rsidRPr="001107AD" w:rsidRDefault="00A70D39" w:rsidP="00A70D39">
      <w:pPr>
        <w:spacing w:after="0" w:line="240" w:lineRule="auto"/>
        <w:jc w:val="both"/>
        <w:rPr>
          <w:rFonts w:ascii="Times New Roman" w:hAnsi="Times New Roman"/>
          <w:b/>
          <w:sz w:val="24"/>
          <w:szCs w:val="24"/>
        </w:rPr>
      </w:pPr>
      <w:r>
        <w:rPr>
          <w:rFonts w:ascii="Times New Roman" w:hAnsi="Times New Roman"/>
          <w:b/>
          <w:sz w:val="24"/>
          <w:szCs w:val="24"/>
        </w:rPr>
        <w:t>K bodu 57</w:t>
      </w:r>
    </w:p>
    <w:p w:rsidR="00A70D39" w:rsidRPr="001107AD" w:rsidRDefault="00A70D39" w:rsidP="00A70D39">
      <w:pPr>
        <w:spacing w:after="0" w:line="240" w:lineRule="auto"/>
        <w:jc w:val="both"/>
        <w:rPr>
          <w:rFonts w:ascii="Times New Roman" w:hAnsi="Times New Roman"/>
          <w:b/>
          <w:bCs/>
          <w:sz w:val="24"/>
          <w:szCs w:val="24"/>
        </w:rPr>
      </w:pPr>
      <w:r w:rsidRPr="001107AD">
        <w:rPr>
          <w:rFonts w:ascii="Times New Roman" w:hAnsi="Times New Roman"/>
          <w:sz w:val="24"/>
          <w:szCs w:val="24"/>
        </w:rPr>
        <w:t>Legislatívno</w:t>
      </w:r>
      <w:r>
        <w:rPr>
          <w:rFonts w:ascii="Times New Roman" w:hAnsi="Times New Roman"/>
          <w:sz w:val="24"/>
          <w:szCs w:val="24"/>
        </w:rPr>
        <w:t>-</w:t>
      </w:r>
      <w:r w:rsidRPr="001107AD">
        <w:rPr>
          <w:rFonts w:ascii="Times New Roman" w:hAnsi="Times New Roman"/>
          <w:sz w:val="24"/>
          <w:szCs w:val="24"/>
        </w:rPr>
        <w:t>technická úprava</w:t>
      </w:r>
      <w:r w:rsidRPr="001107AD">
        <w:rPr>
          <w:rFonts w:ascii="Times New Roman" w:hAnsi="Times New Roman"/>
          <w:b/>
          <w:bCs/>
          <w:sz w:val="24"/>
          <w:szCs w:val="24"/>
        </w:rPr>
        <w:t xml:space="preserve"> </w:t>
      </w:r>
      <w:r w:rsidRPr="001107AD">
        <w:rPr>
          <w:rFonts w:ascii="Times New Roman" w:hAnsi="Times New Roman"/>
          <w:sz w:val="24"/>
          <w:szCs w:val="24"/>
        </w:rPr>
        <w:t>vzhľadom na navrhované zmeny</w:t>
      </w:r>
      <w:r>
        <w:rPr>
          <w:rFonts w:ascii="Times New Roman" w:hAnsi="Times New Roman"/>
          <w:sz w:val="24"/>
          <w:szCs w:val="24"/>
        </w:rPr>
        <w:t xml:space="preserve"> súvisiace so zavedením elektronickej prepravy alkoholických nápojov v daňovom voľnom obehu</w:t>
      </w:r>
      <w:r w:rsidRPr="001107AD">
        <w:rPr>
          <w:rFonts w:ascii="Times New Roman" w:hAnsi="Times New Roman"/>
          <w:sz w:val="24"/>
          <w:szCs w:val="24"/>
        </w:rPr>
        <w:t>.</w:t>
      </w:r>
      <w:r w:rsidRPr="001107AD">
        <w:rPr>
          <w:rFonts w:ascii="Times New Roman" w:hAnsi="Times New Roman"/>
          <w:b/>
          <w:bCs/>
          <w:sz w:val="24"/>
          <w:szCs w:val="24"/>
        </w:rPr>
        <w:tab/>
      </w:r>
    </w:p>
    <w:p w:rsidR="00A70D39" w:rsidRPr="001107AD" w:rsidRDefault="00A70D39" w:rsidP="00A70D39">
      <w:pPr>
        <w:spacing w:after="0" w:line="240" w:lineRule="auto"/>
        <w:jc w:val="both"/>
        <w:rPr>
          <w:rFonts w:ascii="Times New Roman" w:hAnsi="Times New Roman"/>
          <w:b/>
          <w:sz w:val="24"/>
          <w:szCs w:val="24"/>
        </w:rPr>
      </w:pPr>
    </w:p>
    <w:p w:rsidR="00A70D39" w:rsidRPr="001107AD" w:rsidRDefault="00A70D39" w:rsidP="00A70D39">
      <w:pPr>
        <w:spacing w:after="0" w:line="240" w:lineRule="auto"/>
        <w:jc w:val="both"/>
        <w:rPr>
          <w:rFonts w:ascii="Times New Roman" w:hAnsi="Times New Roman"/>
          <w:b/>
          <w:sz w:val="24"/>
          <w:szCs w:val="24"/>
        </w:rPr>
      </w:pPr>
      <w:r w:rsidRPr="001107AD">
        <w:rPr>
          <w:rFonts w:ascii="Times New Roman" w:hAnsi="Times New Roman"/>
          <w:b/>
          <w:sz w:val="24"/>
          <w:szCs w:val="24"/>
        </w:rPr>
        <w:t xml:space="preserve">K bodu </w:t>
      </w:r>
      <w:r>
        <w:rPr>
          <w:rFonts w:ascii="Times New Roman" w:hAnsi="Times New Roman"/>
          <w:b/>
          <w:sz w:val="24"/>
          <w:szCs w:val="24"/>
        </w:rPr>
        <w:t>58</w:t>
      </w:r>
    </w:p>
    <w:p w:rsidR="00A70D39" w:rsidRDefault="00A70D39" w:rsidP="00A70D39">
      <w:pPr>
        <w:spacing w:after="0" w:line="240" w:lineRule="auto"/>
        <w:jc w:val="both"/>
        <w:rPr>
          <w:rFonts w:ascii="Times New Roman" w:hAnsi="Times New Roman"/>
          <w:sz w:val="24"/>
          <w:szCs w:val="24"/>
        </w:rPr>
      </w:pPr>
      <w:r w:rsidRPr="001107AD">
        <w:rPr>
          <w:rFonts w:ascii="Times New Roman" w:hAnsi="Times New Roman"/>
          <w:sz w:val="24"/>
          <w:szCs w:val="24"/>
        </w:rPr>
        <w:t xml:space="preserve">V nadväznosti </w:t>
      </w:r>
      <w:r w:rsidRPr="00CF2357">
        <w:rPr>
          <w:rFonts w:ascii="Times New Roman" w:hAnsi="Times New Roman"/>
          <w:sz w:val="24"/>
          <w:szCs w:val="24"/>
        </w:rPr>
        <w:t>na navrhované zmeny sa v súlade so smernicou 2020/262 upresňuje dodanie alkoholického nápoja v rámci zásielkového obchodu.</w:t>
      </w:r>
      <w:r w:rsidRPr="001107AD">
        <w:rPr>
          <w:rFonts w:ascii="Times New Roman" w:hAnsi="Times New Roman"/>
          <w:sz w:val="24"/>
          <w:szCs w:val="24"/>
        </w:rPr>
        <w:t xml:space="preserve"> </w:t>
      </w:r>
    </w:p>
    <w:p w:rsidR="00A70D39" w:rsidRPr="001107AD" w:rsidRDefault="00A70D39" w:rsidP="00A70D39">
      <w:pPr>
        <w:spacing w:after="0" w:line="240" w:lineRule="auto"/>
        <w:rPr>
          <w:rFonts w:ascii="Times New Roman" w:hAnsi="Times New Roman"/>
          <w:sz w:val="24"/>
          <w:szCs w:val="24"/>
        </w:rPr>
      </w:pPr>
    </w:p>
    <w:p w:rsidR="00A70D39" w:rsidRPr="001107AD" w:rsidRDefault="00A70D39" w:rsidP="00A70D39">
      <w:pPr>
        <w:spacing w:after="0" w:line="240" w:lineRule="auto"/>
        <w:rPr>
          <w:rFonts w:ascii="Times New Roman" w:hAnsi="Times New Roman"/>
          <w:b/>
          <w:sz w:val="24"/>
          <w:szCs w:val="24"/>
        </w:rPr>
      </w:pPr>
      <w:r w:rsidRPr="001107AD">
        <w:rPr>
          <w:rFonts w:ascii="Times New Roman" w:hAnsi="Times New Roman"/>
          <w:b/>
          <w:sz w:val="24"/>
          <w:szCs w:val="24"/>
        </w:rPr>
        <w:t>K</w:t>
      </w:r>
      <w:r>
        <w:rPr>
          <w:rFonts w:ascii="Times New Roman" w:hAnsi="Times New Roman"/>
          <w:b/>
          <w:sz w:val="24"/>
          <w:szCs w:val="24"/>
        </w:rPr>
        <w:t> </w:t>
      </w:r>
      <w:r w:rsidRPr="001107AD">
        <w:rPr>
          <w:rFonts w:ascii="Times New Roman" w:hAnsi="Times New Roman"/>
          <w:b/>
          <w:sz w:val="24"/>
          <w:szCs w:val="24"/>
        </w:rPr>
        <w:t>bod</w:t>
      </w:r>
      <w:r>
        <w:rPr>
          <w:rFonts w:ascii="Times New Roman" w:hAnsi="Times New Roman"/>
          <w:b/>
          <w:sz w:val="24"/>
          <w:szCs w:val="24"/>
        </w:rPr>
        <w:t>om 59 a 60</w:t>
      </w:r>
    </w:p>
    <w:p w:rsidR="00A70D39" w:rsidRPr="001107AD" w:rsidRDefault="00A70D39" w:rsidP="00A70D39">
      <w:pPr>
        <w:spacing w:after="0" w:line="240" w:lineRule="auto"/>
        <w:jc w:val="both"/>
        <w:rPr>
          <w:rFonts w:ascii="Times New Roman" w:hAnsi="Times New Roman"/>
          <w:sz w:val="24"/>
          <w:szCs w:val="24"/>
        </w:rPr>
      </w:pPr>
      <w:r w:rsidRPr="001107AD">
        <w:rPr>
          <w:rFonts w:ascii="Times New Roman" w:hAnsi="Times New Roman"/>
          <w:sz w:val="24"/>
          <w:szCs w:val="24"/>
        </w:rPr>
        <w:t>Dopĺňajú sa prílohy k žiadosti o vydanie povolenia na zastupovanie splnomocnencom pre zásielkový obchod.</w:t>
      </w:r>
      <w:r>
        <w:rPr>
          <w:rFonts w:ascii="Times New Roman" w:hAnsi="Times New Roman"/>
          <w:sz w:val="24"/>
          <w:szCs w:val="24"/>
        </w:rPr>
        <w:t xml:space="preserve"> Zároveň sa zavádza povinnosť oznamovať zmeny údajov.</w:t>
      </w:r>
    </w:p>
    <w:p w:rsidR="00A70D39" w:rsidRPr="001107AD" w:rsidRDefault="00A70D39" w:rsidP="00A70D39">
      <w:pPr>
        <w:spacing w:after="0" w:line="240" w:lineRule="auto"/>
        <w:rPr>
          <w:rFonts w:ascii="Times New Roman" w:hAnsi="Times New Roman"/>
          <w:sz w:val="24"/>
          <w:szCs w:val="24"/>
        </w:rPr>
      </w:pPr>
    </w:p>
    <w:p w:rsidR="00A70D39" w:rsidRPr="001107AD" w:rsidRDefault="00A70D39" w:rsidP="00A70D39">
      <w:pPr>
        <w:spacing w:after="0" w:line="240" w:lineRule="auto"/>
        <w:rPr>
          <w:rFonts w:ascii="Times New Roman" w:hAnsi="Times New Roman"/>
          <w:b/>
          <w:sz w:val="24"/>
          <w:szCs w:val="24"/>
        </w:rPr>
      </w:pPr>
      <w:r w:rsidRPr="001107AD">
        <w:rPr>
          <w:rFonts w:ascii="Times New Roman" w:hAnsi="Times New Roman"/>
          <w:b/>
          <w:sz w:val="24"/>
          <w:szCs w:val="24"/>
        </w:rPr>
        <w:t>K bod</w:t>
      </w:r>
      <w:r>
        <w:rPr>
          <w:rFonts w:ascii="Times New Roman" w:hAnsi="Times New Roman"/>
          <w:b/>
          <w:sz w:val="24"/>
          <w:szCs w:val="24"/>
        </w:rPr>
        <w:t>om</w:t>
      </w:r>
      <w:r w:rsidRPr="001107AD">
        <w:rPr>
          <w:rFonts w:ascii="Times New Roman" w:hAnsi="Times New Roman"/>
          <w:b/>
          <w:sz w:val="24"/>
          <w:szCs w:val="24"/>
        </w:rPr>
        <w:t xml:space="preserve"> </w:t>
      </w:r>
      <w:r>
        <w:rPr>
          <w:rFonts w:ascii="Times New Roman" w:hAnsi="Times New Roman"/>
          <w:b/>
          <w:sz w:val="24"/>
          <w:szCs w:val="24"/>
        </w:rPr>
        <w:t>61, 62 a 64</w:t>
      </w:r>
    </w:p>
    <w:p w:rsidR="00A70D39" w:rsidRPr="001107AD" w:rsidRDefault="00A70D39" w:rsidP="00A70D39">
      <w:pPr>
        <w:spacing w:after="0" w:line="240" w:lineRule="auto"/>
        <w:jc w:val="both"/>
        <w:rPr>
          <w:rFonts w:ascii="Times New Roman" w:hAnsi="Times New Roman"/>
          <w:sz w:val="24"/>
          <w:szCs w:val="24"/>
        </w:rPr>
      </w:pPr>
      <w:r w:rsidRPr="001107AD">
        <w:rPr>
          <w:rFonts w:ascii="Times New Roman" w:hAnsi="Times New Roman"/>
          <w:sz w:val="24"/>
          <w:szCs w:val="24"/>
        </w:rPr>
        <w:t>Legislatívno-technická úprava súvisiaca so zavedením nového typu osoby, ktorou je schválený príjemca a schválený odosielateľ.</w:t>
      </w:r>
    </w:p>
    <w:p w:rsidR="00A70D39" w:rsidRPr="001107AD" w:rsidRDefault="00A70D39" w:rsidP="00A70D39">
      <w:pPr>
        <w:spacing w:after="0" w:line="240" w:lineRule="auto"/>
        <w:jc w:val="both"/>
        <w:rPr>
          <w:rFonts w:ascii="Times New Roman" w:hAnsi="Times New Roman"/>
          <w:sz w:val="24"/>
          <w:szCs w:val="24"/>
        </w:rPr>
      </w:pPr>
    </w:p>
    <w:p w:rsidR="00A70D39" w:rsidRDefault="00A70D39" w:rsidP="00A70D39">
      <w:pPr>
        <w:spacing w:after="0" w:line="240" w:lineRule="auto"/>
        <w:rPr>
          <w:rFonts w:ascii="Times New Roman" w:hAnsi="Times New Roman"/>
          <w:b/>
          <w:sz w:val="24"/>
          <w:szCs w:val="24"/>
        </w:rPr>
      </w:pPr>
      <w:r>
        <w:rPr>
          <w:rFonts w:ascii="Times New Roman" w:hAnsi="Times New Roman"/>
          <w:b/>
          <w:sz w:val="24"/>
          <w:szCs w:val="24"/>
        </w:rPr>
        <w:t>K bodu 63</w:t>
      </w:r>
    </w:p>
    <w:p w:rsidR="00A70D39" w:rsidRPr="0033299D" w:rsidRDefault="00A70D39" w:rsidP="00A70D39">
      <w:pPr>
        <w:spacing w:after="0" w:line="240" w:lineRule="auto"/>
        <w:rPr>
          <w:rFonts w:ascii="Times New Roman" w:hAnsi="Times New Roman"/>
          <w:sz w:val="24"/>
          <w:szCs w:val="24"/>
        </w:rPr>
      </w:pPr>
      <w:r w:rsidRPr="0033299D">
        <w:rPr>
          <w:rFonts w:ascii="Times New Roman" w:hAnsi="Times New Roman"/>
          <w:sz w:val="24"/>
          <w:szCs w:val="24"/>
        </w:rPr>
        <w:t>Ustanovuje sa povinnosť schváleného odosielateľa a schváleného príjemcu vie</w:t>
      </w:r>
      <w:r>
        <w:rPr>
          <w:rFonts w:ascii="Times New Roman" w:hAnsi="Times New Roman"/>
          <w:sz w:val="24"/>
          <w:szCs w:val="24"/>
        </w:rPr>
        <w:t>s</w:t>
      </w:r>
      <w:r w:rsidRPr="0033299D">
        <w:rPr>
          <w:rFonts w:ascii="Times New Roman" w:hAnsi="Times New Roman"/>
          <w:sz w:val="24"/>
          <w:szCs w:val="24"/>
        </w:rPr>
        <w:t>ť evidenciu.</w:t>
      </w:r>
    </w:p>
    <w:p w:rsidR="00A70D39" w:rsidRDefault="00A70D39" w:rsidP="00A70D39">
      <w:pPr>
        <w:spacing w:after="0" w:line="240" w:lineRule="auto"/>
        <w:rPr>
          <w:rFonts w:ascii="Times New Roman" w:hAnsi="Times New Roman"/>
          <w:b/>
          <w:sz w:val="24"/>
          <w:szCs w:val="24"/>
        </w:rPr>
      </w:pPr>
    </w:p>
    <w:p w:rsidR="00A70D39" w:rsidRDefault="00A70D39" w:rsidP="00A70D39">
      <w:pPr>
        <w:spacing w:after="0" w:line="240" w:lineRule="auto"/>
        <w:rPr>
          <w:rFonts w:ascii="Times New Roman" w:hAnsi="Times New Roman"/>
          <w:b/>
          <w:sz w:val="24"/>
          <w:szCs w:val="24"/>
        </w:rPr>
      </w:pPr>
      <w:r>
        <w:rPr>
          <w:rFonts w:ascii="Times New Roman" w:hAnsi="Times New Roman"/>
          <w:b/>
          <w:sz w:val="24"/>
          <w:szCs w:val="24"/>
        </w:rPr>
        <w:t>K bodom 65 až 68</w:t>
      </w:r>
    </w:p>
    <w:p w:rsidR="00A70D39" w:rsidRPr="001107AD" w:rsidRDefault="00A70D39" w:rsidP="00A70D39">
      <w:pPr>
        <w:spacing w:after="0" w:line="240" w:lineRule="auto"/>
        <w:rPr>
          <w:rFonts w:ascii="Times New Roman" w:hAnsi="Times New Roman"/>
          <w:sz w:val="24"/>
          <w:szCs w:val="24"/>
        </w:rPr>
      </w:pPr>
      <w:r w:rsidRPr="001107AD">
        <w:rPr>
          <w:rFonts w:ascii="Times New Roman" w:hAnsi="Times New Roman"/>
          <w:sz w:val="24"/>
          <w:szCs w:val="24"/>
        </w:rPr>
        <w:t>Vzhľadom na navrhované zmeny sa zavádza povinnosť pre colný úrad viesť príslušnú evidenciu.</w:t>
      </w:r>
    </w:p>
    <w:p w:rsidR="00A70D39" w:rsidRDefault="00A70D39" w:rsidP="00A70D39">
      <w:pPr>
        <w:spacing w:after="0" w:line="240" w:lineRule="auto"/>
        <w:rPr>
          <w:rFonts w:ascii="Times New Roman" w:hAnsi="Times New Roman"/>
          <w:b/>
          <w:sz w:val="24"/>
          <w:szCs w:val="24"/>
        </w:rPr>
      </w:pPr>
    </w:p>
    <w:p w:rsidR="00A70D39" w:rsidRPr="001107AD" w:rsidRDefault="00A70D39" w:rsidP="00A70D39">
      <w:pPr>
        <w:spacing w:after="0" w:line="240" w:lineRule="auto"/>
        <w:rPr>
          <w:rFonts w:ascii="Times New Roman" w:hAnsi="Times New Roman"/>
          <w:b/>
          <w:sz w:val="24"/>
          <w:szCs w:val="24"/>
        </w:rPr>
      </w:pPr>
      <w:r w:rsidRPr="001107AD">
        <w:rPr>
          <w:rFonts w:ascii="Times New Roman" w:hAnsi="Times New Roman"/>
          <w:b/>
          <w:sz w:val="24"/>
          <w:szCs w:val="24"/>
        </w:rPr>
        <w:t xml:space="preserve">K bodu </w:t>
      </w:r>
      <w:r>
        <w:rPr>
          <w:rFonts w:ascii="Times New Roman" w:hAnsi="Times New Roman"/>
          <w:b/>
          <w:sz w:val="24"/>
          <w:szCs w:val="24"/>
        </w:rPr>
        <w:t>69</w:t>
      </w:r>
    </w:p>
    <w:p w:rsidR="00A70D39" w:rsidRPr="001107AD" w:rsidRDefault="00A70D39" w:rsidP="00A70D39">
      <w:pPr>
        <w:pStyle w:val="Default"/>
        <w:jc w:val="both"/>
      </w:pPr>
      <w:r>
        <w:t xml:space="preserve">V nadväznosti na zmenu smernice, ktorou sa mení smernica 92/83/EHS o zosúladení štruktúr spotrebných daní pre etanol a alkoholické nápoje  sa umožňuje </w:t>
      </w:r>
      <w:r w:rsidRPr="001107AD">
        <w:t xml:space="preserve">oslobodenie alkoholického nápoja určeného na použitie na výrobu </w:t>
      </w:r>
      <w:r>
        <w:t>výživových doplnkov, ktoré spĺňajú podmienku uvádzania do daňového voľného obehu v spotrebiteľskom balení najviac 0,15 l</w:t>
      </w:r>
      <w:r w:rsidRPr="001107AD">
        <w:t xml:space="preserve">. </w:t>
      </w:r>
    </w:p>
    <w:p w:rsidR="00A70D39" w:rsidRPr="001107AD" w:rsidRDefault="00A70D39" w:rsidP="00A70D39">
      <w:pPr>
        <w:spacing w:after="0" w:line="240" w:lineRule="auto"/>
        <w:rPr>
          <w:rFonts w:ascii="Times New Roman" w:hAnsi="Times New Roman"/>
          <w:b/>
          <w:sz w:val="24"/>
          <w:szCs w:val="24"/>
        </w:rPr>
      </w:pPr>
    </w:p>
    <w:p w:rsidR="00A70D39" w:rsidRDefault="00A70D39" w:rsidP="00A70D39">
      <w:pPr>
        <w:spacing w:after="0" w:line="240" w:lineRule="auto"/>
        <w:rPr>
          <w:rFonts w:ascii="Times New Roman" w:hAnsi="Times New Roman"/>
          <w:b/>
          <w:sz w:val="24"/>
          <w:szCs w:val="24"/>
        </w:rPr>
      </w:pPr>
      <w:r>
        <w:rPr>
          <w:rFonts w:ascii="Times New Roman" w:hAnsi="Times New Roman"/>
          <w:b/>
          <w:sz w:val="24"/>
          <w:szCs w:val="24"/>
        </w:rPr>
        <w:t>K bodu 70</w:t>
      </w:r>
    </w:p>
    <w:p w:rsidR="00A70D39" w:rsidRDefault="00A70D39" w:rsidP="00A70D39">
      <w:pPr>
        <w:spacing w:after="0" w:line="240" w:lineRule="auto"/>
        <w:jc w:val="both"/>
        <w:rPr>
          <w:rFonts w:ascii="Times New Roman" w:hAnsi="Times New Roman"/>
          <w:sz w:val="24"/>
          <w:szCs w:val="24"/>
        </w:rPr>
      </w:pPr>
      <w:r w:rsidRPr="00EB47E0">
        <w:rPr>
          <w:rFonts w:ascii="Times New Roman" w:hAnsi="Times New Roman"/>
          <w:sz w:val="24"/>
          <w:szCs w:val="24"/>
        </w:rPr>
        <w:t>Legislatívno-technická úprava</w:t>
      </w:r>
      <w:r>
        <w:rPr>
          <w:rFonts w:ascii="Times New Roman" w:hAnsi="Times New Roman"/>
          <w:sz w:val="24"/>
          <w:szCs w:val="24"/>
        </w:rPr>
        <w:t>. V</w:t>
      </w:r>
      <w:r w:rsidRPr="00EB47E0">
        <w:rPr>
          <w:rFonts w:ascii="Times New Roman" w:hAnsi="Times New Roman"/>
          <w:sz w:val="24"/>
          <w:szCs w:val="24"/>
        </w:rPr>
        <w:t xml:space="preserve"> nadväznosti na elektronizáciu prepravy v daňovom </w:t>
      </w:r>
      <w:r>
        <w:rPr>
          <w:rFonts w:ascii="Times New Roman" w:hAnsi="Times New Roman"/>
          <w:sz w:val="24"/>
          <w:szCs w:val="24"/>
        </w:rPr>
        <w:t xml:space="preserve">voľnom obehu sa denaturovaný lieh musí prepravovať s elektronickým dokumentom. </w:t>
      </w:r>
    </w:p>
    <w:p w:rsidR="00A70D39" w:rsidRDefault="00A70D39" w:rsidP="00A70D39">
      <w:pPr>
        <w:spacing w:after="0" w:line="240" w:lineRule="auto"/>
        <w:rPr>
          <w:rFonts w:ascii="Times New Roman" w:hAnsi="Times New Roman"/>
          <w:sz w:val="24"/>
          <w:szCs w:val="24"/>
        </w:rPr>
      </w:pPr>
    </w:p>
    <w:p w:rsidR="002151A5" w:rsidRDefault="002151A5" w:rsidP="00A70D39">
      <w:pPr>
        <w:spacing w:after="0" w:line="240" w:lineRule="auto"/>
        <w:rPr>
          <w:rFonts w:ascii="Times New Roman" w:hAnsi="Times New Roman"/>
          <w:b/>
          <w:sz w:val="24"/>
          <w:szCs w:val="24"/>
        </w:rPr>
      </w:pPr>
    </w:p>
    <w:p w:rsidR="00A70D39" w:rsidRDefault="00A70D39" w:rsidP="00A70D39">
      <w:pPr>
        <w:spacing w:after="0" w:line="240" w:lineRule="auto"/>
        <w:rPr>
          <w:rFonts w:ascii="Times New Roman" w:hAnsi="Times New Roman"/>
          <w:b/>
          <w:sz w:val="24"/>
          <w:szCs w:val="24"/>
        </w:rPr>
      </w:pPr>
      <w:r>
        <w:rPr>
          <w:rFonts w:ascii="Times New Roman" w:hAnsi="Times New Roman"/>
          <w:b/>
          <w:sz w:val="24"/>
          <w:szCs w:val="24"/>
        </w:rPr>
        <w:t>K bodu 71</w:t>
      </w:r>
    </w:p>
    <w:p w:rsidR="00A70D39" w:rsidRPr="000122A9" w:rsidRDefault="00A70D39" w:rsidP="00A70D39">
      <w:pPr>
        <w:spacing w:after="0" w:line="240" w:lineRule="auto"/>
        <w:rPr>
          <w:rFonts w:ascii="Times New Roman" w:hAnsi="Times New Roman"/>
          <w:sz w:val="24"/>
          <w:szCs w:val="24"/>
        </w:rPr>
      </w:pPr>
      <w:r w:rsidRPr="000122A9">
        <w:rPr>
          <w:rFonts w:ascii="Times New Roman" w:hAnsi="Times New Roman"/>
          <w:sz w:val="24"/>
          <w:szCs w:val="24"/>
        </w:rPr>
        <w:t>Upresňujú sa podmienky pre zaradenie do evidencie podnikov, ktoré používajú, prijímajú alebo vydávajú arómy oslobodené od dane.</w:t>
      </w:r>
    </w:p>
    <w:p w:rsidR="00A70D39" w:rsidRDefault="00A70D39" w:rsidP="00A70D39">
      <w:pPr>
        <w:spacing w:after="0" w:line="240" w:lineRule="auto"/>
        <w:rPr>
          <w:rFonts w:ascii="Times New Roman" w:hAnsi="Times New Roman"/>
          <w:b/>
          <w:sz w:val="24"/>
          <w:szCs w:val="24"/>
        </w:rPr>
      </w:pPr>
    </w:p>
    <w:p w:rsidR="00A70D39" w:rsidRPr="00EB47E0" w:rsidRDefault="00A70D39" w:rsidP="00A70D39">
      <w:pPr>
        <w:spacing w:after="0" w:line="240" w:lineRule="auto"/>
        <w:rPr>
          <w:rFonts w:ascii="Times New Roman" w:hAnsi="Times New Roman"/>
          <w:b/>
          <w:sz w:val="24"/>
          <w:szCs w:val="24"/>
        </w:rPr>
      </w:pPr>
      <w:r>
        <w:rPr>
          <w:rFonts w:ascii="Times New Roman" w:hAnsi="Times New Roman"/>
          <w:b/>
          <w:sz w:val="24"/>
          <w:szCs w:val="24"/>
        </w:rPr>
        <w:t>K bodu 72</w:t>
      </w:r>
    </w:p>
    <w:p w:rsidR="00A70D39" w:rsidRPr="00AC594A" w:rsidRDefault="00A70D39" w:rsidP="00A70D39">
      <w:pPr>
        <w:spacing w:after="0" w:line="240" w:lineRule="auto"/>
        <w:rPr>
          <w:rFonts w:ascii="Times New Roman" w:hAnsi="Times New Roman"/>
          <w:sz w:val="24"/>
          <w:szCs w:val="24"/>
        </w:rPr>
      </w:pPr>
      <w:r w:rsidRPr="00AC594A">
        <w:rPr>
          <w:rFonts w:ascii="Times New Roman" w:hAnsi="Times New Roman"/>
          <w:sz w:val="24"/>
          <w:szCs w:val="24"/>
        </w:rPr>
        <w:t>Spresnenie podmienok na vyradenie z evidencie podnikov</w:t>
      </w:r>
      <w:r w:rsidRPr="000122A9">
        <w:rPr>
          <w:rFonts w:ascii="Times New Roman" w:hAnsi="Times New Roman"/>
          <w:sz w:val="24"/>
          <w:szCs w:val="24"/>
        </w:rPr>
        <w:t>, ktoré používajú, prijímajú alebo vydávajú arómy oslobodené od dane.</w:t>
      </w:r>
    </w:p>
    <w:p w:rsidR="00A70D39" w:rsidRDefault="00A70D39" w:rsidP="00A70D39">
      <w:pPr>
        <w:spacing w:after="0" w:line="240" w:lineRule="auto"/>
        <w:rPr>
          <w:rFonts w:ascii="Times New Roman" w:hAnsi="Times New Roman"/>
          <w:b/>
          <w:sz w:val="24"/>
          <w:szCs w:val="24"/>
        </w:rPr>
      </w:pPr>
    </w:p>
    <w:p w:rsidR="00A70D39" w:rsidRDefault="00A70D39" w:rsidP="00A70D39">
      <w:pPr>
        <w:spacing w:after="0" w:line="240" w:lineRule="auto"/>
        <w:rPr>
          <w:rFonts w:ascii="Times New Roman" w:hAnsi="Times New Roman"/>
          <w:b/>
          <w:sz w:val="24"/>
          <w:szCs w:val="24"/>
        </w:rPr>
      </w:pPr>
      <w:r>
        <w:rPr>
          <w:rFonts w:ascii="Times New Roman" w:hAnsi="Times New Roman"/>
          <w:b/>
          <w:sz w:val="24"/>
          <w:szCs w:val="24"/>
        </w:rPr>
        <w:t>K bodu 74</w:t>
      </w:r>
    </w:p>
    <w:p w:rsidR="00A70D39" w:rsidRPr="00AC594A" w:rsidRDefault="00A70D39" w:rsidP="00A70D39">
      <w:pPr>
        <w:spacing w:after="0" w:line="240" w:lineRule="auto"/>
        <w:jc w:val="both"/>
        <w:rPr>
          <w:rFonts w:ascii="Times New Roman" w:hAnsi="Times New Roman"/>
          <w:sz w:val="24"/>
          <w:szCs w:val="24"/>
        </w:rPr>
      </w:pPr>
      <w:r>
        <w:rPr>
          <w:rFonts w:ascii="Times New Roman" w:hAnsi="Times New Roman"/>
          <w:sz w:val="24"/>
          <w:szCs w:val="24"/>
        </w:rPr>
        <w:t>Z dôvodu efektívnejšieho využitia personálnych kapacít správcu dane sa u</w:t>
      </w:r>
      <w:r w:rsidRPr="00AC594A">
        <w:rPr>
          <w:rFonts w:ascii="Times New Roman" w:hAnsi="Times New Roman"/>
          <w:sz w:val="24"/>
          <w:szCs w:val="24"/>
        </w:rPr>
        <w:t xml:space="preserve">púšťa od </w:t>
      </w:r>
      <w:r>
        <w:rPr>
          <w:rFonts w:ascii="Times New Roman" w:hAnsi="Times New Roman"/>
          <w:sz w:val="24"/>
          <w:szCs w:val="24"/>
        </w:rPr>
        <w:t xml:space="preserve">trvalej prítomnosti správcu dane v daňovom sklade, ktorým je </w:t>
      </w:r>
      <w:r w:rsidRPr="00AC594A">
        <w:rPr>
          <w:rFonts w:ascii="Times New Roman" w:hAnsi="Times New Roman"/>
          <w:sz w:val="24"/>
          <w:szCs w:val="24"/>
        </w:rPr>
        <w:t xml:space="preserve"> </w:t>
      </w:r>
      <w:r>
        <w:rPr>
          <w:rFonts w:ascii="Times New Roman" w:hAnsi="Times New Roman"/>
          <w:sz w:val="24"/>
          <w:szCs w:val="24"/>
        </w:rPr>
        <w:t>liehovar na destiláty.</w:t>
      </w:r>
    </w:p>
    <w:p w:rsidR="00A70D39" w:rsidRDefault="00A70D39" w:rsidP="00A70D39">
      <w:pPr>
        <w:spacing w:after="0" w:line="240" w:lineRule="auto"/>
        <w:rPr>
          <w:rFonts w:ascii="Times New Roman" w:hAnsi="Times New Roman"/>
          <w:b/>
          <w:sz w:val="24"/>
          <w:szCs w:val="24"/>
        </w:rPr>
      </w:pPr>
    </w:p>
    <w:p w:rsidR="00A70D39" w:rsidRDefault="00A70D39" w:rsidP="00A70D39">
      <w:pPr>
        <w:spacing w:after="0" w:line="240" w:lineRule="auto"/>
        <w:rPr>
          <w:rFonts w:ascii="Times New Roman" w:hAnsi="Times New Roman"/>
          <w:b/>
          <w:sz w:val="24"/>
          <w:szCs w:val="24"/>
        </w:rPr>
      </w:pPr>
      <w:r>
        <w:rPr>
          <w:rFonts w:ascii="Times New Roman" w:hAnsi="Times New Roman"/>
          <w:b/>
          <w:sz w:val="24"/>
          <w:szCs w:val="24"/>
        </w:rPr>
        <w:t>K bodu 75</w:t>
      </w:r>
    </w:p>
    <w:p w:rsidR="00A70D39" w:rsidRPr="002330F9" w:rsidRDefault="00A70D39" w:rsidP="00A70D39">
      <w:pPr>
        <w:spacing w:after="0" w:line="240" w:lineRule="auto"/>
        <w:jc w:val="both"/>
        <w:rPr>
          <w:rFonts w:ascii="Times New Roman" w:hAnsi="Times New Roman"/>
          <w:sz w:val="24"/>
          <w:szCs w:val="24"/>
        </w:rPr>
      </w:pPr>
      <w:r w:rsidRPr="002330F9">
        <w:rPr>
          <w:rFonts w:ascii="Times New Roman" w:hAnsi="Times New Roman"/>
          <w:sz w:val="24"/>
          <w:szCs w:val="24"/>
        </w:rPr>
        <w:t>Z dôvodu znižovania záťaže colných úradov, ale aj daňových subjektov sa upúšťa od povinnosti zisťovať zásoby liehu u oprávnených príjemcov, a to aj z dôvodu, že možnosť uplatniť normy strát sa na nich nevzťahuje.</w:t>
      </w:r>
    </w:p>
    <w:p w:rsidR="00A70D39" w:rsidRDefault="00A70D39" w:rsidP="00A70D39">
      <w:pPr>
        <w:spacing w:after="0" w:line="240" w:lineRule="auto"/>
        <w:rPr>
          <w:rFonts w:ascii="Times New Roman" w:hAnsi="Times New Roman"/>
          <w:b/>
          <w:sz w:val="24"/>
          <w:szCs w:val="24"/>
        </w:rPr>
      </w:pPr>
    </w:p>
    <w:p w:rsidR="00A70D39" w:rsidRPr="001107AD" w:rsidRDefault="00A70D39" w:rsidP="00A70D39">
      <w:pPr>
        <w:spacing w:after="0" w:line="240" w:lineRule="auto"/>
        <w:rPr>
          <w:rFonts w:ascii="Times New Roman" w:hAnsi="Times New Roman"/>
          <w:b/>
          <w:sz w:val="24"/>
          <w:szCs w:val="24"/>
        </w:rPr>
      </w:pPr>
      <w:r w:rsidRPr="001107AD">
        <w:rPr>
          <w:rFonts w:ascii="Times New Roman" w:hAnsi="Times New Roman"/>
          <w:b/>
          <w:sz w:val="24"/>
          <w:szCs w:val="24"/>
        </w:rPr>
        <w:t xml:space="preserve">K bodu </w:t>
      </w:r>
      <w:r>
        <w:rPr>
          <w:rFonts w:ascii="Times New Roman" w:hAnsi="Times New Roman"/>
          <w:b/>
          <w:sz w:val="24"/>
          <w:szCs w:val="24"/>
        </w:rPr>
        <w:t>79</w:t>
      </w:r>
    </w:p>
    <w:p w:rsidR="00A70D39" w:rsidRPr="001107AD" w:rsidRDefault="00A70D39" w:rsidP="00A70D39">
      <w:pPr>
        <w:spacing w:after="0" w:line="240" w:lineRule="auto"/>
        <w:rPr>
          <w:rFonts w:ascii="Times New Roman" w:hAnsi="Times New Roman"/>
          <w:sz w:val="24"/>
          <w:szCs w:val="24"/>
        </w:rPr>
      </w:pPr>
      <w:r w:rsidRPr="001107AD">
        <w:rPr>
          <w:rFonts w:ascii="Times New Roman" w:hAnsi="Times New Roman"/>
          <w:sz w:val="24"/>
          <w:szCs w:val="24"/>
        </w:rPr>
        <w:t xml:space="preserve">Upravuje sa lehota na podanie daňového priznania a zaplatenie dane pestovateľom, ak si nechal vyrobiť väčšie než povolené množstvo destilátu.  </w:t>
      </w:r>
    </w:p>
    <w:p w:rsidR="00A70D39" w:rsidRPr="001107AD" w:rsidRDefault="00A70D39" w:rsidP="00A70D39">
      <w:pPr>
        <w:spacing w:after="0" w:line="240" w:lineRule="auto"/>
        <w:rPr>
          <w:rFonts w:ascii="Times New Roman" w:hAnsi="Times New Roman"/>
          <w:b/>
          <w:sz w:val="24"/>
          <w:szCs w:val="24"/>
        </w:rPr>
      </w:pPr>
    </w:p>
    <w:p w:rsidR="00A70D39" w:rsidRDefault="00A70D39" w:rsidP="00A70D39">
      <w:pPr>
        <w:spacing w:after="0" w:line="240" w:lineRule="auto"/>
        <w:rPr>
          <w:rFonts w:ascii="Times New Roman" w:hAnsi="Times New Roman"/>
          <w:b/>
          <w:sz w:val="24"/>
          <w:szCs w:val="24"/>
        </w:rPr>
      </w:pPr>
      <w:r>
        <w:rPr>
          <w:rFonts w:ascii="Times New Roman" w:hAnsi="Times New Roman"/>
          <w:b/>
          <w:sz w:val="24"/>
          <w:szCs w:val="24"/>
        </w:rPr>
        <w:t>K bodu 80</w:t>
      </w:r>
    </w:p>
    <w:p w:rsidR="00A70D39" w:rsidRPr="00F01BAD" w:rsidRDefault="00A70D39" w:rsidP="00A70D39">
      <w:pPr>
        <w:spacing w:after="0" w:line="240" w:lineRule="auto"/>
        <w:jc w:val="both"/>
        <w:rPr>
          <w:rFonts w:ascii="Times New Roman" w:hAnsi="Times New Roman"/>
          <w:sz w:val="24"/>
          <w:szCs w:val="24"/>
        </w:rPr>
      </w:pPr>
      <w:r w:rsidRPr="00F01BAD">
        <w:rPr>
          <w:rFonts w:ascii="Times New Roman" w:hAnsi="Times New Roman"/>
          <w:sz w:val="24"/>
          <w:szCs w:val="24"/>
        </w:rPr>
        <w:t>Z dôvodu predchádzania daňovým únikom</w:t>
      </w:r>
      <w:r>
        <w:rPr>
          <w:rFonts w:ascii="Times New Roman" w:hAnsi="Times New Roman"/>
          <w:sz w:val="24"/>
          <w:szCs w:val="24"/>
        </w:rPr>
        <w:t xml:space="preserve"> a v snahe znížiť mimoriadnu finančnú a administratívnu záťaž správcu dane</w:t>
      </w:r>
      <w:r w:rsidRPr="00F01BAD">
        <w:rPr>
          <w:rFonts w:ascii="Times New Roman" w:hAnsi="Times New Roman"/>
          <w:sz w:val="24"/>
          <w:szCs w:val="24"/>
        </w:rPr>
        <w:t xml:space="preserve"> sa zrušuje súkromná výroba destilátu. </w:t>
      </w:r>
    </w:p>
    <w:p w:rsidR="00A70D39" w:rsidRPr="00F01BAD" w:rsidRDefault="00A70D39" w:rsidP="00A70D39">
      <w:pPr>
        <w:spacing w:after="0" w:line="240" w:lineRule="auto"/>
        <w:rPr>
          <w:rFonts w:ascii="Times New Roman" w:hAnsi="Times New Roman"/>
          <w:sz w:val="24"/>
          <w:szCs w:val="24"/>
        </w:rPr>
      </w:pPr>
    </w:p>
    <w:p w:rsidR="00A70D39" w:rsidRPr="00F01BAD" w:rsidRDefault="00A70D39" w:rsidP="00A70D39">
      <w:pPr>
        <w:spacing w:after="0" w:line="240" w:lineRule="auto"/>
        <w:jc w:val="both"/>
        <w:rPr>
          <w:rFonts w:ascii="Times New Roman" w:hAnsi="Times New Roman"/>
          <w:sz w:val="24"/>
          <w:szCs w:val="24"/>
        </w:rPr>
      </w:pPr>
      <w:r w:rsidRPr="00F01BAD">
        <w:rPr>
          <w:rFonts w:ascii="Times New Roman" w:hAnsi="Times New Roman"/>
          <w:sz w:val="24"/>
          <w:szCs w:val="24"/>
        </w:rPr>
        <w:t>Zavedenie možnosti súkromnej výroby destilátu spôsobilo mimoriadne neefektívne vynakladanie peňažných prostriedkov na výkon daňovej kontroly výroby liehu súkromnými osobami. Od zavedenia súkromnej výroby 1.1.2019  plynuli príjmy do štátneho rozpočtu zo súkromnej výroby destilátu na spotrebnej dan</w:t>
      </w:r>
      <w:r>
        <w:rPr>
          <w:rFonts w:ascii="Times New Roman" w:hAnsi="Times New Roman"/>
          <w:sz w:val="24"/>
          <w:szCs w:val="24"/>
        </w:rPr>
        <w:t>i</w:t>
      </w:r>
      <w:r w:rsidRPr="00F01BAD">
        <w:rPr>
          <w:rFonts w:ascii="Times New Roman" w:hAnsi="Times New Roman"/>
          <w:sz w:val="24"/>
          <w:szCs w:val="24"/>
        </w:rPr>
        <w:t xml:space="preserve"> vo výške 2 160 eur, pričom náklady na správu dane sú niekoľkonásobne vyššie. Súčasne forma zdaňovania - vyrubenie dane, povinnosť podať daňové priznanie si vyžaduje značné finančné náklady na úpravu informačných systémov finančnej správy, ktoré doteraz neboli realizované z dôvodu, že výnos na spotrebnej dani je v nepriamej úmere vo vzťahu k predbežným nákladom na úpravu informačných systémov. Aktuálne je colnými úradmi evidovaných 26 súkromných výrobcov destilátu, pričom paušálna ročná výška spotrebnej dane je 135 eur. </w:t>
      </w:r>
    </w:p>
    <w:p w:rsidR="00A70D39" w:rsidRPr="00F01BAD" w:rsidRDefault="00A70D39" w:rsidP="00A70D39">
      <w:pPr>
        <w:spacing w:after="0" w:line="240" w:lineRule="auto"/>
        <w:jc w:val="both"/>
        <w:rPr>
          <w:rFonts w:ascii="Times New Roman" w:hAnsi="Times New Roman"/>
          <w:sz w:val="24"/>
          <w:szCs w:val="24"/>
        </w:rPr>
      </w:pPr>
    </w:p>
    <w:p w:rsidR="00A70D39" w:rsidRDefault="00A70D39" w:rsidP="00A70D39">
      <w:pPr>
        <w:spacing w:after="0" w:line="240" w:lineRule="auto"/>
        <w:jc w:val="both"/>
        <w:rPr>
          <w:rFonts w:ascii="Times New Roman" w:hAnsi="Times New Roman"/>
          <w:sz w:val="24"/>
          <w:szCs w:val="24"/>
        </w:rPr>
      </w:pPr>
      <w:r w:rsidRPr="00F01BAD">
        <w:rPr>
          <w:rFonts w:ascii="Times New Roman" w:hAnsi="Times New Roman"/>
          <w:sz w:val="24"/>
          <w:szCs w:val="24"/>
        </w:rPr>
        <w:t>Zároveň sa znásobuje podozrenie z používania výrobných zariadení na nelegálnu výrobu liehu. Správca dane zaznamenal nárast predaja zariadení na výrobu liehu dovezených z krajín mimo Európskej únie. Následne sú odpredávané za hotovosť kupujúcimi – fyzickými osobami s trvalým pobytom mimo SR. V týchto prípadoch je veľká pravdepodobnosť, že predmetné destilačné zariadenia zostanú na území SR s rizikom podozrenia z porušenia § 253 ods. 2 zákona č. 300/2005 Z. z. Trestný zákon v znení neskorších predpisov za neoprávnené vyhotovenie alebo prechovávanie zariadenia na výrobu liehu.  </w:t>
      </w:r>
    </w:p>
    <w:p w:rsidR="00A70D39" w:rsidRDefault="00A70D39" w:rsidP="00A70D39">
      <w:pPr>
        <w:spacing w:after="0" w:line="240" w:lineRule="auto"/>
        <w:jc w:val="both"/>
        <w:rPr>
          <w:rFonts w:ascii="Times New Roman" w:hAnsi="Times New Roman"/>
          <w:sz w:val="24"/>
          <w:szCs w:val="24"/>
        </w:rPr>
      </w:pPr>
    </w:p>
    <w:p w:rsidR="00A70D39" w:rsidRPr="00F01BAD" w:rsidRDefault="00A70D39" w:rsidP="00A70D39">
      <w:pPr>
        <w:spacing w:after="0" w:line="240" w:lineRule="auto"/>
        <w:jc w:val="both"/>
        <w:rPr>
          <w:rFonts w:ascii="Times New Roman" w:hAnsi="Times New Roman"/>
          <w:sz w:val="24"/>
          <w:szCs w:val="24"/>
        </w:rPr>
      </w:pPr>
      <w:r>
        <w:rPr>
          <w:rFonts w:ascii="Times New Roman" w:hAnsi="Times New Roman"/>
          <w:sz w:val="24"/>
          <w:szCs w:val="24"/>
        </w:rPr>
        <w:t>Finančné riaditeľstvo SR vyčíslilo finančné náklady,  ktoré vznikli colným úradom v súvislosti  s výkonom daňového dozoru nad súkromnou výrobou destilátu, ako aj nad držbou destilačných zariadení určených na súkromnú výrobu destilátu v r. 2019 na 8 975 eur a v r. 2020 na 3 153 eur.</w:t>
      </w:r>
    </w:p>
    <w:p w:rsidR="00A70D39" w:rsidRDefault="00A70D39" w:rsidP="00A70D39">
      <w:pPr>
        <w:spacing w:after="0" w:line="240" w:lineRule="auto"/>
        <w:rPr>
          <w:rFonts w:ascii="Times New Roman" w:hAnsi="Times New Roman"/>
          <w:b/>
          <w:sz w:val="24"/>
          <w:szCs w:val="24"/>
        </w:rPr>
      </w:pPr>
    </w:p>
    <w:p w:rsidR="00A70D39" w:rsidRPr="001107AD" w:rsidRDefault="00A70D39" w:rsidP="00A70D39">
      <w:pPr>
        <w:spacing w:after="0" w:line="240" w:lineRule="auto"/>
        <w:rPr>
          <w:rFonts w:ascii="Times New Roman" w:hAnsi="Times New Roman"/>
          <w:b/>
          <w:sz w:val="24"/>
          <w:szCs w:val="24"/>
        </w:rPr>
      </w:pPr>
      <w:r w:rsidRPr="001107AD">
        <w:rPr>
          <w:rFonts w:ascii="Times New Roman" w:hAnsi="Times New Roman"/>
          <w:b/>
          <w:sz w:val="24"/>
          <w:szCs w:val="24"/>
        </w:rPr>
        <w:t xml:space="preserve">K bodom </w:t>
      </w:r>
      <w:r>
        <w:rPr>
          <w:rFonts w:ascii="Times New Roman" w:hAnsi="Times New Roman"/>
          <w:b/>
          <w:sz w:val="24"/>
          <w:szCs w:val="24"/>
        </w:rPr>
        <w:t>82</w:t>
      </w:r>
      <w:r w:rsidRPr="001107AD">
        <w:rPr>
          <w:rFonts w:ascii="Times New Roman" w:hAnsi="Times New Roman"/>
          <w:b/>
          <w:sz w:val="24"/>
          <w:szCs w:val="24"/>
        </w:rPr>
        <w:t xml:space="preserve"> a</w:t>
      </w:r>
      <w:r>
        <w:rPr>
          <w:rFonts w:ascii="Times New Roman" w:hAnsi="Times New Roman"/>
          <w:b/>
          <w:sz w:val="24"/>
          <w:szCs w:val="24"/>
        </w:rPr>
        <w:t>ž 84, 87</w:t>
      </w:r>
      <w:r w:rsidRPr="000122A9">
        <w:rPr>
          <w:rFonts w:ascii="Times New Roman" w:hAnsi="Times New Roman"/>
          <w:b/>
          <w:sz w:val="24"/>
          <w:szCs w:val="24"/>
        </w:rPr>
        <w:t xml:space="preserve"> až </w:t>
      </w:r>
      <w:r>
        <w:rPr>
          <w:rFonts w:ascii="Times New Roman" w:hAnsi="Times New Roman"/>
          <w:b/>
          <w:sz w:val="24"/>
          <w:szCs w:val="24"/>
        </w:rPr>
        <w:t>89, 91</w:t>
      </w:r>
      <w:r w:rsidRPr="00656806">
        <w:rPr>
          <w:rFonts w:ascii="Times New Roman" w:hAnsi="Times New Roman"/>
          <w:b/>
          <w:sz w:val="24"/>
          <w:szCs w:val="24"/>
        </w:rPr>
        <w:t>,</w:t>
      </w:r>
      <w:r>
        <w:rPr>
          <w:rFonts w:ascii="Times New Roman" w:hAnsi="Times New Roman"/>
          <w:b/>
          <w:sz w:val="24"/>
          <w:szCs w:val="24"/>
        </w:rPr>
        <w:t xml:space="preserve"> 92, 98, 102, 104, 105</w:t>
      </w:r>
    </w:p>
    <w:p w:rsidR="00A70D39" w:rsidRPr="001107AD" w:rsidRDefault="00A70D39" w:rsidP="00A70D39">
      <w:pPr>
        <w:spacing w:after="0" w:line="240" w:lineRule="auto"/>
        <w:jc w:val="both"/>
        <w:rPr>
          <w:rFonts w:ascii="Times New Roman" w:hAnsi="Times New Roman"/>
          <w:b/>
          <w:sz w:val="24"/>
          <w:szCs w:val="24"/>
        </w:rPr>
      </w:pPr>
      <w:r w:rsidRPr="001107AD">
        <w:rPr>
          <w:rFonts w:ascii="Times New Roman" w:hAnsi="Times New Roman"/>
          <w:sz w:val="24"/>
          <w:szCs w:val="24"/>
        </w:rPr>
        <w:t>Legislatívno</w:t>
      </w:r>
      <w:r>
        <w:rPr>
          <w:rFonts w:ascii="Times New Roman" w:hAnsi="Times New Roman"/>
          <w:sz w:val="24"/>
          <w:szCs w:val="24"/>
        </w:rPr>
        <w:t>-</w:t>
      </w:r>
      <w:r w:rsidRPr="001107AD">
        <w:rPr>
          <w:rFonts w:ascii="Times New Roman" w:hAnsi="Times New Roman"/>
          <w:sz w:val="24"/>
          <w:szCs w:val="24"/>
        </w:rPr>
        <w:t>technické úpravy vzhľadom na navrhované zmeny</w:t>
      </w:r>
      <w:r>
        <w:rPr>
          <w:rFonts w:ascii="Times New Roman" w:hAnsi="Times New Roman"/>
          <w:sz w:val="24"/>
          <w:szCs w:val="24"/>
        </w:rPr>
        <w:t xml:space="preserve"> týkajúce sa schváleného príjemcu a odosielateľa</w:t>
      </w:r>
      <w:r w:rsidRPr="001107AD">
        <w:rPr>
          <w:rFonts w:ascii="Times New Roman" w:hAnsi="Times New Roman"/>
          <w:sz w:val="24"/>
          <w:szCs w:val="24"/>
        </w:rPr>
        <w:t>.</w:t>
      </w:r>
    </w:p>
    <w:p w:rsidR="00A70D39" w:rsidRPr="001107AD" w:rsidRDefault="00A70D39" w:rsidP="00A70D39">
      <w:pPr>
        <w:spacing w:after="0" w:line="240" w:lineRule="auto"/>
        <w:rPr>
          <w:rFonts w:ascii="Times New Roman" w:hAnsi="Times New Roman"/>
          <w:b/>
          <w:sz w:val="24"/>
          <w:szCs w:val="24"/>
        </w:rPr>
      </w:pPr>
    </w:p>
    <w:p w:rsidR="00A70D39" w:rsidRPr="001107AD" w:rsidRDefault="00A70D39" w:rsidP="00A70D39">
      <w:pPr>
        <w:spacing w:after="0" w:line="240" w:lineRule="auto"/>
        <w:rPr>
          <w:rFonts w:ascii="Times New Roman" w:hAnsi="Times New Roman"/>
          <w:b/>
          <w:sz w:val="24"/>
          <w:szCs w:val="24"/>
        </w:rPr>
      </w:pPr>
      <w:r w:rsidRPr="001107AD">
        <w:rPr>
          <w:rFonts w:ascii="Times New Roman" w:hAnsi="Times New Roman"/>
          <w:b/>
          <w:sz w:val="24"/>
          <w:szCs w:val="24"/>
        </w:rPr>
        <w:t xml:space="preserve">K bodu </w:t>
      </w:r>
      <w:r>
        <w:rPr>
          <w:rFonts w:ascii="Times New Roman" w:hAnsi="Times New Roman"/>
          <w:b/>
          <w:sz w:val="24"/>
          <w:szCs w:val="24"/>
        </w:rPr>
        <w:t>85</w:t>
      </w:r>
    </w:p>
    <w:p w:rsidR="00A70D39" w:rsidRPr="001107AD" w:rsidRDefault="00A70D39" w:rsidP="00A70D39">
      <w:pPr>
        <w:spacing w:after="0" w:line="240" w:lineRule="auto"/>
        <w:jc w:val="both"/>
        <w:rPr>
          <w:rFonts w:ascii="Times New Roman" w:hAnsi="Times New Roman"/>
          <w:sz w:val="24"/>
          <w:szCs w:val="24"/>
        </w:rPr>
      </w:pPr>
      <w:r w:rsidRPr="001107AD">
        <w:rPr>
          <w:rFonts w:ascii="Times New Roman" w:hAnsi="Times New Roman"/>
          <w:sz w:val="24"/>
          <w:szCs w:val="24"/>
        </w:rPr>
        <w:t xml:space="preserve">V nadväznosti na úpravu v bode </w:t>
      </w:r>
      <w:r>
        <w:rPr>
          <w:rFonts w:ascii="Times New Roman" w:hAnsi="Times New Roman"/>
          <w:sz w:val="24"/>
          <w:szCs w:val="24"/>
        </w:rPr>
        <w:t>5</w:t>
      </w:r>
      <w:r w:rsidRPr="001107AD">
        <w:rPr>
          <w:rFonts w:ascii="Times New Roman" w:hAnsi="Times New Roman"/>
          <w:sz w:val="24"/>
          <w:szCs w:val="24"/>
        </w:rPr>
        <w:t xml:space="preserve"> sa povinnosť označovať spotrebiteľské balenia liehu nevzťahuje na lieh prepravovaný ozbrojenými silami. </w:t>
      </w:r>
    </w:p>
    <w:p w:rsidR="00A70D39" w:rsidRPr="001107AD" w:rsidRDefault="00A70D39" w:rsidP="00A70D39">
      <w:pPr>
        <w:spacing w:after="0" w:line="240" w:lineRule="auto"/>
        <w:rPr>
          <w:rFonts w:ascii="Times New Roman" w:hAnsi="Times New Roman"/>
          <w:sz w:val="24"/>
          <w:szCs w:val="24"/>
        </w:rPr>
      </w:pPr>
    </w:p>
    <w:p w:rsidR="00A70D39" w:rsidRDefault="00A70D39" w:rsidP="00A70D39">
      <w:pPr>
        <w:spacing w:after="0" w:line="240" w:lineRule="auto"/>
        <w:rPr>
          <w:rFonts w:ascii="Times New Roman" w:hAnsi="Times New Roman"/>
          <w:b/>
          <w:sz w:val="24"/>
          <w:szCs w:val="24"/>
        </w:rPr>
      </w:pPr>
      <w:r w:rsidRPr="001107AD">
        <w:rPr>
          <w:rFonts w:ascii="Times New Roman" w:hAnsi="Times New Roman"/>
          <w:b/>
          <w:sz w:val="24"/>
          <w:szCs w:val="24"/>
        </w:rPr>
        <w:t xml:space="preserve">K bodu </w:t>
      </w:r>
      <w:r>
        <w:rPr>
          <w:rFonts w:ascii="Times New Roman" w:hAnsi="Times New Roman"/>
          <w:b/>
          <w:sz w:val="24"/>
          <w:szCs w:val="24"/>
        </w:rPr>
        <w:t>86</w:t>
      </w:r>
    </w:p>
    <w:p w:rsidR="00A70D39" w:rsidRPr="00F01BAD" w:rsidRDefault="00A70D39" w:rsidP="00A70D39">
      <w:pPr>
        <w:spacing w:after="0" w:line="240" w:lineRule="auto"/>
        <w:jc w:val="both"/>
        <w:rPr>
          <w:rFonts w:ascii="Times New Roman" w:hAnsi="Times New Roman"/>
          <w:sz w:val="24"/>
          <w:szCs w:val="24"/>
        </w:rPr>
      </w:pPr>
      <w:r w:rsidRPr="00F01BAD">
        <w:rPr>
          <w:rFonts w:ascii="Times New Roman" w:hAnsi="Times New Roman"/>
          <w:sz w:val="24"/>
          <w:szCs w:val="24"/>
        </w:rPr>
        <w:t>Ustanovenie sa spresňuje tak, aby bolo zrejmé, že dovozca je povinný zložiť zábezpeku na daň pred každým dovoz</w:t>
      </w:r>
      <w:r>
        <w:rPr>
          <w:rFonts w:ascii="Times New Roman" w:hAnsi="Times New Roman"/>
          <w:sz w:val="24"/>
          <w:szCs w:val="24"/>
        </w:rPr>
        <w:t>om</w:t>
      </w:r>
      <w:r w:rsidRPr="00F01BAD">
        <w:rPr>
          <w:rFonts w:ascii="Times New Roman" w:hAnsi="Times New Roman"/>
          <w:sz w:val="24"/>
          <w:szCs w:val="24"/>
        </w:rPr>
        <w:t xml:space="preserve"> spotrebiteľského balenia.</w:t>
      </w:r>
    </w:p>
    <w:p w:rsidR="00A70D39" w:rsidRDefault="00A70D39" w:rsidP="00A70D39">
      <w:pPr>
        <w:spacing w:after="0" w:line="240" w:lineRule="auto"/>
        <w:rPr>
          <w:rFonts w:ascii="Times New Roman" w:hAnsi="Times New Roman"/>
          <w:b/>
          <w:sz w:val="24"/>
          <w:szCs w:val="24"/>
        </w:rPr>
      </w:pPr>
    </w:p>
    <w:p w:rsidR="00A70D39" w:rsidRDefault="00A70D39" w:rsidP="00A70D39">
      <w:pPr>
        <w:spacing w:after="0" w:line="240" w:lineRule="auto"/>
        <w:rPr>
          <w:rFonts w:ascii="Times New Roman" w:hAnsi="Times New Roman"/>
          <w:b/>
          <w:sz w:val="24"/>
          <w:szCs w:val="24"/>
        </w:rPr>
      </w:pPr>
      <w:r w:rsidRPr="001107AD">
        <w:rPr>
          <w:rFonts w:ascii="Times New Roman" w:hAnsi="Times New Roman"/>
          <w:b/>
          <w:sz w:val="24"/>
          <w:szCs w:val="24"/>
        </w:rPr>
        <w:t xml:space="preserve">K bodu </w:t>
      </w:r>
      <w:r>
        <w:rPr>
          <w:rFonts w:ascii="Times New Roman" w:hAnsi="Times New Roman"/>
          <w:b/>
          <w:sz w:val="24"/>
          <w:szCs w:val="24"/>
        </w:rPr>
        <w:t>93</w:t>
      </w:r>
    </w:p>
    <w:p w:rsidR="00A70D39" w:rsidRPr="005B5D9A" w:rsidRDefault="00A70D39" w:rsidP="00A70D39">
      <w:pPr>
        <w:spacing w:after="0" w:line="240" w:lineRule="auto"/>
        <w:jc w:val="both"/>
        <w:rPr>
          <w:rFonts w:ascii="Times New Roman" w:hAnsi="Times New Roman"/>
          <w:sz w:val="24"/>
          <w:szCs w:val="24"/>
        </w:rPr>
      </w:pPr>
      <w:r w:rsidRPr="005B5D9A">
        <w:rPr>
          <w:rFonts w:ascii="Times New Roman" w:hAnsi="Times New Roman"/>
          <w:sz w:val="24"/>
          <w:szCs w:val="24"/>
        </w:rPr>
        <w:t>Upravuje sa spôsob zaokrúhľovania konečného stavu nenávratne zničených kontrolných známok.</w:t>
      </w:r>
    </w:p>
    <w:p w:rsidR="00A70D39" w:rsidRDefault="00A70D39" w:rsidP="00A70D39">
      <w:pPr>
        <w:spacing w:after="0" w:line="240" w:lineRule="auto"/>
        <w:rPr>
          <w:rFonts w:ascii="Times New Roman" w:hAnsi="Times New Roman"/>
          <w:b/>
          <w:sz w:val="24"/>
          <w:szCs w:val="24"/>
        </w:rPr>
      </w:pPr>
    </w:p>
    <w:p w:rsidR="00A70D39" w:rsidRPr="00557D73" w:rsidRDefault="00A70D39" w:rsidP="00A70D39">
      <w:pPr>
        <w:spacing w:after="0" w:line="240" w:lineRule="auto"/>
        <w:rPr>
          <w:rFonts w:ascii="Times New Roman" w:hAnsi="Times New Roman"/>
          <w:b/>
          <w:sz w:val="24"/>
          <w:szCs w:val="24"/>
        </w:rPr>
      </w:pPr>
      <w:r w:rsidRPr="00557D73">
        <w:rPr>
          <w:rFonts w:ascii="Times New Roman" w:hAnsi="Times New Roman"/>
          <w:b/>
          <w:sz w:val="24"/>
          <w:szCs w:val="24"/>
        </w:rPr>
        <w:t xml:space="preserve">K bodu </w:t>
      </w:r>
      <w:r>
        <w:rPr>
          <w:rFonts w:ascii="Times New Roman" w:hAnsi="Times New Roman"/>
          <w:b/>
          <w:sz w:val="24"/>
          <w:szCs w:val="24"/>
        </w:rPr>
        <w:t>94</w:t>
      </w:r>
    </w:p>
    <w:p w:rsidR="00A70D39" w:rsidRPr="00543CA8" w:rsidRDefault="00A70D39" w:rsidP="00A70D39">
      <w:pPr>
        <w:spacing w:after="0" w:line="240" w:lineRule="auto"/>
        <w:jc w:val="both"/>
        <w:rPr>
          <w:rFonts w:ascii="Times New Roman" w:hAnsi="Times New Roman"/>
          <w:sz w:val="24"/>
          <w:szCs w:val="24"/>
        </w:rPr>
      </w:pPr>
      <w:r w:rsidRPr="00557D73">
        <w:rPr>
          <w:rFonts w:ascii="Times New Roman" w:hAnsi="Times New Roman"/>
          <w:sz w:val="24"/>
          <w:szCs w:val="24"/>
        </w:rPr>
        <w:t>Vedenie mesačnej evidencie odberateľom kontrolných známok sa spresňuje tak, aby bolo zrejmé, že v prípade nulového stavu kontrolných známok nie je povinný túto evidenciu viesť.</w:t>
      </w:r>
    </w:p>
    <w:p w:rsidR="00A70D39" w:rsidRDefault="00A70D39" w:rsidP="00A70D39">
      <w:pPr>
        <w:spacing w:after="0" w:line="240" w:lineRule="auto"/>
        <w:rPr>
          <w:rFonts w:ascii="Times New Roman" w:hAnsi="Times New Roman"/>
          <w:b/>
          <w:sz w:val="24"/>
          <w:szCs w:val="24"/>
        </w:rPr>
      </w:pPr>
    </w:p>
    <w:p w:rsidR="00A70D39" w:rsidRDefault="00A70D39" w:rsidP="00A70D39">
      <w:pPr>
        <w:spacing w:after="0" w:line="240" w:lineRule="auto"/>
        <w:rPr>
          <w:rFonts w:ascii="Times New Roman" w:hAnsi="Times New Roman"/>
          <w:b/>
          <w:sz w:val="24"/>
          <w:szCs w:val="24"/>
        </w:rPr>
      </w:pPr>
      <w:r>
        <w:rPr>
          <w:rFonts w:ascii="Times New Roman" w:hAnsi="Times New Roman"/>
          <w:b/>
          <w:sz w:val="24"/>
          <w:szCs w:val="24"/>
        </w:rPr>
        <w:t>K bodom  100, 101 a 103</w:t>
      </w:r>
    </w:p>
    <w:p w:rsidR="00A70D39" w:rsidRPr="00543CA8" w:rsidRDefault="00A70D39" w:rsidP="00A70D39">
      <w:pPr>
        <w:spacing w:after="0" w:line="240" w:lineRule="auto"/>
        <w:jc w:val="both"/>
        <w:rPr>
          <w:rFonts w:ascii="Times New Roman" w:hAnsi="Times New Roman"/>
          <w:sz w:val="24"/>
          <w:szCs w:val="24"/>
        </w:rPr>
      </w:pPr>
      <w:r w:rsidRPr="00543CA8">
        <w:rPr>
          <w:rFonts w:ascii="Times New Roman" w:hAnsi="Times New Roman"/>
          <w:sz w:val="24"/>
          <w:szCs w:val="24"/>
        </w:rPr>
        <w:t>Z dôvodu zníženia administratívnej záťaže daňových subjektov sa upúšťa od oznamovacej povinnosti osôb oprávnených na distribúciu SBL.</w:t>
      </w:r>
    </w:p>
    <w:p w:rsidR="00A70D39" w:rsidRDefault="00A70D39" w:rsidP="00A70D39">
      <w:pPr>
        <w:spacing w:after="0" w:line="240" w:lineRule="auto"/>
      </w:pPr>
    </w:p>
    <w:p w:rsidR="00A70D39" w:rsidRPr="001107AD" w:rsidRDefault="00A70D39" w:rsidP="00A70D39">
      <w:pPr>
        <w:spacing w:after="0" w:line="240" w:lineRule="auto"/>
        <w:rPr>
          <w:rFonts w:ascii="Times New Roman" w:hAnsi="Times New Roman"/>
          <w:b/>
          <w:sz w:val="24"/>
          <w:szCs w:val="24"/>
        </w:rPr>
      </w:pPr>
      <w:r>
        <w:rPr>
          <w:rFonts w:ascii="Times New Roman" w:hAnsi="Times New Roman"/>
          <w:b/>
          <w:sz w:val="24"/>
          <w:szCs w:val="24"/>
        </w:rPr>
        <w:t>K bodu 106</w:t>
      </w:r>
    </w:p>
    <w:p w:rsidR="00A70D39" w:rsidRPr="001107AD" w:rsidRDefault="00A70D39" w:rsidP="00A70D39">
      <w:pPr>
        <w:spacing w:after="0" w:line="240" w:lineRule="auto"/>
        <w:jc w:val="both"/>
        <w:rPr>
          <w:rFonts w:ascii="Times New Roman" w:hAnsi="Times New Roman"/>
          <w:sz w:val="24"/>
          <w:szCs w:val="24"/>
        </w:rPr>
      </w:pPr>
      <w:r w:rsidRPr="001107AD">
        <w:rPr>
          <w:rFonts w:ascii="Times New Roman" w:hAnsi="Times New Roman"/>
          <w:sz w:val="24"/>
          <w:szCs w:val="24"/>
        </w:rPr>
        <w:t>Ustanovujú sa podmienky, za ktorých je možné pivovar považovať za malý samostatný pivovar. V malom samostatnom pivovare sa ustanovuje maximálna ročná výroba piva, právna a hospodárska nezávislosť od iných pivovarov a nepovoľuje sa vyrábať pivo na základe licencie. Osoba, ktorá chce prevádzkovať malý samostatný pivovar je povinná požiadať colný úrad o</w:t>
      </w:r>
      <w:r>
        <w:rPr>
          <w:rFonts w:ascii="Times New Roman" w:hAnsi="Times New Roman"/>
          <w:sz w:val="24"/>
          <w:szCs w:val="24"/>
        </w:rPr>
        <w:t> zaradenie do evidencie prevádzkovateľov malých pivovarov</w:t>
      </w:r>
      <w:r w:rsidRPr="001107AD">
        <w:rPr>
          <w:rFonts w:ascii="Times New Roman" w:hAnsi="Times New Roman"/>
          <w:sz w:val="24"/>
          <w:szCs w:val="24"/>
        </w:rPr>
        <w:t>. Na pivo vyrobené v malom samostatnom pivovare sa uplatňuje znížená sadzba dane. Ak dôjde k prekročeniu maximálnej ročnej výrobnej kapacity piva, je prevádzkovateľ malého pivovaru povinný podať daňové priznanie a zaplatiť daň tak, aby bolo celé vyrobené množstvo piva zdanené základnou sadzbou dane.</w:t>
      </w:r>
    </w:p>
    <w:p w:rsidR="00A70D39" w:rsidRDefault="00A70D39" w:rsidP="00A70D39">
      <w:pPr>
        <w:spacing w:after="0" w:line="240" w:lineRule="auto"/>
        <w:jc w:val="both"/>
        <w:rPr>
          <w:rFonts w:ascii="Times New Roman" w:hAnsi="Times New Roman"/>
          <w:b/>
          <w:sz w:val="24"/>
          <w:szCs w:val="24"/>
        </w:rPr>
      </w:pPr>
    </w:p>
    <w:p w:rsidR="00A70D39" w:rsidRDefault="00A70D39" w:rsidP="00A70D39">
      <w:pPr>
        <w:spacing w:after="0" w:line="240" w:lineRule="auto"/>
        <w:jc w:val="both"/>
        <w:rPr>
          <w:rFonts w:ascii="Times New Roman" w:hAnsi="Times New Roman"/>
          <w:b/>
          <w:sz w:val="24"/>
          <w:szCs w:val="24"/>
        </w:rPr>
      </w:pPr>
      <w:r w:rsidRPr="001107AD">
        <w:rPr>
          <w:rFonts w:ascii="Times New Roman" w:hAnsi="Times New Roman"/>
          <w:b/>
          <w:sz w:val="24"/>
          <w:szCs w:val="24"/>
        </w:rPr>
        <w:t>K</w:t>
      </w:r>
      <w:r>
        <w:rPr>
          <w:rFonts w:ascii="Times New Roman" w:hAnsi="Times New Roman"/>
          <w:b/>
          <w:sz w:val="24"/>
          <w:szCs w:val="24"/>
        </w:rPr>
        <w:t> bodom 107, 108, 115, 116</w:t>
      </w:r>
    </w:p>
    <w:p w:rsidR="00A70D39" w:rsidRPr="00543CA8" w:rsidRDefault="00A70D39" w:rsidP="00A70D39">
      <w:pPr>
        <w:spacing w:after="0" w:line="240" w:lineRule="auto"/>
        <w:jc w:val="both"/>
        <w:rPr>
          <w:rFonts w:ascii="Times New Roman" w:hAnsi="Times New Roman"/>
          <w:sz w:val="24"/>
          <w:szCs w:val="24"/>
        </w:rPr>
      </w:pPr>
      <w:r w:rsidRPr="00543CA8">
        <w:rPr>
          <w:rFonts w:ascii="Times New Roman" w:hAnsi="Times New Roman"/>
          <w:sz w:val="24"/>
          <w:szCs w:val="24"/>
        </w:rPr>
        <w:t>Legislatívno</w:t>
      </w:r>
      <w:r>
        <w:rPr>
          <w:rFonts w:ascii="Times New Roman" w:hAnsi="Times New Roman"/>
          <w:sz w:val="24"/>
          <w:szCs w:val="24"/>
        </w:rPr>
        <w:t>-</w:t>
      </w:r>
      <w:r w:rsidRPr="00543CA8">
        <w:rPr>
          <w:rFonts w:ascii="Times New Roman" w:hAnsi="Times New Roman"/>
          <w:sz w:val="24"/>
          <w:szCs w:val="24"/>
        </w:rPr>
        <w:t>technick</w:t>
      </w:r>
      <w:r>
        <w:rPr>
          <w:rFonts w:ascii="Times New Roman" w:hAnsi="Times New Roman"/>
          <w:sz w:val="24"/>
          <w:szCs w:val="24"/>
        </w:rPr>
        <w:t>é</w:t>
      </w:r>
      <w:r w:rsidRPr="00543CA8">
        <w:rPr>
          <w:rFonts w:ascii="Times New Roman" w:hAnsi="Times New Roman"/>
          <w:sz w:val="24"/>
          <w:szCs w:val="24"/>
        </w:rPr>
        <w:t xml:space="preserve"> úprav</w:t>
      </w:r>
      <w:r>
        <w:rPr>
          <w:rFonts w:ascii="Times New Roman" w:hAnsi="Times New Roman"/>
          <w:sz w:val="24"/>
          <w:szCs w:val="24"/>
        </w:rPr>
        <w:t>y</w:t>
      </w:r>
      <w:r w:rsidRPr="00543CA8">
        <w:rPr>
          <w:rFonts w:ascii="Times New Roman" w:hAnsi="Times New Roman"/>
          <w:sz w:val="24"/>
          <w:szCs w:val="24"/>
        </w:rPr>
        <w:t xml:space="preserve"> v nadväznosti na zrušenie súkromnej výroby destilátu.</w:t>
      </w:r>
    </w:p>
    <w:p w:rsidR="00A70D39" w:rsidRDefault="00A70D39" w:rsidP="00A70D39">
      <w:pPr>
        <w:spacing w:after="0" w:line="240" w:lineRule="auto"/>
        <w:jc w:val="both"/>
        <w:rPr>
          <w:rFonts w:ascii="Times New Roman" w:hAnsi="Times New Roman"/>
          <w:b/>
          <w:sz w:val="24"/>
          <w:szCs w:val="24"/>
        </w:rPr>
      </w:pPr>
    </w:p>
    <w:p w:rsidR="00A70D39" w:rsidRDefault="00A70D39" w:rsidP="00A70D39">
      <w:pPr>
        <w:spacing w:after="0" w:line="240" w:lineRule="auto"/>
        <w:jc w:val="both"/>
        <w:rPr>
          <w:rFonts w:ascii="Times New Roman" w:hAnsi="Times New Roman"/>
          <w:b/>
          <w:sz w:val="24"/>
          <w:szCs w:val="24"/>
        </w:rPr>
      </w:pPr>
      <w:r>
        <w:rPr>
          <w:rFonts w:ascii="Times New Roman" w:hAnsi="Times New Roman"/>
          <w:b/>
          <w:sz w:val="24"/>
          <w:szCs w:val="24"/>
        </w:rPr>
        <w:t>K bodu 109</w:t>
      </w:r>
    </w:p>
    <w:p w:rsidR="00A70D39" w:rsidRPr="009B0852" w:rsidRDefault="00A70D39" w:rsidP="00A70D39">
      <w:pPr>
        <w:spacing w:after="0" w:line="240" w:lineRule="auto"/>
        <w:jc w:val="both"/>
        <w:rPr>
          <w:rFonts w:ascii="Times New Roman" w:hAnsi="Times New Roman"/>
          <w:sz w:val="24"/>
          <w:szCs w:val="24"/>
        </w:rPr>
      </w:pPr>
      <w:r w:rsidRPr="009B0852">
        <w:rPr>
          <w:rFonts w:ascii="Times New Roman" w:hAnsi="Times New Roman"/>
          <w:sz w:val="24"/>
          <w:szCs w:val="24"/>
        </w:rPr>
        <w:t xml:space="preserve">Spresnenie znenia </w:t>
      </w:r>
      <w:r>
        <w:rPr>
          <w:rFonts w:ascii="Times New Roman" w:hAnsi="Times New Roman"/>
          <w:sz w:val="24"/>
          <w:szCs w:val="24"/>
        </w:rPr>
        <w:t>správneho deliktu</w:t>
      </w:r>
      <w:r w:rsidRPr="009B0852">
        <w:rPr>
          <w:rFonts w:ascii="Times New Roman" w:hAnsi="Times New Roman"/>
          <w:sz w:val="24"/>
          <w:szCs w:val="24"/>
        </w:rPr>
        <w:t>.</w:t>
      </w:r>
    </w:p>
    <w:p w:rsidR="00A70D39" w:rsidRDefault="00A70D39" w:rsidP="00A70D39">
      <w:pPr>
        <w:spacing w:after="0" w:line="240" w:lineRule="auto"/>
        <w:jc w:val="both"/>
        <w:rPr>
          <w:rFonts w:ascii="Times New Roman" w:hAnsi="Times New Roman"/>
          <w:b/>
          <w:sz w:val="24"/>
          <w:szCs w:val="24"/>
        </w:rPr>
      </w:pPr>
    </w:p>
    <w:p w:rsidR="00A70D39" w:rsidRPr="001107AD" w:rsidRDefault="00A70D39" w:rsidP="00A70D39">
      <w:pPr>
        <w:spacing w:after="0" w:line="240" w:lineRule="auto"/>
        <w:jc w:val="both"/>
        <w:rPr>
          <w:rFonts w:ascii="Times New Roman" w:hAnsi="Times New Roman"/>
          <w:b/>
          <w:sz w:val="24"/>
          <w:szCs w:val="24"/>
        </w:rPr>
      </w:pPr>
      <w:r>
        <w:rPr>
          <w:rFonts w:ascii="Times New Roman" w:hAnsi="Times New Roman"/>
          <w:b/>
          <w:sz w:val="24"/>
          <w:szCs w:val="24"/>
        </w:rPr>
        <w:t xml:space="preserve">K </w:t>
      </w:r>
      <w:r w:rsidRPr="001107AD">
        <w:rPr>
          <w:rFonts w:ascii="Times New Roman" w:hAnsi="Times New Roman"/>
          <w:b/>
          <w:sz w:val="24"/>
          <w:szCs w:val="24"/>
        </w:rPr>
        <w:t xml:space="preserve">bodom </w:t>
      </w:r>
      <w:r>
        <w:rPr>
          <w:rFonts w:ascii="Times New Roman" w:hAnsi="Times New Roman"/>
          <w:b/>
          <w:sz w:val="24"/>
          <w:szCs w:val="24"/>
        </w:rPr>
        <w:t>110 a 113</w:t>
      </w:r>
    </w:p>
    <w:p w:rsidR="00A70D39" w:rsidRPr="001107AD" w:rsidRDefault="00A70D39" w:rsidP="00A70D39">
      <w:pPr>
        <w:spacing w:after="0" w:line="240" w:lineRule="auto"/>
        <w:jc w:val="both"/>
        <w:rPr>
          <w:rFonts w:ascii="Times New Roman" w:hAnsi="Times New Roman"/>
          <w:sz w:val="24"/>
          <w:szCs w:val="24"/>
        </w:rPr>
      </w:pPr>
      <w:r w:rsidRPr="001107AD">
        <w:rPr>
          <w:rFonts w:ascii="Times New Roman" w:hAnsi="Times New Roman"/>
          <w:sz w:val="24"/>
          <w:szCs w:val="24"/>
        </w:rPr>
        <w:t>Zavádzajú sa sankcie a ustanovujú sa pokuty za porušenie ustanovení týkajúcich sa malého samostatného pivovaru</w:t>
      </w:r>
      <w:r>
        <w:rPr>
          <w:rFonts w:ascii="Times New Roman" w:hAnsi="Times New Roman"/>
          <w:sz w:val="24"/>
          <w:szCs w:val="24"/>
        </w:rPr>
        <w:t xml:space="preserve"> a neukončenia prepravy na mieste uvedenom v elektronickom dokumente</w:t>
      </w:r>
      <w:r w:rsidRPr="001107AD">
        <w:rPr>
          <w:rFonts w:ascii="Times New Roman" w:hAnsi="Times New Roman"/>
          <w:sz w:val="24"/>
          <w:szCs w:val="24"/>
        </w:rPr>
        <w:t>.</w:t>
      </w:r>
    </w:p>
    <w:p w:rsidR="00A70D39" w:rsidRPr="001107AD" w:rsidRDefault="00A70D39" w:rsidP="00A70D39">
      <w:pPr>
        <w:spacing w:after="0" w:line="240" w:lineRule="auto"/>
        <w:jc w:val="both"/>
        <w:rPr>
          <w:rFonts w:ascii="Times New Roman" w:hAnsi="Times New Roman"/>
          <w:b/>
          <w:sz w:val="24"/>
          <w:szCs w:val="24"/>
        </w:rPr>
      </w:pPr>
    </w:p>
    <w:p w:rsidR="00A70D39" w:rsidRDefault="00A70D39" w:rsidP="00A70D39">
      <w:pPr>
        <w:spacing w:after="0" w:line="240" w:lineRule="auto"/>
        <w:jc w:val="both"/>
        <w:rPr>
          <w:rFonts w:ascii="Times New Roman" w:hAnsi="Times New Roman"/>
          <w:b/>
          <w:sz w:val="24"/>
          <w:szCs w:val="24"/>
        </w:rPr>
      </w:pPr>
      <w:r>
        <w:rPr>
          <w:rFonts w:ascii="Times New Roman" w:hAnsi="Times New Roman"/>
          <w:b/>
          <w:sz w:val="24"/>
          <w:szCs w:val="24"/>
        </w:rPr>
        <w:t>K bodu 111, 117</w:t>
      </w:r>
    </w:p>
    <w:p w:rsidR="00A70D39" w:rsidRPr="009B0852" w:rsidRDefault="00A70D39" w:rsidP="00A70D39">
      <w:pPr>
        <w:spacing w:after="0" w:line="240" w:lineRule="auto"/>
        <w:jc w:val="both"/>
        <w:rPr>
          <w:rFonts w:ascii="Times New Roman" w:hAnsi="Times New Roman"/>
          <w:sz w:val="24"/>
          <w:szCs w:val="24"/>
        </w:rPr>
      </w:pPr>
      <w:r w:rsidRPr="009B0852">
        <w:rPr>
          <w:rFonts w:ascii="Times New Roman" w:hAnsi="Times New Roman"/>
          <w:sz w:val="24"/>
          <w:szCs w:val="24"/>
        </w:rPr>
        <w:t>Zjednotenie výšky sankcie pre všetky typ alkoholických nápojov rovnako.</w:t>
      </w:r>
    </w:p>
    <w:p w:rsidR="00A70D39" w:rsidRDefault="00A70D39" w:rsidP="00A70D39">
      <w:pPr>
        <w:spacing w:after="0" w:line="240" w:lineRule="auto"/>
        <w:jc w:val="both"/>
        <w:rPr>
          <w:rFonts w:ascii="Times New Roman" w:hAnsi="Times New Roman"/>
          <w:b/>
          <w:sz w:val="24"/>
          <w:szCs w:val="24"/>
        </w:rPr>
      </w:pPr>
    </w:p>
    <w:p w:rsidR="00A70D39" w:rsidRDefault="00A70D39" w:rsidP="00A70D39">
      <w:pPr>
        <w:spacing w:after="0" w:line="240" w:lineRule="auto"/>
        <w:jc w:val="both"/>
        <w:rPr>
          <w:rFonts w:ascii="Times New Roman" w:hAnsi="Times New Roman"/>
          <w:b/>
          <w:sz w:val="24"/>
          <w:szCs w:val="24"/>
        </w:rPr>
      </w:pPr>
      <w:r>
        <w:rPr>
          <w:rFonts w:ascii="Times New Roman" w:hAnsi="Times New Roman"/>
          <w:b/>
          <w:sz w:val="24"/>
          <w:szCs w:val="24"/>
        </w:rPr>
        <w:t>K bodu 112</w:t>
      </w:r>
    </w:p>
    <w:p w:rsidR="00A70D39" w:rsidRPr="00471F7E" w:rsidRDefault="00A70D39" w:rsidP="00A70D39">
      <w:pPr>
        <w:spacing w:after="0" w:line="240" w:lineRule="auto"/>
        <w:jc w:val="both"/>
        <w:rPr>
          <w:rFonts w:ascii="Times New Roman" w:hAnsi="Times New Roman"/>
          <w:sz w:val="24"/>
          <w:szCs w:val="24"/>
        </w:rPr>
      </w:pPr>
      <w:r w:rsidRPr="00471F7E">
        <w:rPr>
          <w:rFonts w:ascii="Times New Roman" w:hAnsi="Times New Roman"/>
          <w:sz w:val="24"/>
          <w:szCs w:val="24"/>
        </w:rPr>
        <w:t>V nadväznosti na zistenia správcu dane pri výkone daňového dozoru sa upravuje znenie sankcie.</w:t>
      </w:r>
    </w:p>
    <w:p w:rsidR="00A70D39" w:rsidRDefault="00A70D39" w:rsidP="00A70D39">
      <w:pPr>
        <w:spacing w:after="0" w:line="240" w:lineRule="auto"/>
        <w:jc w:val="both"/>
        <w:rPr>
          <w:rFonts w:ascii="Times New Roman" w:hAnsi="Times New Roman"/>
          <w:b/>
          <w:sz w:val="24"/>
          <w:szCs w:val="24"/>
        </w:rPr>
      </w:pPr>
    </w:p>
    <w:p w:rsidR="00A70D39" w:rsidRDefault="00A70D39" w:rsidP="00A70D39">
      <w:pPr>
        <w:spacing w:after="0" w:line="240" w:lineRule="auto"/>
        <w:jc w:val="both"/>
        <w:rPr>
          <w:rFonts w:ascii="Times New Roman" w:hAnsi="Times New Roman"/>
          <w:b/>
          <w:sz w:val="24"/>
          <w:szCs w:val="24"/>
        </w:rPr>
      </w:pPr>
      <w:r>
        <w:rPr>
          <w:rFonts w:ascii="Times New Roman" w:hAnsi="Times New Roman"/>
          <w:b/>
          <w:sz w:val="24"/>
          <w:szCs w:val="24"/>
        </w:rPr>
        <w:t>K bodu 114</w:t>
      </w:r>
    </w:p>
    <w:p w:rsidR="00A70D39" w:rsidRDefault="00A70D39" w:rsidP="00A70D39">
      <w:pPr>
        <w:spacing w:after="0" w:line="240" w:lineRule="auto"/>
        <w:jc w:val="both"/>
        <w:rPr>
          <w:rFonts w:ascii="Times New Roman" w:hAnsi="Times New Roman"/>
          <w:sz w:val="24"/>
          <w:szCs w:val="24"/>
        </w:rPr>
      </w:pPr>
      <w:r w:rsidRPr="001107AD">
        <w:rPr>
          <w:rFonts w:ascii="Times New Roman" w:hAnsi="Times New Roman"/>
          <w:sz w:val="24"/>
          <w:szCs w:val="24"/>
        </w:rPr>
        <w:t>Legislatívno</w:t>
      </w:r>
      <w:r>
        <w:rPr>
          <w:rFonts w:ascii="Times New Roman" w:hAnsi="Times New Roman"/>
          <w:sz w:val="24"/>
          <w:szCs w:val="24"/>
        </w:rPr>
        <w:t>-</w:t>
      </w:r>
      <w:r w:rsidRPr="001107AD">
        <w:rPr>
          <w:rFonts w:ascii="Times New Roman" w:hAnsi="Times New Roman"/>
          <w:sz w:val="24"/>
          <w:szCs w:val="24"/>
        </w:rPr>
        <w:t>technická úprava v nadväznosti na bod</w:t>
      </w:r>
      <w:r>
        <w:rPr>
          <w:rFonts w:ascii="Times New Roman" w:hAnsi="Times New Roman"/>
          <w:sz w:val="24"/>
          <w:szCs w:val="24"/>
        </w:rPr>
        <w:t xml:space="preserve"> 6.</w:t>
      </w:r>
    </w:p>
    <w:p w:rsidR="00A70D39" w:rsidRDefault="00A70D39" w:rsidP="00A70D39">
      <w:pPr>
        <w:spacing w:after="0" w:line="240" w:lineRule="auto"/>
        <w:jc w:val="both"/>
        <w:rPr>
          <w:rFonts w:ascii="Times New Roman" w:hAnsi="Times New Roman"/>
          <w:sz w:val="24"/>
          <w:szCs w:val="24"/>
        </w:rPr>
      </w:pPr>
    </w:p>
    <w:p w:rsidR="00A70D39" w:rsidRDefault="00A70D39" w:rsidP="00A70D39">
      <w:pPr>
        <w:spacing w:after="0" w:line="240" w:lineRule="auto"/>
        <w:jc w:val="both"/>
        <w:rPr>
          <w:rFonts w:ascii="Times New Roman" w:hAnsi="Times New Roman"/>
          <w:b/>
          <w:sz w:val="24"/>
          <w:szCs w:val="24"/>
        </w:rPr>
      </w:pPr>
      <w:r>
        <w:rPr>
          <w:rFonts w:ascii="Times New Roman" w:hAnsi="Times New Roman"/>
          <w:b/>
          <w:sz w:val="24"/>
          <w:szCs w:val="24"/>
        </w:rPr>
        <w:t>K bodom 118 a 119</w:t>
      </w:r>
    </w:p>
    <w:p w:rsidR="00A70D39" w:rsidRDefault="00A70D39" w:rsidP="00A70D39">
      <w:pPr>
        <w:spacing w:after="0" w:line="240" w:lineRule="auto"/>
        <w:jc w:val="both"/>
        <w:rPr>
          <w:rFonts w:ascii="Times New Roman" w:hAnsi="Times New Roman"/>
          <w:sz w:val="24"/>
          <w:szCs w:val="24"/>
        </w:rPr>
      </w:pPr>
      <w:r w:rsidRPr="006B617C">
        <w:rPr>
          <w:rFonts w:ascii="Times New Roman" w:hAnsi="Times New Roman"/>
          <w:sz w:val="24"/>
          <w:szCs w:val="24"/>
        </w:rPr>
        <w:t xml:space="preserve">V nadväznosti na zistenia správcu dane v praxi sa upravuje výška sankcií. </w:t>
      </w:r>
    </w:p>
    <w:p w:rsidR="00A70D39" w:rsidRPr="006B617C" w:rsidRDefault="00A70D39" w:rsidP="00A70D39">
      <w:pPr>
        <w:spacing w:after="0" w:line="240" w:lineRule="auto"/>
        <w:jc w:val="both"/>
        <w:rPr>
          <w:rFonts w:ascii="Times New Roman" w:hAnsi="Times New Roman"/>
          <w:sz w:val="24"/>
          <w:szCs w:val="24"/>
        </w:rPr>
      </w:pPr>
    </w:p>
    <w:p w:rsidR="00A70D39" w:rsidRPr="00A90BC5" w:rsidRDefault="00A70D39" w:rsidP="00A70D39">
      <w:pPr>
        <w:spacing w:after="0" w:line="240" w:lineRule="auto"/>
        <w:jc w:val="both"/>
        <w:rPr>
          <w:rFonts w:ascii="Times New Roman" w:hAnsi="Times New Roman"/>
          <w:b/>
          <w:sz w:val="24"/>
          <w:szCs w:val="24"/>
        </w:rPr>
      </w:pPr>
      <w:r w:rsidRPr="00A90BC5">
        <w:rPr>
          <w:rFonts w:ascii="Times New Roman" w:hAnsi="Times New Roman"/>
          <w:b/>
          <w:sz w:val="24"/>
          <w:szCs w:val="24"/>
        </w:rPr>
        <w:t xml:space="preserve">K bodu </w:t>
      </w:r>
      <w:r>
        <w:rPr>
          <w:rFonts w:ascii="Times New Roman" w:hAnsi="Times New Roman"/>
          <w:b/>
          <w:sz w:val="24"/>
          <w:szCs w:val="24"/>
        </w:rPr>
        <w:t>120</w:t>
      </w:r>
    </w:p>
    <w:p w:rsidR="00A70D39" w:rsidRPr="00C65758" w:rsidRDefault="00A70D39" w:rsidP="00A70D39">
      <w:pPr>
        <w:spacing w:after="0" w:line="240" w:lineRule="auto"/>
        <w:jc w:val="both"/>
        <w:rPr>
          <w:rFonts w:ascii="Times New Roman" w:hAnsi="Times New Roman"/>
          <w:sz w:val="24"/>
          <w:szCs w:val="24"/>
        </w:rPr>
      </w:pPr>
      <w:r w:rsidRPr="00C65758">
        <w:rPr>
          <w:rFonts w:ascii="Times New Roman" w:hAnsi="Times New Roman"/>
          <w:sz w:val="24"/>
          <w:szCs w:val="24"/>
        </w:rPr>
        <w:t>Legislatívno-technická úprava z dôvodu zrušenia ustanovenia zákona.</w:t>
      </w:r>
    </w:p>
    <w:p w:rsidR="00A70D39" w:rsidRDefault="00A70D39" w:rsidP="00A70D39">
      <w:pPr>
        <w:spacing w:after="0" w:line="240" w:lineRule="auto"/>
        <w:jc w:val="both"/>
        <w:rPr>
          <w:rFonts w:ascii="Times New Roman" w:hAnsi="Times New Roman"/>
          <w:b/>
          <w:sz w:val="24"/>
          <w:szCs w:val="24"/>
        </w:rPr>
      </w:pPr>
    </w:p>
    <w:p w:rsidR="00A70D39" w:rsidRPr="001107AD" w:rsidRDefault="00A70D39" w:rsidP="00A70D39">
      <w:pPr>
        <w:spacing w:after="0" w:line="240" w:lineRule="auto"/>
        <w:jc w:val="both"/>
        <w:rPr>
          <w:rFonts w:ascii="Times New Roman" w:hAnsi="Times New Roman"/>
          <w:b/>
          <w:sz w:val="24"/>
          <w:szCs w:val="24"/>
        </w:rPr>
      </w:pPr>
      <w:r w:rsidRPr="001107AD">
        <w:rPr>
          <w:rFonts w:ascii="Times New Roman" w:hAnsi="Times New Roman"/>
          <w:b/>
          <w:sz w:val="24"/>
          <w:szCs w:val="24"/>
        </w:rPr>
        <w:t>K bod</w:t>
      </w:r>
      <w:r>
        <w:rPr>
          <w:rFonts w:ascii="Times New Roman" w:hAnsi="Times New Roman"/>
          <w:b/>
          <w:sz w:val="24"/>
          <w:szCs w:val="24"/>
        </w:rPr>
        <w:t>om</w:t>
      </w:r>
      <w:r w:rsidRPr="001107AD">
        <w:rPr>
          <w:rFonts w:ascii="Times New Roman" w:hAnsi="Times New Roman"/>
          <w:b/>
          <w:sz w:val="24"/>
          <w:szCs w:val="24"/>
        </w:rPr>
        <w:t xml:space="preserve"> </w:t>
      </w:r>
      <w:r>
        <w:rPr>
          <w:rFonts w:ascii="Times New Roman" w:hAnsi="Times New Roman"/>
          <w:b/>
          <w:sz w:val="24"/>
          <w:szCs w:val="24"/>
        </w:rPr>
        <w:t xml:space="preserve">121, 122 </w:t>
      </w:r>
    </w:p>
    <w:p w:rsidR="00A70D39" w:rsidRPr="001107AD" w:rsidRDefault="00A70D39" w:rsidP="00A70D39">
      <w:pPr>
        <w:spacing w:after="0" w:line="240" w:lineRule="auto"/>
        <w:jc w:val="both"/>
        <w:rPr>
          <w:rFonts w:ascii="Times New Roman" w:hAnsi="Times New Roman"/>
          <w:sz w:val="24"/>
          <w:szCs w:val="24"/>
        </w:rPr>
      </w:pPr>
      <w:r w:rsidRPr="001107AD">
        <w:rPr>
          <w:rFonts w:ascii="Times New Roman" w:hAnsi="Times New Roman"/>
          <w:sz w:val="24"/>
          <w:szCs w:val="24"/>
        </w:rPr>
        <w:t>Ustanovenie sa dopĺňa o rozhodnutia colného úradu, voči ktorým nie je možné sa odvolať</w:t>
      </w:r>
      <w:r>
        <w:rPr>
          <w:rFonts w:ascii="Times New Roman" w:hAnsi="Times New Roman"/>
          <w:sz w:val="24"/>
          <w:szCs w:val="24"/>
        </w:rPr>
        <w:t xml:space="preserve"> a odvolanie nemá odkladný účinok</w:t>
      </w:r>
      <w:r w:rsidRPr="001107AD">
        <w:rPr>
          <w:rFonts w:ascii="Times New Roman" w:hAnsi="Times New Roman"/>
          <w:sz w:val="24"/>
          <w:szCs w:val="24"/>
        </w:rPr>
        <w:t>.</w:t>
      </w:r>
    </w:p>
    <w:p w:rsidR="00A70D39" w:rsidRPr="001107AD" w:rsidRDefault="00A70D39" w:rsidP="00A70D39">
      <w:pPr>
        <w:spacing w:after="0" w:line="240" w:lineRule="auto"/>
        <w:jc w:val="both"/>
        <w:rPr>
          <w:rFonts w:ascii="Times New Roman" w:hAnsi="Times New Roman"/>
          <w:sz w:val="24"/>
          <w:szCs w:val="24"/>
        </w:rPr>
      </w:pPr>
    </w:p>
    <w:p w:rsidR="00A70D39" w:rsidRPr="001107AD" w:rsidRDefault="00A70D39" w:rsidP="00A70D39">
      <w:pPr>
        <w:spacing w:after="0" w:line="240" w:lineRule="auto"/>
        <w:jc w:val="both"/>
        <w:rPr>
          <w:rFonts w:ascii="Times New Roman" w:hAnsi="Times New Roman"/>
          <w:b/>
          <w:sz w:val="24"/>
          <w:szCs w:val="24"/>
        </w:rPr>
      </w:pPr>
      <w:r>
        <w:rPr>
          <w:rFonts w:ascii="Times New Roman" w:hAnsi="Times New Roman"/>
          <w:b/>
          <w:sz w:val="24"/>
          <w:szCs w:val="24"/>
        </w:rPr>
        <w:t>K bodu 123</w:t>
      </w:r>
    </w:p>
    <w:p w:rsidR="00A70D39" w:rsidRPr="001107AD" w:rsidRDefault="00A70D39" w:rsidP="00A70D39">
      <w:pPr>
        <w:spacing w:after="0" w:line="240" w:lineRule="auto"/>
        <w:jc w:val="both"/>
        <w:rPr>
          <w:rFonts w:ascii="Times New Roman" w:hAnsi="Times New Roman"/>
          <w:sz w:val="24"/>
          <w:szCs w:val="24"/>
        </w:rPr>
      </w:pPr>
      <w:r w:rsidRPr="001107AD">
        <w:rPr>
          <w:rFonts w:ascii="Times New Roman" w:hAnsi="Times New Roman"/>
          <w:sz w:val="24"/>
          <w:szCs w:val="24"/>
        </w:rPr>
        <w:t>Ustanovenie sa dopĺňa o ďalšie osoby, ktoré poskytujú údaje potrebné na vyžiadanie výpisu z registra trestov a ktoré je Finančné riaditeľstvo SR povinné zaslať Generálnej prokuratúre SR.</w:t>
      </w:r>
    </w:p>
    <w:p w:rsidR="00A70D39" w:rsidRPr="001107AD" w:rsidRDefault="00A70D39" w:rsidP="00A70D39">
      <w:pPr>
        <w:spacing w:after="0" w:line="240" w:lineRule="auto"/>
        <w:jc w:val="both"/>
        <w:rPr>
          <w:rFonts w:ascii="Times New Roman" w:hAnsi="Times New Roman"/>
          <w:sz w:val="24"/>
          <w:szCs w:val="24"/>
        </w:rPr>
      </w:pPr>
    </w:p>
    <w:p w:rsidR="00A70D39" w:rsidRPr="001107AD" w:rsidRDefault="00A70D39" w:rsidP="00A70D39">
      <w:pPr>
        <w:spacing w:after="0" w:line="240" w:lineRule="auto"/>
        <w:jc w:val="both"/>
        <w:rPr>
          <w:rFonts w:ascii="Times New Roman" w:hAnsi="Times New Roman"/>
          <w:b/>
          <w:sz w:val="24"/>
          <w:szCs w:val="24"/>
        </w:rPr>
      </w:pPr>
      <w:r>
        <w:rPr>
          <w:rFonts w:ascii="Times New Roman" w:hAnsi="Times New Roman"/>
          <w:b/>
          <w:sz w:val="24"/>
          <w:szCs w:val="24"/>
        </w:rPr>
        <w:t>K bodu 124</w:t>
      </w:r>
    </w:p>
    <w:p w:rsidR="00A70D39" w:rsidRPr="001107AD" w:rsidRDefault="00A70D39" w:rsidP="00A70D39">
      <w:pPr>
        <w:spacing w:after="0" w:line="240" w:lineRule="auto"/>
        <w:jc w:val="both"/>
        <w:rPr>
          <w:rFonts w:ascii="Times New Roman" w:hAnsi="Times New Roman"/>
          <w:b/>
          <w:bCs/>
          <w:sz w:val="24"/>
          <w:szCs w:val="24"/>
        </w:rPr>
      </w:pPr>
      <w:r w:rsidRPr="001107AD">
        <w:rPr>
          <w:rFonts w:ascii="Times New Roman" w:hAnsi="Times New Roman"/>
          <w:sz w:val="24"/>
          <w:szCs w:val="24"/>
        </w:rPr>
        <w:t xml:space="preserve">Upravujú sa prechodné ustanovenia k navrhovaným úpravám.  </w:t>
      </w:r>
    </w:p>
    <w:p w:rsidR="00A70D39" w:rsidRPr="001107AD" w:rsidRDefault="00A70D39" w:rsidP="00A70D39">
      <w:pPr>
        <w:spacing w:after="0" w:line="240" w:lineRule="auto"/>
        <w:jc w:val="both"/>
        <w:rPr>
          <w:rFonts w:ascii="Times New Roman" w:hAnsi="Times New Roman"/>
          <w:b/>
          <w:sz w:val="24"/>
          <w:szCs w:val="24"/>
        </w:rPr>
      </w:pPr>
    </w:p>
    <w:p w:rsidR="00A70D39" w:rsidRDefault="00A70D39" w:rsidP="00A70D39">
      <w:pPr>
        <w:spacing w:after="0" w:line="240" w:lineRule="auto"/>
        <w:jc w:val="both"/>
        <w:rPr>
          <w:rFonts w:ascii="Times New Roman" w:hAnsi="Times New Roman"/>
          <w:b/>
          <w:sz w:val="24"/>
          <w:szCs w:val="24"/>
        </w:rPr>
      </w:pPr>
      <w:r>
        <w:rPr>
          <w:rFonts w:ascii="Times New Roman" w:hAnsi="Times New Roman"/>
          <w:b/>
          <w:sz w:val="24"/>
          <w:szCs w:val="24"/>
        </w:rPr>
        <w:t>K bodu 125</w:t>
      </w:r>
    </w:p>
    <w:p w:rsidR="00A70D39" w:rsidRPr="00683520" w:rsidRDefault="00A70D39" w:rsidP="00A70D39">
      <w:pPr>
        <w:spacing w:after="0" w:line="240" w:lineRule="auto"/>
        <w:jc w:val="both"/>
        <w:rPr>
          <w:rFonts w:ascii="Times New Roman" w:hAnsi="Times New Roman"/>
          <w:sz w:val="24"/>
          <w:szCs w:val="24"/>
        </w:rPr>
      </w:pPr>
      <w:r w:rsidRPr="00683520">
        <w:rPr>
          <w:rFonts w:ascii="Times New Roman" w:hAnsi="Times New Roman"/>
          <w:sz w:val="24"/>
          <w:szCs w:val="24"/>
        </w:rPr>
        <w:t>V nadväznosti na zrušenie súkromnej výroby destilátu sa zrušuje vyhláška ustanovujúca vzor oznámenia o výrobe destilátu.</w:t>
      </w:r>
    </w:p>
    <w:p w:rsidR="00A70D39" w:rsidRDefault="00A70D39" w:rsidP="00A70D39">
      <w:pPr>
        <w:spacing w:after="0" w:line="240" w:lineRule="auto"/>
        <w:jc w:val="both"/>
        <w:rPr>
          <w:rFonts w:ascii="Times New Roman" w:hAnsi="Times New Roman"/>
          <w:b/>
          <w:sz w:val="24"/>
          <w:szCs w:val="24"/>
        </w:rPr>
      </w:pPr>
    </w:p>
    <w:p w:rsidR="00A70D39" w:rsidRPr="001107AD" w:rsidRDefault="00A70D39" w:rsidP="00A70D39">
      <w:pPr>
        <w:spacing w:after="0" w:line="240" w:lineRule="auto"/>
        <w:jc w:val="both"/>
        <w:rPr>
          <w:rFonts w:ascii="Times New Roman" w:hAnsi="Times New Roman"/>
          <w:b/>
          <w:sz w:val="24"/>
          <w:szCs w:val="24"/>
        </w:rPr>
      </w:pPr>
      <w:r w:rsidRPr="001107AD">
        <w:rPr>
          <w:rFonts w:ascii="Times New Roman" w:hAnsi="Times New Roman"/>
          <w:b/>
          <w:sz w:val="24"/>
          <w:szCs w:val="24"/>
        </w:rPr>
        <w:t xml:space="preserve">K bodu </w:t>
      </w:r>
      <w:r>
        <w:rPr>
          <w:rFonts w:ascii="Times New Roman" w:hAnsi="Times New Roman"/>
          <w:b/>
          <w:sz w:val="24"/>
          <w:szCs w:val="24"/>
        </w:rPr>
        <w:t>126</w:t>
      </w:r>
    </w:p>
    <w:p w:rsidR="00A70D39" w:rsidRPr="001107AD" w:rsidRDefault="00A70D39" w:rsidP="00A70D39">
      <w:pPr>
        <w:spacing w:after="0" w:line="240" w:lineRule="auto"/>
        <w:jc w:val="both"/>
        <w:rPr>
          <w:rFonts w:ascii="Times New Roman" w:hAnsi="Times New Roman"/>
          <w:sz w:val="24"/>
          <w:szCs w:val="24"/>
        </w:rPr>
      </w:pPr>
      <w:r w:rsidRPr="001107AD">
        <w:rPr>
          <w:rFonts w:ascii="Times New Roman" w:hAnsi="Times New Roman"/>
          <w:sz w:val="24"/>
          <w:szCs w:val="24"/>
        </w:rPr>
        <w:t>Dopĺňa sa príloha č. 2 o smernice, ktoré je potrebné návrhom zákona transponovať.</w:t>
      </w:r>
    </w:p>
    <w:p w:rsidR="00A70D39" w:rsidRPr="001107AD" w:rsidRDefault="00A70D39" w:rsidP="00A70D39">
      <w:pPr>
        <w:spacing w:after="0" w:line="240" w:lineRule="auto"/>
        <w:jc w:val="both"/>
        <w:rPr>
          <w:rFonts w:ascii="Times New Roman" w:hAnsi="Times New Roman"/>
          <w:b/>
          <w:sz w:val="24"/>
          <w:szCs w:val="24"/>
        </w:rPr>
      </w:pPr>
    </w:p>
    <w:p w:rsidR="00A70D39" w:rsidRDefault="00A70D39" w:rsidP="00A70D39">
      <w:pPr>
        <w:spacing w:after="0" w:line="240" w:lineRule="auto"/>
        <w:jc w:val="both"/>
        <w:rPr>
          <w:rFonts w:ascii="Times New Roman" w:hAnsi="Times New Roman"/>
          <w:b/>
          <w:sz w:val="24"/>
          <w:szCs w:val="24"/>
        </w:rPr>
      </w:pPr>
      <w:r>
        <w:rPr>
          <w:rFonts w:ascii="Times New Roman" w:hAnsi="Times New Roman"/>
          <w:b/>
          <w:sz w:val="24"/>
          <w:szCs w:val="24"/>
        </w:rPr>
        <w:t>K čl. II</w:t>
      </w:r>
    </w:p>
    <w:p w:rsidR="00A70D39" w:rsidRPr="00A90BC5" w:rsidRDefault="00A70D39" w:rsidP="00A70D39">
      <w:pPr>
        <w:spacing w:after="0" w:line="240" w:lineRule="auto"/>
        <w:jc w:val="both"/>
        <w:rPr>
          <w:rFonts w:ascii="Times New Roman" w:hAnsi="Times New Roman"/>
          <w:sz w:val="24"/>
          <w:szCs w:val="24"/>
        </w:rPr>
      </w:pPr>
      <w:r w:rsidRPr="00A90BC5">
        <w:rPr>
          <w:rFonts w:ascii="Times New Roman" w:hAnsi="Times New Roman"/>
          <w:sz w:val="24"/>
          <w:szCs w:val="24"/>
        </w:rPr>
        <w:t>Legislatívno-technické úpravy zákona č. 467/2002 Z. z. o výrobe a uvádzaní liehu na trh</w:t>
      </w:r>
      <w:r>
        <w:rPr>
          <w:rFonts w:ascii="Times New Roman" w:hAnsi="Times New Roman"/>
          <w:sz w:val="24"/>
          <w:szCs w:val="24"/>
        </w:rPr>
        <w:t xml:space="preserve"> v znení neskorších predpisov v nadväznosti na zrušenie súkromnej výroby destilátu.</w:t>
      </w:r>
    </w:p>
    <w:p w:rsidR="00A70D39" w:rsidRPr="00A90BC5" w:rsidRDefault="00A70D39" w:rsidP="00A70D39">
      <w:pPr>
        <w:spacing w:after="0" w:line="240" w:lineRule="auto"/>
        <w:jc w:val="both"/>
        <w:rPr>
          <w:rFonts w:ascii="Times New Roman" w:hAnsi="Times New Roman"/>
          <w:sz w:val="24"/>
          <w:szCs w:val="24"/>
        </w:rPr>
      </w:pPr>
    </w:p>
    <w:p w:rsidR="00A70D39" w:rsidRPr="001107AD" w:rsidRDefault="00A70D39" w:rsidP="00A70D39">
      <w:pPr>
        <w:spacing w:after="0" w:line="240" w:lineRule="auto"/>
        <w:jc w:val="both"/>
        <w:rPr>
          <w:rFonts w:ascii="Times New Roman" w:hAnsi="Times New Roman"/>
          <w:b/>
          <w:sz w:val="24"/>
          <w:szCs w:val="24"/>
        </w:rPr>
      </w:pPr>
      <w:r w:rsidRPr="001107AD">
        <w:rPr>
          <w:rFonts w:ascii="Times New Roman" w:hAnsi="Times New Roman"/>
          <w:b/>
          <w:sz w:val="24"/>
          <w:szCs w:val="24"/>
        </w:rPr>
        <w:t>K čl. II</w:t>
      </w:r>
      <w:r>
        <w:rPr>
          <w:rFonts w:ascii="Times New Roman" w:hAnsi="Times New Roman"/>
          <w:b/>
          <w:sz w:val="24"/>
          <w:szCs w:val="24"/>
        </w:rPr>
        <w:t>I</w:t>
      </w:r>
    </w:p>
    <w:p w:rsidR="00A70D39" w:rsidRPr="00333609" w:rsidRDefault="00A70D39" w:rsidP="00A70D39">
      <w:pPr>
        <w:spacing w:after="0" w:line="240" w:lineRule="auto"/>
        <w:jc w:val="both"/>
        <w:rPr>
          <w:rFonts w:ascii="Times New Roman" w:hAnsi="Times New Roman"/>
          <w:sz w:val="24"/>
          <w:szCs w:val="24"/>
        </w:rPr>
      </w:pPr>
      <w:r w:rsidRPr="00333609">
        <w:rPr>
          <w:rFonts w:ascii="Times New Roman" w:hAnsi="Times New Roman"/>
          <w:sz w:val="24"/>
          <w:szCs w:val="24"/>
        </w:rPr>
        <w:t>Tento zákon nadobúda účinnosť 1. júla 2021 okrem čl. I</w:t>
      </w:r>
      <w:r>
        <w:rPr>
          <w:rFonts w:ascii="Times New Roman" w:hAnsi="Times New Roman"/>
          <w:sz w:val="24"/>
          <w:szCs w:val="24"/>
        </w:rPr>
        <w:t> </w:t>
      </w:r>
      <w:r w:rsidRPr="00333609">
        <w:rPr>
          <w:rFonts w:ascii="Times New Roman" w:hAnsi="Times New Roman"/>
          <w:sz w:val="24"/>
          <w:szCs w:val="24"/>
        </w:rPr>
        <w:t>bod</w:t>
      </w:r>
      <w:r>
        <w:rPr>
          <w:rFonts w:ascii="Times New Roman" w:hAnsi="Times New Roman"/>
          <w:sz w:val="24"/>
          <w:szCs w:val="24"/>
        </w:rPr>
        <w:t>ov</w:t>
      </w:r>
      <w:r w:rsidRPr="00333609">
        <w:rPr>
          <w:rFonts w:ascii="Times New Roman" w:hAnsi="Times New Roman"/>
          <w:sz w:val="24"/>
          <w:szCs w:val="24"/>
        </w:rPr>
        <w:t xml:space="preserve"> </w:t>
      </w:r>
      <w:r>
        <w:rPr>
          <w:rFonts w:ascii="Times New Roman" w:hAnsi="Times New Roman"/>
          <w:sz w:val="24"/>
          <w:szCs w:val="24"/>
        </w:rPr>
        <w:t>65, 67, 106, 110 a 113</w:t>
      </w:r>
      <w:r w:rsidRPr="00333609">
        <w:rPr>
          <w:rFonts w:ascii="Times New Roman" w:hAnsi="Times New Roman"/>
          <w:sz w:val="24"/>
          <w:szCs w:val="24"/>
        </w:rPr>
        <w:t>, ktor</w:t>
      </w:r>
      <w:r>
        <w:rPr>
          <w:rFonts w:ascii="Times New Roman" w:hAnsi="Times New Roman"/>
          <w:sz w:val="24"/>
          <w:szCs w:val="24"/>
        </w:rPr>
        <w:t>é</w:t>
      </w:r>
      <w:r w:rsidRPr="00333609">
        <w:rPr>
          <w:rFonts w:ascii="Times New Roman" w:hAnsi="Times New Roman"/>
          <w:sz w:val="24"/>
          <w:szCs w:val="24"/>
        </w:rPr>
        <w:t xml:space="preserve"> nadobúda</w:t>
      </w:r>
      <w:r>
        <w:rPr>
          <w:rFonts w:ascii="Times New Roman" w:hAnsi="Times New Roman"/>
          <w:sz w:val="24"/>
          <w:szCs w:val="24"/>
        </w:rPr>
        <w:t>jú</w:t>
      </w:r>
      <w:r w:rsidRPr="00333609">
        <w:rPr>
          <w:rFonts w:ascii="Times New Roman" w:hAnsi="Times New Roman"/>
          <w:sz w:val="24"/>
          <w:szCs w:val="24"/>
        </w:rPr>
        <w:t xml:space="preserve"> účinnosť 1. </w:t>
      </w:r>
      <w:r>
        <w:rPr>
          <w:rFonts w:ascii="Times New Roman" w:hAnsi="Times New Roman"/>
          <w:sz w:val="24"/>
          <w:szCs w:val="24"/>
        </w:rPr>
        <w:t>októbra</w:t>
      </w:r>
      <w:r w:rsidRPr="00333609">
        <w:rPr>
          <w:rFonts w:ascii="Times New Roman" w:hAnsi="Times New Roman"/>
          <w:sz w:val="24"/>
          <w:szCs w:val="24"/>
        </w:rPr>
        <w:t xml:space="preserve"> 2021, čl. I bodu </w:t>
      </w:r>
      <w:r>
        <w:rPr>
          <w:rFonts w:ascii="Times New Roman" w:hAnsi="Times New Roman"/>
          <w:sz w:val="24"/>
          <w:szCs w:val="24"/>
        </w:rPr>
        <w:t xml:space="preserve">125, ktorý nadobúda účinnosť 1. novembra 2021, čl. I bodu </w:t>
      </w:r>
      <w:r w:rsidRPr="00333609">
        <w:rPr>
          <w:rFonts w:ascii="Times New Roman" w:hAnsi="Times New Roman"/>
          <w:sz w:val="24"/>
          <w:szCs w:val="24"/>
        </w:rPr>
        <w:t>6</w:t>
      </w:r>
      <w:r>
        <w:rPr>
          <w:rFonts w:ascii="Times New Roman" w:hAnsi="Times New Roman"/>
          <w:sz w:val="24"/>
          <w:szCs w:val="24"/>
        </w:rPr>
        <w:t>9</w:t>
      </w:r>
      <w:r w:rsidRPr="00333609">
        <w:rPr>
          <w:rFonts w:ascii="Times New Roman" w:hAnsi="Times New Roman"/>
          <w:sz w:val="24"/>
          <w:szCs w:val="24"/>
        </w:rPr>
        <w:t>, ktorý nadobúda účinnosť</w:t>
      </w:r>
      <w:r>
        <w:rPr>
          <w:rFonts w:ascii="Times New Roman" w:hAnsi="Times New Roman"/>
          <w:sz w:val="24"/>
          <w:szCs w:val="24"/>
        </w:rPr>
        <w:t xml:space="preserve"> 1. januára 2022, čl.  I bodov 6</w:t>
      </w:r>
      <w:r w:rsidRPr="00333609">
        <w:rPr>
          <w:rFonts w:ascii="Times New Roman" w:hAnsi="Times New Roman"/>
          <w:sz w:val="24"/>
          <w:szCs w:val="24"/>
        </w:rPr>
        <w:t>, 1</w:t>
      </w:r>
      <w:r>
        <w:rPr>
          <w:rFonts w:ascii="Times New Roman" w:hAnsi="Times New Roman"/>
          <w:sz w:val="24"/>
          <w:szCs w:val="24"/>
        </w:rPr>
        <w:t>6</w:t>
      </w:r>
      <w:r w:rsidRPr="00333609">
        <w:rPr>
          <w:rFonts w:ascii="Times New Roman" w:hAnsi="Times New Roman"/>
          <w:sz w:val="24"/>
          <w:szCs w:val="24"/>
        </w:rPr>
        <w:t>, 1</w:t>
      </w:r>
      <w:r>
        <w:rPr>
          <w:rFonts w:ascii="Times New Roman" w:hAnsi="Times New Roman"/>
          <w:sz w:val="24"/>
          <w:szCs w:val="24"/>
        </w:rPr>
        <w:t>9</w:t>
      </w:r>
      <w:r w:rsidRPr="00333609">
        <w:rPr>
          <w:rFonts w:ascii="Times New Roman" w:hAnsi="Times New Roman"/>
          <w:sz w:val="24"/>
          <w:szCs w:val="24"/>
        </w:rPr>
        <w:t>, 3</w:t>
      </w:r>
      <w:r>
        <w:rPr>
          <w:rFonts w:ascii="Times New Roman" w:hAnsi="Times New Roman"/>
          <w:sz w:val="24"/>
          <w:szCs w:val="24"/>
        </w:rPr>
        <w:t>6</w:t>
      </w:r>
      <w:r w:rsidRPr="00333609">
        <w:rPr>
          <w:rFonts w:ascii="Times New Roman" w:hAnsi="Times New Roman"/>
          <w:sz w:val="24"/>
          <w:szCs w:val="24"/>
        </w:rPr>
        <w:t>, 3</w:t>
      </w:r>
      <w:r>
        <w:rPr>
          <w:rFonts w:ascii="Times New Roman" w:hAnsi="Times New Roman"/>
          <w:sz w:val="24"/>
          <w:szCs w:val="24"/>
        </w:rPr>
        <w:t>8</w:t>
      </w:r>
      <w:r w:rsidRPr="00333609">
        <w:rPr>
          <w:rFonts w:ascii="Times New Roman" w:hAnsi="Times New Roman"/>
          <w:sz w:val="24"/>
          <w:szCs w:val="24"/>
        </w:rPr>
        <w:t>, 8</w:t>
      </w:r>
      <w:r>
        <w:rPr>
          <w:rFonts w:ascii="Times New Roman" w:hAnsi="Times New Roman"/>
          <w:sz w:val="24"/>
          <w:szCs w:val="24"/>
        </w:rPr>
        <w:t>5, 114</w:t>
      </w:r>
      <w:r w:rsidRPr="00333609">
        <w:rPr>
          <w:rFonts w:ascii="Times New Roman" w:hAnsi="Times New Roman"/>
          <w:sz w:val="24"/>
          <w:szCs w:val="24"/>
        </w:rPr>
        <w:t xml:space="preserve"> a § 76f v bode 12</w:t>
      </w:r>
      <w:r>
        <w:rPr>
          <w:rFonts w:ascii="Times New Roman" w:hAnsi="Times New Roman"/>
          <w:sz w:val="24"/>
          <w:szCs w:val="24"/>
        </w:rPr>
        <w:t>4</w:t>
      </w:r>
      <w:r w:rsidRPr="00333609">
        <w:rPr>
          <w:rFonts w:ascii="Times New Roman" w:hAnsi="Times New Roman"/>
          <w:sz w:val="24"/>
          <w:szCs w:val="24"/>
        </w:rPr>
        <w:t>, ktoré nadobúdajú účinnosť 1. júla 2022 a čl. I bodov 1</w:t>
      </w:r>
      <w:r>
        <w:rPr>
          <w:rFonts w:ascii="Times New Roman" w:hAnsi="Times New Roman"/>
          <w:sz w:val="24"/>
          <w:szCs w:val="24"/>
        </w:rPr>
        <w:t>5</w:t>
      </w:r>
      <w:r w:rsidRPr="00333609">
        <w:rPr>
          <w:rFonts w:ascii="Times New Roman" w:hAnsi="Times New Roman"/>
          <w:sz w:val="24"/>
          <w:szCs w:val="24"/>
        </w:rPr>
        <w:t>, 1</w:t>
      </w:r>
      <w:r>
        <w:rPr>
          <w:rFonts w:ascii="Times New Roman" w:hAnsi="Times New Roman"/>
          <w:sz w:val="24"/>
          <w:szCs w:val="24"/>
        </w:rPr>
        <w:t>7, 18, 20 a</w:t>
      </w:r>
      <w:r w:rsidRPr="00333609">
        <w:rPr>
          <w:rFonts w:ascii="Times New Roman" w:hAnsi="Times New Roman"/>
          <w:sz w:val="24"/>
          <w:szCs w:val="24"/>
        </w:rPr>
        <w:t>ž 2</w:t>
      </w:r>
      <w:r>
        <w:rPr>
          <w:rFonts w:ascii="Times New Roman" w:hAnsi="Times New Roman"/>
          <w:sz w:val="24"/>
          <w:szCs w:val="24"/>
        </w:rPr>
        <w:t>2</w:t>
      </w:r>
      <w:r w:rsidRPr="00333609">
        <w:rPr>
          <w:rFonts w:ascii="Times New Roman" w:hAnsi="Times New Roman"/>
          <w:sz w:val="24"/>
          <w:szCs w:val="24"/>
        </w:rPr>
        <w:t>, 4</w:t>
      </w:r>
      <w:r>
        <w:rPr>
          <w:rFonts w:ascii="Times New Roman" w:hAnsi="Times New Roman"/>
          <w:sz w:val="24"/>
          <w:szCs w:val="24"/>
        </w:rPr>
        <w:t>6</w:t>
      </w:r>
      <w:r w:rsidRPr="00333609">
        <w:rPr>
          <w:rFonts w:ascii="Times New Roman" w:hAnsi="Times New Roman"/>
          <w:sz w:val="24"/>
          <w:szCs w:val="24"/>
        </w:rPr>
        <w:t>, 5</w:t>
      </w:r>
      <w:r>
        <w:rPr>
          <w:rFonts w:ascii="Times New Roman" w:hAnsi="Times New Roman"/>
          <w:sz w:val="24"/>
          <w:szCs w:val="24"/>
        </w:rPr>
        <w:t>3</w:t>
      </w:r>
      <w:r w:rsidRPr="00333609">
        <w:rPr>
          <w:rFonts w:ascii="Times New Roman" w:hAnsi="Times New Roman"/>
          <w:sz w:val="24"/>
          <w:szCs w:val="24"/>
        </w:rPr>
        <w:t xml:space="preserve"> až 5</w:t>
      </w:r>
      <w:r>
        <w:rPr>
          <w:rFonts w:ascii="Times New Roman" w:hAnsi="Times New Roman"/>
          <w:sz w:val="24"/>
          <w:szCs w:val="24"/>
        </w:rPr>
        <w:t>8</w:t>
      </w:r>
      <w:r w:rsidRPr="00333609">
        <w:rPr>
          <w:rFonts w:ascii="Times New Roman" w:hAnsi="Times New Roman"/>
          <w:sz w:val="24"/>
          <w:szCs w:val="24"/>
        </w:rPr>
        <w:t>, 6</w:t>
      </w:r>
      <w:r>
        <w:rPr>
          <w:rFonts w:ascii="Times New Roman" w:hAnsi="Times New Roman"/>
          <w:sz w:val="24"/>
          <w:szCs w:val="24"/>
        </w:rPr>
        <w:t>1</w:t>
      </w:r>
      <w:r w:rsidRPr="00333609">
        <w:rPr>
          <w:rFonts w:ascii="Times New Roman" w:hAnsi="Times New Roman"/>
          <w:sz w:val="24"/>
          <w:szCs w:val="24"/>
        </w:rPr>
        <w:t xml:space="preserve"> až 6</w:t>
      </w:r>
      <w:r>
        <w:rPr>
          <w:rFonts w:ascii="Times New Roman" w:hAnsi="Times New Roman"/>
          <w:sz w:val="24"/>
          <w:szCs w:val="24"/>
        </w:rPr>
        <w:t>4</w:t>
      </w:r>
      <w:r w:rsidRPr="00333609">
        <w:rPr>
          <w:rFonts w:ascii="Times New Roman" w:hAnsi="Times New Roman"/>
          <w:sz w:val="24"/>
          <w:szCs w:val="24"/>
        </w:rPr>
        <w:t>, 6</w:t>
      </w:r>
      <w:r>
        <w:rPr>
          <w:rFonts w:ascii="Times New Roman" w:hAnsi="Times New Roman"/>
          <w:sz w:val="24"/>
          <w:szCs w:val="24"/>
        </w:rPr>
        <w:t>6</w:t>
      </w:r>
      <w:r w:rsidRPr="00333609">
        <w:rPr>
          <w:rFonts w:ascii="Times New Roman" w:hAnsi="Times New Roman"/>
          <w:sz w:val="24"/>
          <w:szCs w:val="24"/>
        </w:rPr>
        <w:t>, 6</w:t>
      </w:r>
      <w:r>
        <w:rPr>
          <w:rFonts w:ascii="Times New Roman" w:hAnsi="Times New Roman"/>
          <w:sz w:val="24"/>
          <w:szCs w:val="24"/>
        </w:rPr>
        <w:t>8</w:t>
      </w:r>
      <w:r w:rsidRPr="00333609">
        <w:rPr>
          <w:rFonts w:ascii="Times New Roman" w:hAnsi="Times New Roman"/>
          <w:sz w:val="24"/>
          <w:szCs w:val="24"/>
        </w:rPr>
        <w:t xml:space="preserve">, </w:t>
      </w:r>
      <w:r>
        <w:rPr>
          <w:rFonts w:ascii="Times New Roman" w:hAnsi="Times New Roman"/>
          <w:sz w:val="24"/>
          <w:szCs w:val="24"/>
        </w:rPr>
        <w:t xml:space="preserve">70, </w:t>
      </w:r>
      <w:r w:rsidRPr="00333609">
        <w:rPr>
          <w:rFonts w:ascii="Times New Roman" w:hAnsi="Times New Roman"/>
          <w:sz w:val="24"/>
          <w:szCs w:val="24"/>
        </w:rPr>
        <w:t>8</w:t>
      </w:r>
      <w:r>
        <w:rPr>
          <w:rFonts w:ascii="Times New Roman" w:hAnsi="Times New Roman"/>
          <w:sz w:val="24"/>
          <w:szCs w:val="24"/>
        </w:rPr>
        <w:t>2</w:t>
      </w:r>
      <w:r w:rsidRPr="00333609">
        <w:rPr>
          <w:rFonts w:ascii="Times New Roman" w:hAnsi="Times New Roman"/>
          <w:sz w:val="24"/>
          <w:szCs w:val="24"/>
        </w:rPr>
        <w:t xml:space="preserve"> až 8</w:t>
      </w:r>
      <w:r>
        <w:rPr>
          <w:rFonts w:ascii="Times New Roman" w:hAnsi="Times New Roman"/>
          <w:sz w:val="24"/>
          <w:szCs w:val="24"/>
        </w:rPr>
        <w:t>4</w:t>
      </w:r>
      <w:r w:rsidRPr="00333609">
        <w:rPr>
          <w:rFonts w:ascii="Times New Roman" w:hAnsi="Times New Roman"/>
          <w:sz w:val="24"/>
          <w:szCs w:val="24"/>
        </w:rPr>
        <w:t>, 8</w:t>
      </w:r>
      <w:r>
        <w:rPr>
          <w:rFonts w:ascii="Times New Roman" w:hAnsi="Times New Roman"/>
          <w:sz w:val="24"/>
          <w:szCs w:val="24"/>
        </w:rPr>
        <w:t>7</w:t>
      </w:r>
      <w:r w:rsidRPr="00333609">
        <w:rPr>
          <w:rFonts w:ascii="Times New Roman" w:hAnsi="Times New Roman"/>
          <w:sz w:val="24"/>
          <w:szCs w:val="24"/>
        </w:rPr>
        <w:t xml:space="preserve"> až 9</w:t>
      </w:r>
      <w:r>
        <w:rPr>
          <w:rFonts w:ascii="Times New Roman" w:hAnsi="Times New Roman"/>
          <w:sz w:val="24"/>
          <w:szCs w:val="24"/>
        </w:rPr>
        <w:t>2</w:t>
      </w:r>
      <w:r w:rsidRPr="00333609">
        <w:rPr>
          <w:rFonts w:ascii="Times New Roman" w:hAnsi="Times New Roman"/>
          <w:sz w:val="24"/>
          <w:szCs w:val="24"/>
        </w:rPr>
        <w:t>, 9</w:t>
      </w:r>
      <w:r>
        <w:rPr>
          <w:rFonts w:ascii="Times New Roman" w:hAnsi="Times New Roman"/>
          <w:sz w:val="24"/>
          <w:szCs w:val="24"/>
        </w:rPr>
        <w:t>8</w:t>
      </w:r>
      <w:r w:rsidRPr="00333609">
        <w:rPr>
          <w:rFonts w:ascii="Times New Roman" w:hAnsi="Times New Roman"/>
          <w:sz w:val="24"/>
          <w:szCs w:val="24"/>
        </w:rPr>
        <w:t>,</w:t>
      </w:r>
      <w:r>
        <w:rPr>
          <w:rFonts w:ascii="Times New Roman" w:hAnsi="Times New Roman"/>
          <w:sz w:val="24"/>
          <w:szCs w:val="24"/>
        </w:rPr>
        <w:t xml:space="preserve"> </w:t>
      </w:r>
      <w:r w:rsidRPr="00333609">
        <w:rPr>
          <w:rFonts w:ascii="Times New Roman" w:hAnsi="Times New Roman"/>
          <w:sz w:val="24"/>
          <w:szCs w:val="24"/>
        </w:rPr>
        <w:t>10</w:t>
      </w:r>
      <w:r>
        <w:rPr>
          <w:rFonts w:ascii="Times New Roman" w:hAnsi="Times New Roman"/>
          <w:sz w:val="24"/>
          <w:szCs w:val="24"/>
        </w:rPr>
        <w:t>2</w:t>
      </w:r>
      <w:r w:rsidRPr="00333609">
        <w:rPr>
          <w:rFonts w:ascii="Times New Roman" w:hAnsi="Times New Roman"/>
          <w:sz w:val="24"/>
          <w:szCs w:val="24"/>
        </w:rPr>
        <w:t>, 10</w:t>
      </w:r>
      <w:r>
        <w:rPr>
          <w:rFonts w:ascii="Times New Roman" w:hAnsi="Times New Roman"/>
          <w:sz w:val="24"/>
          <w:szCs w:val="24"/>
        </w:rPr>
        <w:t>4,</w:t>
      </w:r>
      <w:r w:rsidRPr="00333609">
        <w:rPr>
          <w:rFonts w:ascii="Times New Roman" w:hAnsi="Times New Roman"/>
          <w:sz w:val="24"/>
          <w:szCs w:val="24"/>
        </w:rPr>
        <w:t xml:space="preserve"> 10</w:t>
      </w:r>
      <w:r>
        <w:rPr>
          <w:rFonts w:ascii="Times New Roman" w:hAnsi="Times New Roman"/>
          <w:sz w:val="24"/>
          <w:szCs w:val="24"/>
        </w:rPr>
        <w:t>5</w:t>
      </w:r>
      <w:r w:rsidRPr="00333609">
        <w:rPr>
          <w:rFonts w:ascii="Times New Roman" w:hAnsi="Times New Roman"/>
          <w:sz w:val="24"/>
          <w:szCs w:val="24"/>
        </w:rPr>
        <w:t xml:space="preserve"> a § 76g v bode 12</w:t>
      </w:r>
      <w:r>
        <w:rPr>
          <w:rFonts w:ascii="Times New Roman" w:hAnsi="Times New Roman"/>
          <w:sz w:val="24"/>
          <w:szCs w:val="24"/>
        </w:rPr>
        <w:t>4</w:t>
      </w:r>
      <w:r w:rsidRPr="00333609">
        <w:rPr>
          <w:rFonts w:ascii="Times New Roman" w:hAnsi="Times New Roman"/>
          <w:sz w:val="24"/>
          <w:szCs w:val="24"/>
        </w:rPr>
        <w:t xml:space="preserve">, ktoré nadobúdajú účinnosť 13. februára 2023. </w:t>
      </w:r>
    </w:p>
    <w:p w:rsidR="00A70D39" w:rsidRDefault="00A70D39" w:rsidP="00A70D39">
      <w:pPr>
        <w:spacing w:after="0" w:line="240" w:lineRule="auto"/>
        <w:jc w:val="both"/>
        <w:rPr>
          <w:rFonts w:ascii="Times New Roman" w:hAnsi="Times New Roman"/>
          <w:sz w:val="24"/>
          <w:szCs w:val="24"/>
        </w:rPr>
      </w:pPr>
    </w:p>
    <w:p w:rsidR="00A70D39" w:rsidRPr="001107AD" w:rsidRDefault="00A70D39" w:rsidP="00A70D39">
      <w:pPr>
        <w:spacing w:after="0" w:line="240" w:lineRule="auto"/>
        <w:jc w:val="both"/>
        <w:rPr>
          <w:rFonts w:ascii="Times New Roman" w:hAnsi="Times New Roman"/>
          <w:sz w:val="24"/>
          <w:szCs w:val="24"/>
        </w:rPr>
      </w:pPr>
    </w:p>
    <w:p w:rsidR="002151A5" w:rsidRDefault="002151A5" w:rsidP="002151A5">
      <w:pPr>
        <w:widowControl w:val="0"/>
        <w:snapToGrid w:val="0"/>
        <w:spacing w:after="0" w:line="240" w:lineRule="auto"/>
        <w:jc w:val="both"/>
        <w:rPr>
          <w:rFonts w:ascii="Times New Roman" w:hAnsi="Times New Roman"/>
          <w:sz w:val="24"/>
          <w:szCs w:val="24"/>
        </w:rPr>
      </w:pPr>
      <w:r>
        <w:rPr>
          <w:rFonts w:ascii="Times New Roman" w:hAnsi="Times New Roman"/>
          <w:sz w:val="24"/>
          <w:szCs w:val="24"/>
        </w:rPr>
        <w:t xml:space="preserve">Schválené vládou Slovenskej republiky dňa </w:t>
      </w:r>
      <w:r w:rsidR="00E61856">
        <w:rPr>
          <w:rFonts w:ascii="Times New Roman" w:hAnsi="Times New Roman"/>
          <w:sz w:val="24"/>
          <w:szCs w:val="24"/>
        </w:rPr>
        <w:t>30. septembra</w:t>
      </w:r>
      <w:r>
        <w:rPr>
          <w:rFonts w:ascii="Times New Roman" w:hAnsi="Times New Roman"/>
          <w:sz w:val="24"/>
          <w:szCs w:val="24"/>
        </w:rPr>
        <w:t xml:space="preserve"> 2020.</w:t>
      </w:r>
    </w:p>
    <w:p w:rsidR="002151A5" w:rsidRDefault="002151A5" w:rsidP="002151A5">
      <w:pPr>
        <w:widowControl w:val="0"/>
        <w:snapToGrid w:val="0"/>
        <w:spacing w:after="0" w:line="240" w:lineRule="auto"/>
        <w:jc w:val="both"/>
        <w:rPr>
          <w:rFonts w:ascii="Times New Roman" w:hAnsi="Times New Roman"/>
          <w:sz w:val="24"/>
          <w:szCs w:val="24"/>
        </w:rPr>
      </w:pPr>
    </w:p>
    <w:p w:rsidR="002151A5" w:rsidRDefault="002151A5" w:rsidP="002151A5">
      <w:pPr>
        <w:widowControl w:val="0"/>
        <w:snapToGrid w:val="0"/>
        <w:spacing w:after="0" w:line="240" w:lineRule="auto"/>
        <w:jc w:val="both"/>
        <w:rPr>
          <w:rFonts w:ascii="Times New Roman" w:hAnsi="Times New Roman"/>
          <w:sz w:val="24"/>
          <w:szCs w:val="24"/>
        </w:rPr>
      </w:pPr>
    </w:p>
    <w:p w:rsidR="002151A5" w:rsidRDefault="002151A5" w:rsidP="002151A5">
      <w:pPr>
        <w:widowControl w:val="0"/>
        <w:snapToGrid w:val="0"/>
        <w:spacing w:after="0" w:line="240" w:lineRule="auto"/>
        <w:jc w:val="both"/>
        <w:rPr>
          <w:rFonts w:ascii="Times New Roman" w:hAnsi="Times New Roman"/>
          <w:sz w:val="24"/>
          <w:szCs w:val="24"/>
        </w:rPr>
      </w:pPr>
    </w:p>
    <w:p w:rsidR="002151A5" w:rsidRDefault="002151A5" w:rsidP="002151A5">
      <w:pPr>
        <w:widowControl w:val="0"/>
        <w:snapToGrid w:val="0"/>
        <w:spacing w:after="0" w:line="240" w:lineRule="auto"/>
        <w:jc w:val="both"/>
        <w:rPr>
          <w:rFonts w:ascii="Times New Roman" w:hAnsi="Times New Roman"/>
          <w:sz w:val="24"/>
          <w:szCs w:val="24"/>
        </w:rPr>
      </w:pPr>
    </w:p>
    <w:p w:rsidR="002151A5" w:rsidRDefault="002151A5" w:rsidP="002151A5">
      <w:pPr>
        <w:widowControl w:val="0"/>
        <w:snapToGrid w:val="0"/>
        <w:spacing w:after="0" w:line="240" w:lineRule="auto"/>
        <w:jc w:val="both"/>
        <w:rPr>
          <w:rFonts w:ascii="Times New Roman" w:hAnsi="Times New Roman"/>
          <w:sz w:val="24"/>
          <w:szCs w:val="24"/>
        </w:rPr>
      </w:pPr>
    </w:p>
    <w:p w:rsidR="002151A5" w:rsidRDefault="002151A5" w:rsidP="002151A5">
      <w:pPr>
        <w:tabs>
          <w:tab w:val="left" w:pos="283"/>
        </w:tabs>
        <w:autoSpaceDE w:val="0"/>
        <w:autoSpaceDN w:val="0"/>
        <w:adjustRightInd w:val="0"/>
        <w:spacing w:after="0" w:line="240" w:lineRule="auto"/>
        <w:jc w:val="center"/>
        <w:rPr>
          <w:rFonts w:ascii="Times New Roman" w:hAnsi="Times New Roman"/>
          <w:bCs/>
          <w:sz w:val="24"/>
          <w:szCs w:val="24"/>
          <w:lang w:eastAsia="sk-SK"/>
        </w:rPr>
      </w:pPr>
      <w:r>
        <w:rPr>
          <w:rFonts w:ascii="Times New Roman" w:hAnsi="Times New Roman"/>
          <w:bCs/>
          <w:sz w:val="24"/>
          <w:szCs w:val="24"/>
          <w:lang w:eastAsia="sk-SK"/>
        </w:rPr>
        <w:t>Igor Matovič</w:t>
      </w:r>
      <w:r w:rsidR="00035F9E">
        <w:rPr>
          <w:rFonts w:ascii="Times New Roman" w:hAnsi="Times New Roman"/>
          <w:bCs/>
          <w:sz w:val="24"/>
          <w:szCs w:val="24"/>
          <w:lang w:eastAsia="sk-SK"/>
        </w:rPr>
        <w:t xml:space="preserve"> v. r.</w:t>
      </w:r>
    </w:p>
    <w:p w:rsidR="002151A5" w:rsidRDefault="002151A5" w:rsidP="002151A5">
      <w:pPr>
        <w:tabs>
          <w:tab w:val="left" w:pos="283"/>
        </w:tabs>
        <w:autoSpaceDE w:val="0"/>
        <w:autoSpaceDN w:val="0"/>
        <w:adjustRightInd w:val="0"/>
        <w:spacing w:after="0" w:line="240" w:lineRule="auto"/>
        <w:jc w:val="center"/>
        <w:rPr>
          <w:rFonts w:ascii="Times New Roman" w:hAnsi="Times New Roman"/>
          <w:bCs/>
          <w:sz w:val="24"/>
          <w:szCs w:val="24"/>
          <w:lang w:eastAsia="sk-SK"/>
        </w:rPr>
      </w:pPr>
      <w:r>
        <w:rPr>
          <w:rFonts w:ascii="Times New Roman" w:hAnsi="Times New Roman"/>
          <w:bCs/>
          <w:sz w:val="24"/>
          <w:szCs w:val="24"/>
          <w:lang w:eastAsia="sk-SK"/>
        </w:rPr>
        <w:t>predseda vlády Slovenskej republiky</w:t>
      </w:r>
    </w:p>
    <w:p w:rsidR="002151A5" w:rsidRDefault="002151A5" w:rsidP="002151A5">
      <w:pPr>
        <w:tabs>
          <w:tab w:val="left" w:pos="283"/>
        </w:tabs>
        <w:autoSpaceDE w:val="0"/>
        <w:autoSpaceDN w:val="0"/>
        <w:adjustRightInd w:val="0"/>
        <w:spacing w:after="0" w:line="240" w:lineRule="auto"/>
        <w:jc w:val="center"/>
        <w:rPr>
          <w:rFonts w:ascii="Times New Roman" w:hAnsi="Times New Roman"/>
          <w:bCs/>
          <w:sz w:val="24"/>
          <w:szCs w:val="24"/>
          <w:lang w:eastAsia="sk-SK"/>
        </w:rPr>
      </w:pPr>
    </w:p>
    <w:p w:rsidR="002151A5" w:rsidRDefault="002151A5" w:rsidP="002151A5">
      <w:pPr>
        <w:tabs>
          <w:tab w:val="left" w:pos="283"/>
        </w:tabs>
        <w:autoSpaceDE w:val="0"/>
        <w:autoSpaceDN w:val="0"/>
        <w:adjustRightInd w:val="0"/>
        <w:spacing w:after="0" w:line="240" w:lineRule="auto"/>
        <w:jc w:val="center"/>
        <w:rPr>
          <w:rFonts w:ascii="Times New Roman" w:hAnsi="Times New Roman"/>
          <w:bCs/>
          <w:sz w:val="24"/>
          <w:szCs w:val="24"/>
          <w:lang w:eastAsia="sk-SK"/>
        </w:rPr>
      </w:pPr>
    </w:p>
    <w:p w:rsidR="002151A5" w:rsidRDefault="002151A5" w:rsidP="002151A5">
      <w:pPr>
        <w:tabs>
          <w:tab w:val="left" w:pos="283"/>
        </w:tabs>
        <w:autoSpaceDE w:val="0"/>
        <w:autoSpaceDN w:val="0"/>
        <w:adjustRightInd w:val="0"/>
        <w:spacing w:after="0" w:line="240" w:lineRule="auto"/>
        <w:jc w:val="center"/>
        <w:rPr>
          <w:rFonts w:ascii="Times New Roman" w:hAnsi="Times New Roman"/>
          <w:bCs/>
          <w:sz w:val="24"/>
          <w:szCs w:val="24"/>
          <w:lang w:eastAsia="sk-SK"/>
        </w:rPr>
      </w:pPr>
    </w:p>
    <w:p w:rsidR="002151A5" w:rsidRDefault="002151A5" w:rsidP="002151A5">
      <w:pPr>
        <w:tabs>
          <w:tab w:val="left" w:pos="283"/>
        </w:tabs>
        <w:autoSpaceDE w:val="0"/>
        <w:autoSpaceDN w:val="0"/>
        <w:adjustRightInd w:val="0"/>
        <w:spacing w:after="0" w:line="240" w:lineRule="auto"/>
        <w:jc w:val="center"/>
        <w:rPr>
          <w:rFonts w:ascii="Times New Roman" w:hAnsi="Times New Roman"/>
          <w:bCs/>
          <w:sz w:val="24"/>
          <w:szCs w:val="24"/>
          <w:lang w:eastAsia="sk-SK"/>
        </w:rPr>
      </w:pPr>
    </w:p>
    <w:p w:rsidR="002151A5" w:rsidRDefault="002151A5" w:rsidP="002151A5">
      <w:pPr>
        <w:tabs>
          <w:tab w:val="left" w:pos="283"/>
        </w:tabs>
        <w:autoSpaceDE w:val="0"/>
        <w:autoSpaceDN w:val="0"/>
        <w:adjustRightInd w:val="0"/>
        <w:spacing w:after="0" w:line="240" w:lineRule="auto"/>
        <w:jc w:val="center"/>
        <w:rPr>
          <w:rFonts w:ascii="Times New Roman" w:hAnsi="Times New Roman"/>
          <w:bCs/>
          <w:sz w:val="24"/>
          <w:szCs w:val="24"/>
          <w:lang w:eastAsia="sk-SK"/>
        </w:rPr>
      </w:pPr>
    </w:p>
    <w:p w:rsidR="002151A5" w:rsidRDefault="002151A5" w:rsidP="002151A5">
      <w:pPr>
        <w:tabs>
          <w:tab w:val="left" w:pos="283"/>
        </w:tabs>
        <w:autoSpaceDE w:val="0"/>
        <w:autoSpaceDN w:val="0"/>
        <w:adjustRightInd w:val="0"/>
        <w:spacing w:after="0" w:line="240" w:lineRule="auto"/>
        <w:jc w:val="center"/>
        <w:rPr>
          <w:rFonts w:ascii="Times New Roman" w:hAnsi="Times New Roman"/>
          <w:bCs/>
          <w:sz w:val="24"/>
          <w:szCs w:val="24"/>
          <w:lang w:eastAsia="sk-SK"/>
        </w:rPr>
      </w:pPr>
      <w:r>
        <w:rPr>
          <w:rFonts w:ascii="Times New Roman" w:hAnsi="Times New Roman"/>
          <w:bCs/>
          <w:sz w:val="24"/>
          <w:szCs w:val="24"/>
          <w:lang w:eastAsia="sk-SK"/>
        </w:rPr>
        <w:t xml:space="preserve">Eduard </w:t>
      </w:r>
      <w:proofErr w:type="spellStart"/>
      <w:r>
        <w:rPr>
          <w:rFonts w:ascii="Times New Roman" w:hAnsi="Times New Roman"/>
          <w:bCs/>
          <w:sz w:val="24"/>
          <w:szCs w:val="24"/>
          <w:lang w:eastAsia="sk-SK"/>
        </w:rPr>
        <w:t>Heger</w:t>
      </w:r>
      <w:proofErr w:type="spellEnd"/>
      <w:r w:rsidR="00035F9E">
        <w:rPr>
          <w:rFonts w:ascii="Times New Roman" w:hAnsi="Times New Roman"/>
          <w:bCs/>
          <w:sz w:val="24"/>
          <w:szCs w:val="24"/>
          <w:lang w:eastAsia="sk-SK"/>
        </w:rPr>
        <w:t xml:space="preserve"> v. r.</w:t>
      </w:r>
    </w:p>
    <w:p w:rsidR="002151A5" w:rsidRDefault="002151A5" w:rsidP="002151A5">
      <w:pPr>
        <w:tabs>
          <w:tab w:val="left" w:pos="283"/>
        </w:tabs>
        <w:autoSpaceDE w:val="0"/>
        <w:autoSpaceDN w:val="0"/>
        <w:adjustRightInd w:val="0"/>
        <w:spacing w:after="0" w:line="240" w:lineRule="auto"/>
        <w:jc w:val="center"/>
        <w:rPr>
          <w:rFonts w:ascii="Times New Roman" w:hAnsi="Times New Roman"/>
          <w:bCs/>
          <w:sz w:val="24"/>
          <w:szCs w:val="24"/>
          <w:lang w:eastAsia="sk-SK"/>
        </w:rPr>
      </w:pPr>
      <w:r>
        <w:rPr>
          <w:rFonts w:ascii="Times New Roman" w:hAnsi="Times New Roman"/>
          <w:bCs/>
          <w:sz w:val="24"/>
          <w:szCs w:val="24"/>
          <w:lang w:eastAsia="sk-SK"/>
        </w:rPr>
        <w:t>podpredseda vlády a minister financií Slovenskej republiky</w:t>
      </w:r>
    </w:p>
    <w:p w:rsidR="002151A5" w:rsidRDefault="002151A5" w:rsidP="002151A5">
      <w:pPr>
        <w:spacing w:after="0" w:line="240" w:lineRule="auto"/>
        <w:jc w:val="both"/>
        <w:rPr>
          <w:rFonts w:ascii="Times New Roman" w:eastAsiaTheme="minorHAnsi" w:hAnsi="Times New Roman"/>
          <w:color w:val="000000"/>
          <w:sz w:val="24"/>
          <w:szCs w:val="24"/>
        </w:rPr>
      </w:pPr>
    </w:p>
    <w:p w:rsidR="00A70D39" w:rsidRPr="001107AD" w:rsidRDefault="00A70D39" w:rsidP="00A70D39">
      <w:pPr>
        <w:spacing w:after="0" w:line="240" w:lineRule="auto"/>
        <w:rPr>
          <w:rFonts w:ascii="Times New Roman" w:hAnsi="Times New Roman"/>
          <w:sz w:val="24"/>
          <w:szCs w:val="24"/>
        </w:rPr>
      </w:pPr>
    </w:p>
    <w:p w:rsidR="00837BB6" w:rsidRPr="009B4EFA" w:rsidRDefault="00837BB6" w:rsidP="00E25B9A">
      <w:pPr>
        <w:pStyle w:val="Nadpis7"/>
        <w:ind w:firstLine="0"/>
        <w:rPr>
          <w:rFonts w:ascii="Times New Roman" w:hAnsi="Times New Roman"/>
          <w:sz w:val="24"/>
        </w:rPr>
      </w:pPr>
      <w:bookmarkStart w:id="5" w:name="_GoBack"/>
      <w:bookmarkEnd w:id="5"/>
    </w:p>
    <w:sectPr w:rsidR="00837BB6" w:rsidRPr="009B4EFA" w:rsidSect="008735B8">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595" w:rsidRDefault="00903595">
      <w:pPr>
        <w:spacing w:after="0" w:line="240" w:lineRule="auto"/>
      </w:pPr>
      <w:r>
        <w:separator/>
      </w:r>
    </w:p>
  </w:endnote>
  <w:endnote w:type="continuationSeparator" w:id="0">
    <w:p w:rsidR="00903595" w:rsidRDefault="00903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Calibri">
    <w:altName w:val="Century Gothic"/>
    <w:panose1 w:val="020F0502020204030204"/>
    <w:charset w:val="EE"/>
    <w:family w:val="swiss"/>
    <w:pitch w:val="variable"/>
    <w:sig w:usb0="E00002FF" w:usb1="4000ACFF" w:usb2="00000001" w:usb3="00000000" w:csb0="0000019F" w:csb1="00000000"/>
  </w:font>
  <w:font w:name="Vrinda">
    <w:altName w:val="Gadugi"/>
    <w:panose1 w:val="020B0502040204020203"/>
    <w:charset w:val="00"/>
    <w:family w:val="swiss"/>
    <w:pitch w:val="variable"/>
    <w:sig w:usb0="00010003" w:usb1="00000000" w:usb2="00000000" w:usb3="00000000" w:csb0="00000001" w:csb1="00000000"/>
  </w:font>
  <w:font w:name="Cambria">
    <w:altName w:val="Palatino Linotype"/>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MS Gothic">
    <w:altName w:val="?l?r SVbN"/>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595" w:rsidRDefault="0090359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903595" w:rsidRDefault="00903595">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595" w:rsidRDefault="00903595" w:rsidP="002151A5">
    <w:pPr>
      <w:pStyle w:val="Pta"/>
      <w:jc w:val="center"/>
    </w:pPr>
    <w:r>
      <w:fldChar w:fldCharType="begin"/>
    </w:r>
    <w:r>
      <w:instrText>PAGE   \* MERGEFORMAT</w:instrText>
    </w:r>
    <w:r>
      <w:fldChar w:fldCharType="separate"/>
    </w:r>
    <w:r w:rsidR="00301D8D">
      <w:rPr>
        <w:noProof/>
      </w:rPr>
      <w:t>26</w:t>
    </w:r>
    <w:r>
      <w:fldChar w:fldCharType="end"/>
    </w:r>
  </w:p>
  <w:p w:rsidR="00903595" w:rsidRDefault="00903595">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595" w:rsidRDefault="00903595">
    <w:pPr>
      <w:pStyle w:val="Pta"/>
      <w:jc w:val="right"/>
    </w:pPr>
    <w:r>
      <w:fldChar w:fldCharType="begin"/>
    </w:r>
    <w:r>
      <w:instrText>PAGE   \* MERGEFORMAT</w:instrText>
    </w:r>
    <w:r>
      <w:fldChar w:fldCharType="separate"/>
    </w:r>
    <w:r>
      <w:rPr>
        <w:noProof/>
      </w:rPr>
      <w:t>0</w:t>
    </w:r>
    <w:r>
      <w:fldChar w:fldCharType="end"/>
    </w:r>
  </w:p>
  <w:p w:rsidR="00903595" w:rsidRDefault="0090359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595" w:rsidRDefault="00903595">
      <w:pPr>
        <w:spacing w:after="0" w:line="240" w:lineRule="auto"/>
      </w:pPr>
      <w:r>
        <w:separator/>
      </w:r>
    </w:p>
  </w:footnote>
  <w:footnote w:type="continuationSeparator" w:id="0">
    <w:p w:rsidR="00903595" w:rsidRDefault="009035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595" w:rsidRDefault="00903595" w:rsidP="002151A5">
    <w:pPr>
      <w:pStyle w:val="Hlavika"/>
      <w:jc w:val="right"/>
      <w:rPr>
        <w:sz w:val="24"/>
        <w:szCs w:val="24"/>
      </w:rPr>
    </w:pPr>
    <w:r>
      <w:rPr>
        <w:sz w:val="24"/>
        <w:szCs w:val="24"/>
      </w:rPr>
      <w:t>Príloha č. 2</w:t>
    </w:r>
  </w:p>
  <w:p w:rsidR="00903595" w:rsidRPr="00EB59C8" w:rsidRDefault="00903595" w:rsidP="002151A5">
    <w:pPr>
      <w:pStyle w:val="Hlavika"/>
      <w:jc w:val="right"/>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595" w:rsidRPr="000A15AE" w:rsidRDefault="00903595" w:rsidP="002151A5">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E7846"/>
    <w:multiLevelType w:val="hybridMultilevel"/>
    <w:tmpl w:val="8CF61D34"/>
    <w:lvl w:ilvl="0" w:tplc="9E942AE2">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8544044"/>
    <w:multiLevelType w:val="hybridMultilevel"/>
    <w:tmpl w:val="97ECC256"/>
    <w:lvl w:ilvl="0" w:tplc="FCC6C8D8">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88F78F0"/>
    <w:multiLevelType w:val="hybridMultilevel"/>
    <w:tmpl w:val="D2BC2350"/>
    <w:lvl w:ilvl="0" w:tplc="75FCD9E0">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212621E"/>
    <w:multiLevelType w:val="hybridMultilevel"/>
    <w:tmpl w:val="E3828A1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A893C1D"/>
    <w:multiLevelType w:val="hybridMultilevel"/>
    <w:tmpl w:val="EBD883E4"/>
    <w:lvl w:ilvl="0" w:tplc="041B0003">
      <w:start w:val="1"/>
      <w:numFmt w:val="bullet"/>
      <w:lvlText w:val="o"/>
      <w:lvlJc w:val="left"/>
      <w:pPr>
        <w:ind w:left="1050" w:hanging="360"/>
      </w:pPr>
      <w:rPr>
        <w:rFonts w:ascii="Courier New" w:hAnsi="Courier New" w:hint="default"/>
      </w:rPr>
    </w:lvl>
    <w:lvl w:ilvl="1" w:tplc="041B0003">
      <w:start w:val="1"/>
      <w:numFmt w:val="bullet"/>
      <w:lvlText w:val="o"/>
      <w:lvlJc w:val="left"/>
      <w:pPr>
        <w:ind w:left="1770" w:hanging="360"/>
      </w:pPr>
      <w:rPr>
        <w:rFonts w:ascii="Courier New" w:hAnsi="Courier New" w:hint="default"/>
      </w:rPr>
    </w:lvl>
    <w:lvl w:ilvl="2" w:tplc="041B0005" w:tentative="1">
      <w:start w:val="1"/>
      <w:numFmt w:val="bullet"/>
      <w:lvlText w:val=""/>
      <w:lvlJc w:val="left"/>
      <w:pPr>
        <w:ind w:left="2490" w:hanging="360"/>
      </w:pPr>
      <w:rPr>
        <w:rFonts w:ascii="Wingdings" w:hAnsi="Wingdings" w:hint="default"/>
      </w:rPr>
    </w:lvl>
    <w:lvl w:ilvl="3" w:tplc="041B0001" w:tentative="1">
      <w:start w:val="1"/>
      <w:numFmt w:val="bullet"/>
      <w:lvlText w:val=""/>
      <w:lvlJc w:val="left"/>
      <w:pPr>
        <w:ind w:left="3210" w:hanging="360"/>
      </w:pPr>
      <w:rPr>
        <w:rFonts w:ascii="Symbol" w:hAnsi="Symbol" w:hint="default"/>
      </w:rPr>
    </w:lvl>
    <w:lvl w:ilvl="4" w:tplc="041B0003" w:tentative="1">
      <w:start w:val="1"/>
      <w:numFmt w:val="bullet"/>
      <w:lvlText w:val="o"/>
      <w:lvlJc w:val="left"/>
      <w:pPr>
        <w:ind w:left="3930" w:hanging="360"/>
      </w:pPr>
      <w:rPr>
        <w:rFonts w:ascii="Courier New" w:hAnsi="Courier New" w:hint="default"/>
      </w:rPr>
    </w:lvl>
    <w:lvl w:ilvl="5" w:tplc="041B0005" w:tentative="1">
      <w:start w:val="1"/>
      <w:numFmt w:val="bullet"/>
      <w:lvlText w:val=""/>
      <w:lvlJc w:val="left"/>
      <w:pPr>
        <w:ind w:left="4650" w:hanging="360"/>
      </w:pPr>
      <w:rPr>
        <w:rFonts w:ascii="Wingdings" w:hAnsi="Wingdings" w:hint="default"/>
      </w:rPr>
    </w:lvl>
    <w:lvl w:ilvl="6" w:tplc="041B0001" w:tentative="1">
      <w:start w:val="1"/>
      <w:numFmt w:val="bullet"/>
      <w:lvlText w:val=""/>
      <w:lvlJc w:val="left"/>
      <w:pPr>
        <w:ind w:left="5370" w:hanging="360"/>
      </w:pPr>
      <w:rPr>
        <w:rFonts w:ascii="Symbol" w:hAnsi="Symbol" w:hint="default"/>
      </w:rPr>
    </w:lvl>
    <w:lvl w:ilvl="7" w:tplc="041B0003" w:tentative="1">
      <w:start w:val="1"/>
      <w:numFmt w:val="bullet"/>
      <w:lvlText w:val="o"/>
      <w:lvlJc w:val="left"/>
      <w:pPr>
        <w:ind w:left="6090" w:hanging="360"/>
      </w:pPr>
      <w:rPr>
        <w:rFonts w:ascii="Courier New" w:hAnsi="Courier New" w:hint="default"/>
      </w:rPr>
    </w:lvl>
    <w:lvl w:ilvl="8" w:tplc="041B0005" w:tentative="1">
      <w:start w:val="1"/>
      <w:numFmt w:val="bullet"/>
      <w:lvlText w:val=""/>
      <w:lvlJc w:val="left"/>
      <w:pPr>
        <w:ind w:left="6810" w:hanging="360"/>
      </w:pPr>
      <w:rPr>
        <w:rFonts w:ascii="Wingdings" w:hAnsi="Wingdings" w:hint="default"/>
      </w:rPr>
    </w:lvl>
  </w:abstractNum>
  <w:abstractNum w:abstractNumId="5" w15:restartNumberingAfterBreak="0">
    <w:nsid w:val="1B3D2759"/>
    <w:multiLevelType w:val="hybridMultilevel"/>
    <w:tmpl w:val="62F23B12"/>
    <w:lvl w:ilvl="0" w:tplc="E3B42F8A">
      <w:start w:val="1"/>
      <w:numFmt w:val="decimal"/>
      <w:lvlText w:val="(%1)"/>
      <w:lvlJc w:val="left"/>
      <w:pPr>
        <w:ind w:left="207" w:hanging="207"/>
      </w:pPr>
      <w:rPr>
        <w:rFonts w:cs="Times New Roman" w:hint="default"/>
        <w:b w:val="0"/>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7761B14"/>
    <w:multiLevelType w:val="hybridMultilevel"/>
    <w:tmpl w:val="DC961160"/>
    <w:lvl w:ilvl="0" w:tplc="56103E06">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7DF61D3"/>
    <w:multiLevelType w:val="hybridMultilevel"/>
    <w:tmpl w:val="B1687168"/>
    <w:lvl w:ilvl="0" w:tplc="A9C6C0EC">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978095D"/>
    <w:multiLevelType w:val="hybridMultilevel"/>
    <w:tmpl w:val="DDFCAD50"/>
    <w:lvl w:ilvl="0" w:tplc="C5A4B6B8">
      <w:start w:val="1"/>
      <w:numFmt w:val="decimal"/>
      <w:lvlText w:val="(%1)"/>
      <w:lvlJc w:val="left"/>
      <w:pPr>
        <w:ind w:left="567" w:hanging="207"/>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BC26885"/>
    <w:multiLevelType w:val="hybridMultilevel"/>
    <w:tmpl w:val="3B8CFCF4"/>
    <w:lvl w:ilvl="0" w:tplc="C56C50C6">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2DF55399"/>
    <w:multiLevelType w:val="hybridMultilevel"/>
    <w:tmpl w:val="E1BC9BCE"/>
    <w:lvl w:ilvl="0" w:tplc="C10EA72C">
      <w:start w:val="1"/>
      <w:numFmt w:val="decimal"/>
      <w:lvlText w:val="%1."/>
      <w:lvlJc w:val="left"/>
      <w:pPr>
        <w:ind w:left="644" w:hanging="360"/>
      </w:pPr>
      <w:rPr>
        <w:rFonts w:cs="Times New Roman"/>
        <w:b w:val="0"/>
        <w:i w:val="0"/>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1" w15:restartNumberingAfterBreak="0">
    <w:nsid w:val="32EC4DD7"/>
    <w:multiLevelType w:val="hybridMultilevel"/>
    <w:tmpl w:val="013E00B0"/>
    <w:lvl w:ilvl="0" w:tplc="E588256E">
      <w:start w:val="1"/>
      <w:numFmt w:val="lowerLetter"/>
      <w:lvlText w:val="%1)"/>
      <w:lvlJc w:val="left"/>
      <w:pPr>
        <w:ind w:left="644" w:hanging="360"/>
      </w:pPr>
      <w:rPr>
        <w:rFonts w:cs="Times New Roman" w:hint="default"/>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71D0FE8"/>
    <w:multiLevelType w:val="hybridMultilevel"/>
    <w:tmpl w:val="BD609120"/>
    <w:lvl w:ilvl="0" w:tplc="768E8086">
      <w:start w:val="1"/>
      <w:numFmt w:val="bullet"/>
      <w:lvlText w:val="-"/>
      <w:lvlJc w:val="left"/>
      <w:pPr>
        <w:tabs>
          <w:tab w:val="num" w:pos="644"/>
        </w:tabs>
        <w:ind w:left="644" w:hanging="360"/>
      </w:pPr>
      <w:rPr>
        <w:rFonts w:hint="default"/>
        <w:b w:val="0"/>
      </w:rPr>
    </w:lvl>
    <w:lvl w:ilvl="1" w:tplc="041B0019">
      <w:start w:val="1"/>
      <w:numFmt w:val="lowerLetter"/>
      <w:lvlText w:val="%2."/>
      <w:lvlJc w:val="left"/>
      <w:pPr>
        <w:tabs>
          <w:tab w:val="num" w:pos="1364"/>
        </w:tabs>
        <w:ind w:left="1364" w:hanging="360"/>
      </w:pPr>
      <w:rPr>
        <w:rFonts w:cs="Times New Roman"/>
      </w:rPr>
    </w:lvl>
    <w:lvl w:ilvl="2" w:tplc="041B001B">
      <w:start w:val="1"/>
      <w:numFmt w:val="lowerRoman"/>
      <w:lvlText w:val="%3."/>
      <w:lvlJc w:val="right"/>
      <w:pPr>
        <w:tabs>
          <w:tab w:val="num" w:pos="2084"/>
        </w:tabs>
        <w:ind w:left="2084" w:hanging="180"/>
      </w:pPr>
      <w:rPr>
        <w:rFonts w:cs="Times New Roman"/>
      </w:rPr>
    </w:lvl>
    <w:lvl w:ilvl="3" w:tplc="041B000F">
      <w:start w:val="1"/>
      <w:numFmt w:val="decimal"/>
      <w:lvlText w:val="%4."/>
      <w:lvlJc w:val="left"/>
      <w:pPr>
        <w:tabs>
          <w:tab w:val="num" w:pos="2804"/>
        </w:tabs>
        <w:ind w:left="2804" w:hanging="360"/>
      </w:pPr>
      <w:rPr>
        <w:rFonts w:cs="Times New Roman"/>
      </w:rPr>
    </w:lvl>
    <w:lvl w:ilvl="4" w:tplc="041B0019">
      <w:start w:val="1"/>
      <w:numFmt w:val="lowerLetter"/>
      <w:lvlText w:val="%5."/>
      <w:lvlJc w:val="left"/>
      <w:pPr>
        <w:tabs>
          <w:tab w:val="num" w:pos="3524"/>
        </w:tabs>
        <w:ind w:left="3524" w:hanging="360"/>
      </w:pPr>
      <w:rPr>
        <w:rFonts w:cs="Times New Roman"/>
      </w:rPr>
    </w:lvl>
    <w:lvl w:ilvl="5" w:tplc="041B001B">
      <w:start w:val="1"/>
      <w:numFmt w:val="lowerRoman"/>
      <w:lvlText w:val="%6."/>
      <w:lvlJc w:val="right"/>
      <w:pPr>
        <w:tabs>
          <w:tab w:val="num" w:pos="4244"/>
        </w:tabs>
        <w:ind w:left="4244" w:hanging="180"/>
      </w:pPr>
      <w:rPr>
        <w:rFonts w:cs="Times New Roman"/>
      </w:rPr>
    </w:lvl>
    <w:lvl w:ilvl="6" w:tplc="041B000F">
      <w:start w:val="1"/>
      <w:numFmt w:val="decimal"/>
      <w:lvlText w:val="%7."/>
      <w:lvlJc w:val="left"/>
      <w:pPr>
        <w:tabs>
          <w:tab w:val="num" w:pos="4964"/>
        </w:tabs>
        <w:ind w:left="4964" w:hanging="360"/>
      </w:pPr>
      <w:rPr>
        <w:rFonts w:cs="Times New Roman"/>
      </w:rPr>
    </w:lvl>
    <w:lvl w:ilvl="7" w:tplc="041B0019">
      <w:start w:val="1"/>
      <w:numFmt w:val="lowerLetter"/>
      <w:lvlText w:val="%8."/>
      <w:lvlJc w:val="left"/>
      <w:pPr>
        <w:tabs>
          <w:tab w:val="num" w:pos="5684"/>
        </w:tabs>
        <w:ind w:left="5684" w:hanging="360"/>
      </w:pPr>
      <w:rPr>
        <w:rFonts w:cs="Times New Roman"/>
      </w:rPr>
    </w:lvl>
    <w:lvl w:ilvl="8" w:tplc="041B001B">
      <w:start w:val="1"/>
      <w:numFmt w:val="lowerRoman"/>
      <w:lvlText w:val="%9."/>
      <w:lvlJc w:val="right"/>
      <w:pPr>
        <w:tabs>
          <w:tab w:val="num" w:pos="6404"/>
        </w:tabs>
        <w:ind w:left="6404" w:hanging="180"/>
      </w:pPr>
      <w:rPr>
        <w:rFonts w:cs="Times New Roman"/>
      </w:rPr>
    </w:lvl>
  </w:abstractNum>
  <w:abstractNum w:abstractNumId="13" w15:restartNumberingAfterBreak="0">
    <w:nsid w:val="40BB08A6"/>
    <w:multiLevelType w:val="hybridMultilevel"/>
    <w:tmpl w:val="9A7024FA"/>
    <w:lvl w:ilvl="0" w:tplc="CCCEB200">
      <w:start w:val="6"/>
      <w:numFmt w:val="bullet"/>
      <w:lvlText w:val="-"/>
      <w:lvlJc w:val="left"/>
      <w:pPr>
        <w:tabs>
          <w:tab w:val="num" w:pos="900"/>
        </w:tabs>
        <w:ind w:left="900" w:hanging="360"/>
      </w:pPr>
      <w:rPr>
        <w:rFonts w:ascii="Times New Roman" w:eastAsia="Times New Roman" w:hAnsi="Times New Roman" w:hint="default"/>
      </w:rPr>
    </w:lvl>
    <w:lvl w:ilvl="1" w:tplc="FDEA91CA">
      <w:start w:val="1"/>
      <w:numFmt w:val="lowerLetter"/>
      <w:lvlText w:val="%2)"/>
      <w:lvlJc w:val="left"/>
      <w:pPr>
        <w:tabs>
          <w:tab w:val="num" w:pos="417"/>
        </w:tabs>
        <w:ind w:left="720" w:hanging="360"/>
      </w:pPr>
      <w:rPr>
        <w:rFonts w:cs="Times New Roman" w:hint="default"/>
      </w:rPr>
    </w:lvl>
    <w:lvl w:ilvl="2" w:tplc="041B0005">
      <w:start w:val="1"/>
      <w:numFmt w:val="bullet"/>
      <w:lvlText w:val=""/>
      <w:lvlJc w:val="left"/>
      <w:pPr>
        <w:tabs>
          <w:tab w:val="num" w:pos="2340"/>
        </w:tabs>
        <w:ind w:left="2340" w:hanging="360"/>
      </w:pPr>
      <w:rPr>
        <w:rFonts w:ascii="Wingdings" w:hAnsi="Wingdings" w:hint="default"/>
      </w:rPr>
    </w:lvl>
    <w:lvl w:ilvl="3" w:tplc="041B0001">
      <w:start w:val="1"/>
      <w:numFmt w:val="bullet"/>
      <w:lvlText w:val=""/>
      <w:lvlJc w:val="left"/>
      <w:pPr>
        <w:tabs>
          <w:tab w:val="num" w:pos="3060"/>
        </w:tabs>
        <w:ind w:left="3060" w:hanging="360"/>
      </w:pPr>
      <w:rPr>
        <w:rFonts w:ascii="Symbol" w:hAnsi="Symbol" w:hint="default"/>
      </w:rPr>
    </w:lvl>
    <w:lvl w:ilvl="4" w:tplc="041B0003">
      <w:start w:val="1"/>
      <w:numFmt w:val="bullet"/>
      <w:lvlText w:val="o"/>
      <w:lvlJc w:val="left"/>
      <w:pPr>
        <w:tabs>
          <w:tab w:val="num" w:pos="3780"/>
        </w:tabs>
        <w:ind w:left="3780" w:hanging="360"/>
      </w:pPr>
      <w:rPr>
        <w:rFonts w:ascii="Courier New" w:hAnsi="Courier New" w:hint="default"/>
      </w:rPr>
    </w:lvl>
    <w:lvl w:ilvl="5" w:tplc="041B0005">
      <w:start w:val="1"/>
      <w:numFmt w:val="bullet"/>
      <w:lvlText w:val=""/>
      <w:lvlJc w:val="left"/>
      <w:pPr>
        <w:tabs>
          <w:tab w:val="num" w:pos="4500"/>
        </w:tabs>
        <w:ind w:left="4500" w:hanging="360"/>
      </w:pPr>
      <w:rPr>
        <w:rFonts w:ascii="Wingdings" w:hAnsi="Wingdings" w:hint="default"/>
      </w:rPr>
    </w:lvl>
    <w:lvl w:ilvl="6" w:tplc="041B0001">
      <w:start w:val="1"/>
      <w:numFmt w:val="bullet"/>
      <w:lvlText w:val=""/>
      <w:lvlJc w:val="left"/>
      <w:pPr>
        <w:tabs>
          <w:tab w:val="num" w:pos="5220"/>
        </w:tabs>
        <w:ind w:left="5220" w:hanging="360"/>
      </w:pPr>
      <w:rPr>
        <w:rFonts w:ascii="Symbol" w:hAnsi="Symbol" w:hint="default"/>
      </w:rPr>
    </w:lvl>
    <w:lvl w:ilvl="7" w:tplc="041B0003">
      <w:start w:val="1"/>
      <w:numFmt w:val="bullet"/>
      <w:lvlText w:val="o"/>
      <w:lvlJc w:val="left"/>
      <w:pPr>
        <w:tabs>
          <w:tab w:val="num" w:pos="5940"/>
        </w:tabs>
        <w:ind w:left="5940" w:hanging="360"/>
      </w:pPr>
      <w:rPr>
        <w:rFonts w:ascii="Courier New" w:hAnsi="Courier New" w:hint="default"/>
      </w:rPr>
    </w:lvl>
    <w:lvl w:ilvl="8" w:tplc="041B0005">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429921A9"/>
    <w:multiLevelType w:val="hybridMultilevel"/>
    <w:tmpl w:val="3CB2FBD6"/>
    <w:lvl w:ilvl="0" w:tplc="041B0005">
      <w:start w:val="1"/>
      <w:numFmt w:val="bullet"/>
      <w:lvlText w:val=""/>
      <w:lvlJc w:val="left"/>
      <w:pPr>
        <w:ind w:left="720" w:hanging="360"/>
      </w:pPr>
      <w:rPr>
        <w:rFonts w:ascii="Wingdings" w:hAnsi="Wingdings" w:hint="default"/>
      </w:rPr>
    </w:lvl>
    <w:lvl w:ilvl="1" w:tplc="E3A4BB28">
      <w:numFmt w:val="bullet"/>
      <w:lvlText w:val="-"/>
      <w:lvlJc w:val="left"/>
      <w:pPr>
        <w:ind w:left="1440" w:hanging="360"/>
      </w:pPr>
      <w:rPr>
        <w:rFonts w:ascii="Arial Narrow" w:eastAsia="Times New Roman" w:hAnsi="Arial Narro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914168F"/>
    <w:multiLevelType w:val="hybridMultilevel"/>
    <w:tmpl w:val="DD2A12F2"/>
    <w:lvl w:ilvl="0" w:tplc="DFD21DC2">
      <w:numFmt w:val="bullet"/>
      <w:lvlText w:val="-"/>
      <w:lvlJc w:val="left"/>
      <w:pPr>
        <w:ind w:left="405" w:hanging="360"/>
      </w:pPr>
      <w:rPr>
        <w:rFonts w:ascii="Calibri" w:eastAsia="Times New Roman" w:hAnsi="Calibri" w:hint="default"/>
      </w:rPr>
    </w:lvl>
    <w:lvl w:ilvl="1" w:tplc="041B0003">
      <w:start w:val="1"/>
      <w:numFmt w:val="bullet"/>
      <w:lvlText w:val="o"/>
      <w:lvlJc w:val="left"/>
      <w:pPr>
        <w:ind w:left="1125" w:hanging="360"/>
      </w:pPr>
      <w:rPr>
        <w:rFonts w:ascii="Courier New" w:hAnsi="Courier New" w:hint="default"/>
      </w:rPr>
    </w:lvl>
    <w:lvl w:ilvl="2" w:tplc="041B0005">
      <w:start w:val="1"/>
      <w:numFmt w:val="bullet"/>
      <w:lvlText w:val=""/>
      <w:lvlJc w:val="left"/>
      <w:pPr>
        <w:ind w:left="1845" w:hanging="360"/>
      </w:pPr>
      <w:rPr>
        <w:rFonts w:ascii="Wingdings" w:hAnsi="Wingdings" w:hint="default"/>
      </w:rPr>
    </w:lvl>
    <w:lvl w:ilvl="3" w:tplc="041B0001">
      <w:start w:val="1"/>
      <w:numFmt w:val="bullet"/>
      <w:lvlText w:val=""/>
      <w:lvlJc w:val="left"/>
      <w:pPr>
        <w:ind w:left="2565" w:hanging="360"/>
      </w:pPr>
      <w:rPr>
        <w:rFonts w:ascii="Symbol" w:hAnsi="Symbol" w:hint="default"/>
      </w:rPr>
    </w:lvl>
    <w:lvl w:ilvl="4" w:tplc="041B0003">
      <w:start w:val="1"/>
      <w:numFmt w:val="bullet"/>
      <w:lvlText w:val="o"/>
      <w:lvlJc w:val="left"/>
      <w:pPr>
        <w:ind w:left="3285" w:hanging="360"/>
      </w:pPr>
      <w:rPr>
        <w:rFonts w:ascii="Courier New" w:hAnsi="Courier New" w:hint="default"/>
      </w:rPr>
    </w:lvl>
    <w:lvl w:ilvl="5" w:tplc="041B0005">
      <w:start w:val="1"/>
      <w:numFmt w:val="bullet"/>
      <w:lvlText w:val=""/>
      <w:lvlJc w:val="left"/>
      <w:pPr>
        <w:ind w:left="4005" w:hanging="360"/>
      </w:pPr>
      <w:rPr>
        <w:rFonts w:ascii="Wingdings" w:hAnsi="Wingdings" w:hint="default"/>
      </w:rPr>
    </w:lvl>
    <w:lvl w:ilvl="6" w:tplc="041B0001">
      <w:start w:val="1"/>
      <w:numFmt w:val="bullet"/>
      <w:lvlText w:val=""/>
      <w:lvlJc w:val="left"/>
      <w:pPr>
        <w:ind w:left="4725" w:hanging="360"/>
      </w:pPr>
      <w:rPr>
        <w:rFonts w:ascii="Symbol" w:hAnsi="Symbol" w:hint="default"/>
      </w:rPr>
    </w:lvl>
    <w:lvl w:ilvl="7" w:tplc="041B0003">
      <w:start w:val="1"/>
      <w:numFmt w:val="bullet"/>
      <w:lvlText w:val="o"/>
      <w:lvlJc w:val="left"/>
      <w:pPr>
        <w:ind w:left="5445" w:hanging="360"/>
      </w:pPr>
      <w:rPr>
        <w:rFonts w:ascii="Courier New" w:hAnsi="Courier New" w:hint="default"/>
      </w:rPr>
    </w:lvl>
    <w:lvl w:ilvl="8" w:tplc="041B0005">
      <w:start w:val="1"/>
      <w:numFmt w:val="bullet"/>
      <w:lvlText w:val=""/>
      <w:lvlJc w:val="left"/>
      <w:pPr>
        <w:ind w:left="6165" w:hanging="360"/>
      </w:pPr>
      <w:rPr>
        <w:rFonts w:ascii="Wingdings" w:hAnsi="Wingdings" w:hint="default"/>
      </w:rPr>
    </w:lvl>
  </w:abstractNum>
  <w:abstractNum w:abstractNumId="16" w15:restartNumberingAfterBreak="0">
    <w:nsid w:val="5B3C57DF"/>
    <w:multiLevelType w:val="hybridMultilevel"/>
    <w:tmpl w:val="8D3EFD26"/>
    <w:lvl w:ilvl="0" w:tplc="22DE1A78">
      <w:numFmt w:val="bullet"/>
      <w:lvlText w:val="–"/>
      <w:lvlJc w:val="center"/>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7" w15:restartNumberingAfterBreak="0">
    <w:nsid w:val="62826216"/>
    <w:multiLevelType w:val="hybridMultilevel"/>
    <w:tmpl w:val="8886DCC4"/>
    <w:lvl w:ilvl="0" w:tplc="EE72166E">
      <w:start w:val="1"/>
      <w:numFmt w:val="decimal"/>
      <w:lvlText w:val="(%1)"/>
      <w:lvlJc w:val="left"/>
      <w:pPr>
        <w:ind w:left="207" w:hanging="207"/>
      </w:pPr>
      <w:rPr>
        <w:rFonts w:ascii="Arial Narrow" w:hAnsi="Arial Narrow" w:cs="Times New Roman" w:hint="default"/>
        <w:b w:val="0"/>
        <w:strike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62A6481C"/>
    <w:multiLevelType w:val="hybridMultilevel"/>
    <w:tmpl w:val="1BFE2034"/>
    <w:lvl w:ilvl="0" w:tplc="E228DB96">
      <w:start w:val="3"/>
      <w:numFmt w:val="decimal"/>
      <w:lvlText w:val="%1."/>
      <w:lvlJc w:val="left"/>
      <w:pPr>
        <w:tabs>
          <w:tab w:val="num" w:pos="360"/>
        </w:tabs>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6AB62683"/>
    <w:multiLevelType w:val="singleLevel"/>
    <w:tmpl w:val="768E8086"/>
    <w:lvl w:ilvl="0">
      <w:start w:val="1"/>
      <w:numFmt w:val="bullet"/>
      <w:lvlText w:val="-"/>
      <w:lvlJc w:val="left"/>
      <w:pPr>
        <w:tabs>
          <w:tab w:val="num" w:pos="660"/>
        </w:tabs>
        <w:ind w:left="660" w:hanging="360"/>
      </w:pPr>
      <w:rPr>
        <w:rFonts w:hint="default"/>
      </w:rPr>
    </w:lvl>
  </w:abstractNum>
  <w:abstractNum w:abstractNumId="20" w15:restartNumberingAfterBreak="0">
    <w:nsid w:val="6B625AE5"/>
    <w:multiLevelType w:val="singleLevel"/>
    <w:tmpl w:val="0405000F"/>
    <w:lvl w:ilvl="0">
      <w:start w:val="2"/>
      <w:numFmt w:val="decimal"/>
      <w:lvlText w:val="%1."/>
      <w:lvlJc w:val="left"/>
      <w:pPr>
        <w:tabs>
          <w:tab w:val="num" w:pos="360"/>
        </w:tabs>
        <w:ind w:left="360" w:hanging="360"/>
      </w:pPr>
      <w:rPr>
        <w:rFonts w:cs="Times New Roman"/>
      </w:rPr>
    </w:lvl>
  </w:abstractNum>
  <w:abstractNum w:abstractNumId="21" w15:restartNumberingAfterBreak="0">
    <w:nsid w:val="6E754914"/>
    <w:multiLevelType w:val="hybridMultilevel"/>
    <w:tmpl w:val="E39A2628"/>
    <w:lvl w:ilvl="0" w:tplc="57F86194">
      <w:numFmt w:val="bullet"/>
      <w:lvlText w:val="-"/>
      <w:lvlJc w:val="left"/>
      <w:pPr>
        <w:ind w:left="1080" w:hanging="360"/>
      </w:pPr>
      <w:rPr>
        <w:rFonts w:ascii="Arial Narrow" w:eastAsia="Times New Roman" w:hAnsi="Arial Narrow"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6F3C24B4"/>
    <w:multiLevelType w:val="hybridMultilevel"/>
    <w:tmpl w:val="3162F5C2"/>
    <w:lvl w:ilvl="0" w:tplc="056EA108">
      <w:start w:val="226"/>
      <w:numFmt w:val="bullet"/>
      <w:lvlText w:val="-"/>
      <w:lvlJc w:val="left"/>
      <w:pPr>
        <w:ind w:left="720" w:hanging="360"/>
      </w:pPr>
      <w:rPr>
        <w:rFonts w:ascii="Vrinda" w:eastAsia="Times New Roman" w:hAnsi="Vrind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01D60E7"/>
    <w:multiLevelType w:val="hybridMultilevel"/>
    <w:tmpl w:val="8F427B8C"/>
    <w:lvl w:ilvl="0" w:tplc="1A3A9566">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7BC87C23"/>
    <w:multiLevelType w:val="hybridMultilevel"/>
    <w:tmpl w:val="2DFC9130"/>
    <w:lvl w:ilvl="0" w:tplc="C498905C">
      <w:numFmt w:val="bullet"/>
      <w:lvlText w:val="-"/>
      <w:lvlJc w:val="left"/>
      <w:pPr>
        <w:tabs>
          <w:tab w:val="num" w:pos="510"/>
        </w:tabs>
        <w:ind w:left="510" w:hanging="170"/>
      </w:pPr>
      <w:rPr>
        <w:rFonts w:hint="default"/>
      </w:rPr>
    </w:lvl>
    <w:lvl w:ilvl="1" w:tplc="041B0003">
      <w:start w:val="1"/>
      <w:numFmt w:val="bullet"/>
      <w:lvlText w:val="o"/>
      <w:lvlJc w:val="left"/>
      <w:pPr>
        <w:tabs>
          <w:tab w:val="num" w:pos="1780"/>
        </w:tabs>
        <w:ind w:left="1780" w:hanging="360"/>
      </w:pPr>
      <w:rPr>
        <w:rFonts w:ascii="Courier New" w:hAnsi="Courier New" w:hint="default"/>
      </w:rPr>
    </w:lvl>
    <w:lvl w:ilvl="2" w:tplc="041B0005">
      <w:start w:val="1"/>
      <w:numFmt w:val="bullet"/>
      <w:lvlText w:val=""/>
      <w:lvlJc w:val="left"/>
      <w:pPr>
        <w:tabs>
          <w:tab w:val="num" w:pos="2500"/>
        </w:tabs>
        <w:ind w:left="2500" w:hanging="360"/>
      </w:pPr>
      <w:rPr>
        <w:rFonts w:ascii="Wingdings" w:hAnsi="Wingdings" w:hint="default"/>
      </w:rPr>
    </w:lvl>
    <w:lvl w:ilvl="3" w:tplc="041B0001">
      <w:start w:val="1"/>
      <w:numFmt w:val="bullet"/>
      <w:lvlText w:val=""/>
      <w:lvlJc w:val="left"/>
      <w:pPr>
        <w:tabs>
          <w:tab w:val="num" w:pos="3220"/>
        </w:tabs>
        <w:ind w:left="3220" w:hanging="360"/>
      </w:pPr>
      <w:rPr>
        <w:rFonts w:ascii="Symbol" w:hAnsi="Symbol" w:hint="default"/>
      </w:rPr>
    </w:lvl>
    <w:lvl w:ilvl="4" w:tplc="041B0003">
      <w:start w:val="1"/>
      <w:numFmt w:val="bullet"/>
      <w:lvlText w:val="o"/>
      <w:lvlJc w:val="left"/>
      <w:pPr>
        <w:tabs>
          <w:tab w:val="num" w:pos="3940"/>
        </w:tabs>
        <w:ind w:left="3940" w:hanging="360"/>
      </w:pPr>
      <w:rPr>
        <w:rFonts w:ascii="Courier New" w:hAnsi="Courier New" w:hint="default"/>
      </w:rPr>
    </w:lvl>
    <w:lvl w:ilvl="5" w:tplc="041B0005">
      <w:start w:val="1"/>
      <w:numFmt w:val="bullet"/>
      <w:lvlText w:val=""/>
      <w:lvlJc w:val="left"/>
      <w:pPr>
        <w:tabs>
          <w:tab w:val="num" w:pos="4660"/>
        </w:tabs>
        <w:ind w:left="4660" w:hanging="360"/>
      </w:pPr>
      <w:rPr>
        <w:rFonts w:ascii="Wingdings" w:hAnsi="Wingdings" w:hint="default"/>
      </w:rPr>
    </w:lvl>
    <w:lvl w:ilvl="6" w:tplc="041B0001">
      <w:start w:val="1"/>
      <w:numFmt w:val="bullet"/>
      <w:lvlText w:val=""/>
      <w:lvlJc w:val="left"/>
      <w:pPr>
        <w:tabs>
          <w:tab w:val="num" w:pos="5380"/>
        </w:tabs>
        <w:ind w:left="5380" w:hanging="360"/>
      </w:pPr>
      <w:rPr>
        <w:rFonts w:ascii="Symbol" w:hAnsi="Symbol" w:hint="default"/>
      </w:rPr>
    </w:lvl>
    <w:lvl w:ilvl="7" w:tplc="041B0003">
      <w:start w:val="1"/>
      <w:numFmt w:val="bullet"/>
      <w:lvlText w:val="o"/>
      <w:lvlJc w:val="left"/>
      <w:pPr>
        <w:tabs>
          <w:tab w:val="num" w:pos="6100"/>
        </w:tabs>
        <w:ind w:left="6100" w:hanging="360"/>
      </w:pPr>
      <w:rPr>
        <w:rFonts w:ascii="Courier New" w:hAnsi="Courier New" w:hint="default"/>
      </w:rPr>
    </w:lvl>
    <w:lvl w:ilvl="8" w:tplc="041B0005">
      <w:start w:val="1"/>
      <w:numFmt w:val="bullet"/>
      <w:lvlText w:val=""/>
      <w:lvlJc w:val="left"/>
      <w:pPr>
        <w:tabs>
          <w:tab w:val="num" w:pos="6820"/>
        </w:tabs>
        <w:ind w:left="6820" w:hanging="360"/>
      </w:pPr>
      <w:rPr>
        <w:rFonts w:ascii="Wingdings" w:hAnsi="Wingdings" w:hint="default"/>
      </w:rPr>
    </w:lvl>
  </w:abstractNum>
  <w:abstractNum w:abstractNumId="25" w15:restartNumberingAfterBreak="0">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26" w15:restartNumberingAfterBreak="0">
    <w:nsid w:val="7F1E6760"/>
    <w:multiLevelType w:val="hybridMultilevel"/>
    <w:tmpl w:val="A19E9E60"/>
    <w:lvl w:ilvl="0" w:tplc="513AA13E">
      <w:start w:val="1"/>
      <w:numFmt w:val="lowerLetter"/>
      <w:lvlText w:val="%1)"/>
      <w:lvlJc w:val="left"/>
      <w:pPr>
        <w:tabs>
          <w:tab w:val="num" w:pos="644"/>
        </w:tabs>
        <w:ind w:left="644" w:hanging="360"/>
      </w:pPr>
      <w:rPr>
        <w:rFonts w:cs="Times New Roman" w:hint="default"/>
        <w:b w:val="0"/>
      </w:rPr>
    </w:lvl>
    <w:lvl w:ilvl="1" w:tplc="041B0019">
      <w:start w:val="1"/>
      <w:numFmt w:val="lowerLetter"/>
      <w:lvlText w:val="%2."/>
      <w:lvlJc w:val="left"/>
      <w:pPr>
        <w:tabs>
          <w:tab w:val="num" w:pos="1364"/>
        </w:tabs>
        <w:ind w:left="1364" w:hanging="360"/>
      </w:pPr>
      <w:rPr>
        <w:rFonts w:cs="Times New Roman"/>
      </w:rPr>
    </w:lvl>
    <w:lvl w:ilvl="2" w:tplc="041B001B">
      <w:start w:val="1"/>
      <w:numFmt w:val="lowerRoman"/>
      <w:lvlText w:val="%3."/>
      <w:lvlJc w:val="right"/>
      <w:pPr>
        <w:tabs>
          <w:tab w:val="num" w:pos="2084"/>
        </w:tabs>
        <w:ind w:left="2084" w:hanging="180"/>
      </w:pPr>
      <w:rPr>
        <w:rFonts w:cs="Times New Roman"/>
      </w:rPr>
    </w:lvl>
    <w:lvl w:ilvl="3" w:tplc="041B000F">
      <w:start w:val="1"/>
      <w:numFmt w:val="decimal"/>
      <w:lvlText w:val="%4."/>
      <w:lvlJc w:val="left"/>
      <w:pPr>
        <w:tabs>
          <w:tab w:val="num" w:pos="2804"/>
        </w:tabs>
        <w:ind w:left="2804" w:hanging="360"/>
      </w:pPr>
      <w:rPr>
        <w:rFonts w:cs="Times New Roman"/>
      </w:rPr>
    </w:lvl>
    <w:lvl w:ilvl="4" w:tplc="041B0019">
      <w:start w:val="1"/>
      <w:numFmt w:val="lowerLetter"/>
      <w:lvlText w:val="%5."/>
      <w:lvlJc w:val="left"/>
      <w:pPr>
        <w:tabs>
          <w:tab w:val="num" w:pos="3524"/>
        </w:tabs>
        <w:ind w:left="3524" w:hanging="360"/>
      </w:pPr>
      <w:rPr>
        <w:rFonts w:cs="Times New Roman"/>
      </w:rPr>
    </w:lvl>
    <w:lvl w:ilvl="5" w:tplc="041B001B">
      <w:start w:val="1"/>
      <w:numFmt w:val="lowerRoman"/>
      <w:lvlText w:val="%6."/>
      <w:lvlJc w:val="right"/>
      <w:pPr>
        <w:tabs>
          <w:tab w:val="num" w:pos="4244"/>
        </w:tabs>
        <w:ind w:left="4244" w:hanging="180"/>
      </w:pPr>
      <w:rPr>
        <w:rFonts w:cs="Times New Roman"/>
      </w:rPr>
    </w:lvl>
    <w:lvl w:ilvl="6" w:tplc="041B000F">
      <w:start w:val="1"/>
      <w:numFmt w:val="decimal"/>
      <w:lvlText w:val="%7."/>
      <w:lvlJc w:val="left"/>
      <w:pPr>
        <w:tabs>
          <w:tab w:val="num" w:pos="4964"/>
        </w:tabs>
        <w:ind w:left="4964" w:hanging="360"/>
      </w:pPr>
      <w:rPr>
        <w:rFonts w:cs="Times New Roman"/>
      </w:rPr>
    </w:lvl>
    <w:lvl w:ilvl="7" w:tplc="041B0019">
      <w:start w:val="1"/>
      <w:numFmt w:val="lowerLetter"/>
      <w:lvlText w:val="%8."/>
      <w:lvlJc w:val="left"/>
      <w:pPr>
        <w:tabs>
          <w:tab w:val="num" w:pos="5684"/>
        </w:tabs>
        <w:ind w:left="5684" w:hanging="360"/>
      </w:pPr>
      <w:rPr>
        <w:rFonts w:cs="Times New Roman"/>
      </w:rPr>
    </w:lvl>
    <w:lvl w:ilvl="8" w:tplc="041B001B">
      <w:start w:val="1"/>
      <w:numFmt w:val="lowerRoman"/>
      <w:lvlText w:val="%9."/>
      <w:lvlJc w:val="right"/>
      <w:pPr>
        <w:tabs>
          <w:tab w:val="num" w:pos="6404"/>
        </w:tabs>
        <w:ind w:left="6404" w:hanging="180"/>
      </w:pPr>
      <w:rPr>
        <w:rFonts w:cs="Times New Roman"/>
      </w:rPr>
    </w:lvl>
  </w:abstractNum>
  <w:num w:numId="1">
    <w:abstractNumId w:val="6"/>
  </w:num>
  <w:num w:numId="2">
    <w:abstractNumId w:val="8"/>
  </w:num>
  <w:num w:numId="3">
    <w:abstractNumId w:val="2"/>
  </w:num>
  <w:num w:numId="4">
    <w:abstractNumId w:val="5"/>
  </w:num>
  <w:num w:numId="5">
    <w:abstractNumId w:val="17"/>
  </w:num>
  <w:num w:numId="6">
    <w:abstractNumId w:val="3"/>
  </w:num>
  <w:num w:numId="7">
    <w:abstractNumId w:val="21"/>
  </w:num>
  <w:num w:numId="8">
    <w:abstractNumId w:val="23"/>
  </w:num>
  <w:num w:numId="9">
    <w:abstractNumId w:val="11"/>
  </w:num>
  <w:num w:numId="10">
    <w:abstractNumId w:val="1"/>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4"/>
  </w:num>
  <w:num w:numId="15">
    <w:abstractNumId w:val="25"/>
  </w:num>
  <w:num w:numId="16">
    <w:abstractNumId w:val="7"/>
  </w:num>
  <w:num w:numId="17">
    <w:abstractNumId w:val="0"/>
  </w:num>
  <w:num w:numId="18">
    <w:abstractNumId w:val="14"/>
  </w:num>
  <w:num w:numId="19">
    <w:abstractNumId w:val="4"/>
  </w:num>
  <w:num w:numId="20">
    <w:abstractNumId w:val="22"/>
  </w:num>
  <w:num w:numId="21">
    <w:abstractNumId w:val="15"/>
  </w:num>
  <w:num w:numId="22">
    <w:abstractNumId w:val="19"/>
  </w:num>
  <w:num w:numId="23">
    <w:abstractNumId w:val="20"/>
  </w:num>
  <w:num w:numId="24">
    <w:abstractNumId w:val="26"/>
  </w:num>
  <w:num w:numId="25">
    <w:abstractNumId w:val="13"/>
  </w:num>
  <w:num w:numId="26">
    <w:abstractNumId w:val="1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8F0"/>
    <w:rsid w:val="00001D6C"/>
    <w:rsid w:val="00007D75"/>
    <w:rsid w:val="00035F9E"/>
    <w:rsid w:val="00046E5A"/>
    <w:rsid w:val="0005636F"/>
    <w:rsid w:val="000A1EB2"/>
    <w:rsid w:val="000B6640"/>
    <w:rsid w:val="000C497A"/>
    <w:rsid w:val="000F2C38"/>
    <w:rsid w:val="00124538"/>
    <w:rsid w:val="00174196"/>
    <w:rsid w:val="00193310"/>
    <w:rsid w:val="001C254F"/>
    <w:rsid w:val="001C355D"/>
    <w:rsid w:val="001F0616"/>
    <w:rsid w:val="00202789"/>
    <w:rsid w:val="002151A5"/>
    <w:rsid w:val="00227FD1"/>
    <w:rsid w:val="00230BA7"/>
    <w:rsid w:val="002400CB"/>
    <w:rsid w:val="002607DD"/>
    <w:rsid w:val="0026798F"/>
    <w:rsid w:val="00270432"/>
    <w:rsid w:val="002A250F"/>
    <w:rsid w:val="002A6A76"/>
    <w:rsid w:val="002B20DE"/>
    <w:rsid w:val="002E0683"/>
    <w:rsid w:val="00301D8D"/>
    <w:rsid w:val="00333609"/>
    <w:rsid w:val="00344965"/>
    <w:rsid w:val="0035107B"/>
    <w:rsid w:val="003568AE"/>
    <w:rsid w:val="0036707B"/>
    <w:rsid w:val="003878F0"/>
    <w:rsid w:val="003A4F00"/>
    <w:rsid w:val="003C0C29"/>
    <w:rsid w:val="003D6A46"/>
    <w:rsid w:val="003E331A"/>
    <w:rsid w:val="00455A13"/>
    <w:rsid w:val="004A560A"/>
    <w:rsid w:val="004B6101"/>
    <w:rsid w:val="004D442C"/>
    <w:rsid w:val="004E560F"/>
    <w:rsid w:val="004F0B64"/>
    <w:rsid w:val="00503CD3"/>
    <w:rsid w:val="005331D1"/>
    <w:rsid w:val="00534896"/>
    <w:rsid w:val="00535059"/>
    <w:rsid w:val="00541366"/>
    <w:rsid w:val="0055353C"/>
    <w:rsid w:val="00582B18"/>
    <w:rsid w:val="00592A1C"/>
    <w:rsid w:val="00593376"/>
    <w:rsid w:val="00595313"/>
    <w:rsid w:val="005A6A45"/>
    <w:rsid w:val="005A738C"/>
    <w:rsid w:val="005B023D"/>
    <w:rsid w:val="005B7897"/>
    <w:rsid w:val="005D39A9"/>
    <w:rsid w:val="005E0AAD"/>
    <w:rsid w:val="005E4312"/>
    <w:rsid w:val="005E4C72"/>
    <w:rsid w:val="005E5A4C"/>
    <w:rsid w:val="005F59D3"/>
    <w:rsid w:val="00604C35"/>
    <w:rsid w:val="00611E6A"/>
    <w:rsid w:val="00613464"/>
    <w:rsid w:val="0062054E"/>
    <w:rsid w:val="00623445"/>
    <w:rsid w:val="00633511"/>
    <w:rsid w:val="00640462"/>
    <w:rsid w:val="00650B17"/>
    <w:rsid w:val="0065122D"/>
    <w:rsid w:val="006563AC"/>
    <w:rsid w:val="00667102"/>
    <w:rsid w:val="006725C5"/>
    <w:rsid w:val="00675CE7"/>
    <w:rsid w:val="00680FF7"/>
    <w:rsid w:val="00682491"/>
    <w:rsid w:val="006866D0"/>
    <w:rsid w:val="00693023"/>
    <w:rsid w:val="006B1EAA"/>
    <w:rsid w:val="006B35D9"/>
    <w:rsid w:val="006C11DF"/>
    <w:rsid w:val="006C4D0E"/>
    <w:rsid w:val="006C517C"/>
    <w:rsid w:val="006C5207"/>
    <w:rsid w:val="006D64A4"/>
    <w:rsid w:val="006E01EB"/>
    <w:rsid w:val="006E7302"/>
    <w:rsid w:val="006F63C1"/>
    <w:rsid w:val="00701E05"/>
    <w:rsid w:val="00706982"/>
    <w:rsid w:val="00712430"/>
    <w:rsid w:val="00742746"/>
    <w:rsid w:val="0075051D"/>
    <w:rsid w:val="0075208E"/>
    <w:rsid w:val="007529A5"/>
    <w:rsid w:val="00767798"/>
    <w:rsid w:val="007877A3"/>
    <w:rsid w:val="007906BC"/>
    <w:rsid w:val="007B6CD1"/>
    <w:rsid w:val="007F38BB"/>
    <w:rsid w:val="007F5543"/>
    <w:rsid w:val="00805A50"/>
    <w:rsid w:val="00826541"/>
    <w:rsid w:val="00837BB6"/>
    <w:rsid w:val="008519AD"/>
    <w:rsid w:val="00865C53"/>
    <w:rsid w:val="008703EC"/>
    <w:rsid w:val="00870631"/>
    <w:rsid w:val="008735B8"/>
    <w:rsid w:val="00890BF8"/>
    <w:rsid w:val="0089123D"/>
    <w:rsid w:val="008A0A2E"/>
    <w:rsid w:val="008A6184"/>
    <w:rsid w:val="008B7A14"/>
    <w:rsid w:val="008C0EF5"/>
    <w:rsid w:val="008D7C92"/>
    <w:rsid w:val="008F30AF"/>
    <w:rsid w:val="00903595"/>
    <w:rsid w:val="00903608"/>
    <w:rsid w:val="009346B1"/>
    <w:rsid w:val="009454EB"/>
    <w:rsid w:val="00983424"/>
    <w:rsid w:val="00991113"/>
    <w:rsid w:val="009A3F85"/>
    <w:rsid w:val="009B4EFA"/>
    <w:rsid w:val="009D7FBD"/>
    <w:rsid w:val="009E4A08"/>
    <w:rsid w:val="009E5092"/>
    <w:rsid w:val="00A0245F"/>
    <w:rsid w:val="00A30783"/>
    <w:rsid w:val="00A37E32"/>
    <w:rsid w:val="00A6160F"/>
    <w:rsid w:val="00A70D39"/>
    <w:rsid w:val="00A8025E"/>
    <w:rsid w:val="00A83C2E"/>
    <w:rsid w:val="00A86CEC"/>
    <w:rsid w:val="00AB5931"/>
    <w:rsid w:val="00AD7DB7"/>
    <w:rsid w:val="00AE6539"/>
    <w:rsid w:val="00AF7D2F"/>
    <w:rsid w:val="00B07A3E"/>
    <w:rsid w:val="00B30851"/>
    <w:rsid w:val="00B34DC6"/>
    <w:rsid w:val="00B45316"/>
    <w:rsid w:val="00B534E5"/>
    <w:rsid w:val="00B535C4"/>
    <w:rsid w:val="00B703F4"/>
    <w:rsid w:val="00B72B6B"/>
    <w:rsid w:val="00B85064"/>
    <w:rsid w:val="00B91628"/>
    <w:rsid w:val="00B91E6F"/>
    <w:rsid w:val="00B94EFE"/>
    <w:rsid w:val="00BA15D9"/>
    <w:rsid w:val="00BB0603"/>
    <w:rsid w:val="00BB0D60"/>
    <w:rsid w:val="00BB1A34"/>
    <w:rsid w:val="00BC5C63"/>
    <w:rsid w:val="00BD6B1B"/>
    <w:rsid w:val="00BD6F1A"/>
    <w:rsid w:val="00C16E42"/>
    <w:rsid w:val="00C22B33"/>
    <w:rsid w:val="00C27D0A"/>
    <w:rsid w:val="00C3430B"/>
    <w:rsid w:val="00C64D98"/>
    <w:rsid w:val="00C82247"/>
    <w:rsid w:val="00C9294D"/>
    <w:rsid w:val="00CB0201"/>
    <w:rsid w:val="00CB586A"/>
    <w:rsid w:val="00D009BB"/>
    <w:rsid w:val="00D0539A"/>
    <w:rsid w:val="00D1151E"/>
    <w:rsid w:val="00D15F35"/>
    <w:rsid w:val="00D305B6"/>
    <w:rsid w:val="00D3362A"/>
    <w:rsid w:val="00D41D46"/>
    <w:rsid w:val="00D523E2"/>
    <w:rsid w:val="00D975C5"/>
    <w:rsid w:val="00DA086C"/>
    <w:rsid w:val="00DA325D"/>
    <w:rsid w:val="00DB10C7"/>
    <w:rsid w:val="00DB3F20"/>
    <w:rsid w:val="00DB72AC"/>
    <w:rsid w:val="00DC6E93"/>
    <w:rsid w:val="00DE6B46"/>
    <w:rsid w:val="00DE6E99"/>
    <w:rsid w:val="00DF0C03"/>
    <w:rsid w:val="00E16CD2"/>
    <w:rsid w:val="00E241E8"/>
    <w:rsid w:val="00E25B9A"/>
    <w:rsid w:val="00E25EDE"/>
    <w:rsid w:val="00E34EE0"/>
    <w:rsid w:val="00E45AC7"/>
    <w:rsid w:val="00E47FD6"/>
    <w:rsid w:val="00E61856"/>
    <w:rsid w:val="00E6219D"/>
    <w:rsid w:val="00E66EDC"/>
    <w:rsid w:val="00E67175"/>
    <w:rsid w:val="00E67391"/>
    <w:rsid w:val="00E67C89"/>
    <w:rsid w:val="00EA6AC1"/>
    <w:rsid w:val="00EC06DE"/>
    <w:rsid w:val="00EE31F5"/>
    <w:rsid w:val="00F04F21"/>
    <w:rsid w:val="00F20368"/>
    <w:rsid w:val="00F67DEF"/>
    <w:rsid w:val="00F77334"/>
    <w:rsid w:val="00F9159A"/>
    <w:rsid w:val="00FA02FA"/>
    <w:rsid w:val="00FB2814"/>
    <w:rsid w:val="00FC354F"/>
    <w:rsid w:val="00FE27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6889A3B-B2AF-450C-9422-35F11756C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imes New Roman" w:hAnsi="Arial Narrow" w:cs="Arial Narrow"/>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F0C03"/>
    <w:pPr>
      <w:spacing w:after="200" w:line="276" w:lineRule="auto"/>
    </w:pPr>
    <w:rPr>
      <w:rFonts w:cs="Times New Roman"/>
      <w:sz w:val="22"/>
      <w:szCs w:val="36"/>
      <w:lang w:eastAsia="en-US"/>
    </w:rPr>
  </w:style>
  <w:style w:type="paragraph" w:styleId="Nadpis1">
    <w:name w:val="heading 1"/>
    <w:basedOn w:val="Normlny"/>
    <w:next w:val="Normlny"/>
    <w:link w:val="Nadpis1Char"/>
    <w:uiPriority w:val="9"/>
    <w:qFormat/>
    <w:rsid w:val="00742746"/>
    <w:pPr>
      <w:keepNext/>
      <w:spacing w:before="240" w:after="60"/>
      <w:outlineLvl w:val="0"/>
    </w:pPr>
    <w:rPr>
      <w:rFonts w:asciiTheme="majorHAnsi" w:eastAsiaTheme="majorEastAsia" w:hAnsiTheme="majorHAnsi"/>
      <w:b/>
      <w:bCs/>
      <w:kern w:val="32"/>
      <w:sz w:val="32"/>
      <w:szCs w:val="32"/>
    </w:rPr>
  </w:style>
  <w:style w:type="paragraph" w:styleId="Nadpis7">
    <w:name w:val="heading 7"/>
    <w:basedOn w:val="Normlny"/>
    <w:next w:val="Normlny"/>
    <w:link w:val="Nadpis7Char"/>
    <w:uiPriority w:val="9"/>
    <w:qFormat/>
    <w:rsid w:val="00DF0C03"/>
    <w:pPr>
      <w:keepNext/>
      <w:spacing w:after="0" w:line="240" w:lineRule="auto"/>
      <w:ind w:firstLine="540"/>
      <w:jc w:val="both"/>
      <w:outlineLvl w:val="6"/>
    </w:pPr>
    <w:rPr>
      <w:b/>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742746"/>
    <w:rPr>
      <w:rFonts w:asciiTheme="majorHAnsi" w:eastAsiaTheme="majorEastAsia" w:hAnsiTheme="majorHAnsi" w:cs="Times New Roman"/>
      <w:b/>
      <w:bCs/>
      <w:kern w:val="32"/>
      <w:sz w:val="32"/>
      <w:szCs w:val="32"/>
      <w:lang w:val="x-none" w:eastAsia="en-US"/>
    </w:rPr>
  </w:style>
  <w:style w:type="character" w:customStyle="1" w:styleId="Nadpis7Char">
    <w:name w:val="Nadpis 7 Char"/>
    <w:basedOn w:val="Predvolenpsmoodseku"/>
    <w:link w:val="Nadpis7"/>
    <w:uiPriority w:val="9"/>
    <w:locked/>
    <w:rsid w:val="00DF0C03"/>
    <w:rPr>
      <w:rFonts w:eastAsia="Times New Roman" w:cs="Times New Roman"/>
      <w:b/>
      <w:sz w:val="24"/>
      <w:szCs w:val="24"/>
      <w:lang w:val="x-none" w:eastAsia="sk-SK"/>
    </w:rPr>
  </w:style>
  <w:style w:type="paragraph" w:styleId="Odsekzoznamu">
    <w:name w:val="List Paragraph"/>
    <w:basedOn w:val="Normlny"/>
    <w:uiPriority w:val="34"/>
    <w:qFormat/>
    <w:rsid w:val="00DF0C03"/>
    <w:pPr>
      <w:ind w:left="720"/>
      <w:contextualSpacing/>
    </w:pPr>
  </w:style>
  <w:style w:type="character" w:customStyle="1" w:styleId="ruletitle1">
    <w:name w:val="ruletitle1"/>
    <w:basedOn w:val="Predvolenpsmoodseku"/>
    <w:rsid w:val="00DF0C03"/>
    <w:rPr>
      <w:rFonts w:ascii="Tahoma" w:hAnsi="Tahoma" w:cs="Tahoma"/>
      <w:b/>
      <w:bCs/>
      <w:color w:val="4B4B4B"/>
      <w:sz w:val="27"/>
      <w:szCs w:val="27"/>
    </w:rPr>
  </w:style>
  <w:style w:type="paragraph" w:styleId="Textbubliny">
    <w:name w:val="Balloon Text"/>
    <w:basedOn w:val="Normlny"/>
    <w:link w:val="TextbublinyChar"/>
    <w:uiPriority w:val="99"/>
    <w:semiHidden/>
    <w:unhideWhenUsed/>
    <w:rsid w:val="00DF0C0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DF0C03"/>
    <w:rPr>
      <w:rFonts w:ascii="Tahoma" w:hAnsi="Tahoma" w:cs="Tahoma"/>
      <w:sz w:val="16"/>
      <w:szCs w:val="16"/>
    </w:rPr>
  </w:style>
  <w:style w:type="paragraph" w:customStyle="1" w:styleId="Zkladntext2">
    <w:name w:val="Základní text2"/>
    <w:rsid w:val="00DF0C03"/>
    <w:pPr>
      <w:widowControl w:val="0"/>
      <w:autoSpaceDE w:val="0"/>
      <w:autoSpaceDN w:val="0"/>
    </w:pPr>
    <w:rPr>
      <w:rFonts w:ascii="Times New Roman" w:hAnsi="Times New Roman" w:cs="Times New Roman"/>
      <w:color w:val="000000"/>
      <w:sz w:val="24"/>
      <w:szCs w:val="24"/>
    </w:rPr>
  </w:style>
  <w:style w:type="paragraph" w:styleId="Zkladntext3">
    <w:name w:val="Body Text 3"/>
    <w:basedOn w:val="Normlny"/>
    <w:link w:val="Zkladntext3Char"/>
    <w:uiPriority w:val="99"/>
    <w:rsid w:val="00DF0C03"/>
    <w:pPr>
      <w:spacing w:after="120" w:line="240" w:lineRule="auto"/>
    </w:pPr>
    <w:rPr>
      <w:rFonts w:ascii="Times New Roman" w:hAnsi="Times New Roman"/>
      <w:sz w:val="16"/>
      <w:szCs w:val="16"/>
      <w:lang w:eastAsia="sk-SK"/>
    </w:rPr>
  </w:style>
  <w:style w:type="character" w:customStyle="1" w:styleId="Zkladntext3Char">
    <w:name w:val="Základný text 3 Char"/>
    <w:basedOn w:val="Predvolenpsmoodseku"/>
    <w:link w:val="Zkladntext3"/>
    <w:uiPriority w:val="99"/>
    <w:locked/>
    <w:rsid w:val="00DF0C03"/>
    <w:rPr>
      <w:rFonts w:ascii="Times New Roman" w:hAnsi="Times New Roman" w:cs="Times New Roman"/>
      <w:sz w:val="16"/>
      <w:szCs w:val="16"/>
      <w:lang w:val="x-none" w:eastAsia="sk-SK"/>
    </w:rPr>
  </w:style>
  <w:style w:type="paragraph" w:styleId="Zkladntext20">
    <w:name w:val="Body Text 2"/>
    <w:basedOn w:val="Normlny"/>
    <w:link w:val="Zkladntext2Char"/>
    <w:uiPriority w:val="99"/>
    <w:semiHidden/>
    <w:unhideWhenUsed/>
    <w:rsid w:val="00DF0C03"/>
    <w:pPr>
      <w:spacing w:after="120" w:line="480" w:lineRule="auto"/>
    </w:pPr>
  </w:style>
  <w:style w:type="character" w:customStyle="1" w:styleId="Zkladntext2Char">
    <w:name w:val="Základný text 2 Char"/>
    <w:basedOn w:val="Predvolenpsmoodseku"/>
    <w:link w:val="Zkladntext20"/>
    <w:uiPriority w:val="99"/>
    <w:semiHidden/>
    <w:locked/>
    <w:rsid w:val="00DF0C03"/>
    <w:rPr>
      <w:rFonts w:eastAsia="Times New Roman" w:cs="Times New Roman"/>
    </w:rPr>
  </w:style>
  <w:style w:type="character" w:styleId="Zstupntext">
    <w:name w:val="Placeholder Text"/>
    <w:basedOn w:val="Predvolenpsmoodseku"/>
    <w:uiPriority w:val="99"/>
    <w:rsid w:val="00DF0C03"/>
    <w:rPr>
      <w:rFonts w:ascii="Times New Roman" w:hAnsi="Times New Roman" w:cs="Times New Roman"/>
      <w:color w:val="808080"/>
    </w:rPr>
  </w:style>
  <w:style w:type="paragraph" w:styleId="Zkladntext">
    <w:name w:val="Body Text"/>
    <w:basedOn w:val="Normlny"/>
    <w:link w:val="ZkladntextChar"/>
    <w:uiPriority w:val="99"/>
    <w:rsid w:val="00DF0C03"/>
    <w:pPr>
      <w:spacing w:after="120" w:line="240" w:lineRule="auto"/>
    </w:pPr>
    <w:rPr>
      <w:rFonts w:ascii="Times New Roman" w:hAnsi="Times New Roman"/>
      <w:sz w:val="24"/>
      <w:szCs w:val="24"/>
      <w:lang w:eastAsia="sk-SK"/>
    </w:rPr>
  </w:style>
  <w:style w:type="character" w:customStyle="1" w:styleId="ZkladntextChar">
    <w:name w:val="Základný text Char"/>
    <w:basedOn w:val="Predvolenpsmoodseku"/>
    <w:link w:val="Zkladntext"/>
    <w:uiPriority w:val="99"/>
    <w:locked/>
    <w:rsid w:val="00DF0C03"/>
    <w:rPr>
      <w:rFonts w:ascii="Times New Roman" w:hAnsi="Times New Roman" w:cs="Times New Roman"/>
      <w:sz w:val="24"/>
      <w:szCs w:val="24"/>
      <w:lang w:val="x-none" w:eastAsia="sk-SK"/>
    </w:rPr>
  </w:style>
  <w:style w:type="paragraph" w:customStyle="1" w:styleId="Zkladntext0">
    <w:name w:val="Základní text"/>
    <w:uiPriority w:val="99"/>
    <w:rsid w:val="00DF0C03"/>
    <w:pPr>
      <w:widowControl w:val="0"/>
    </w:pPr>
    <w:rPr>
      <w:rFonts w:ascii="Times New Roman" w:hAnsi="Times New Roman" w:cs="Times New Roman"/>
      <w:color w:val="000000"/>
      <w:sz w:val="24"/>
      <w:szCs w:val="24"/>
    </w:rPr>
  </w:style>
  <w:style w:type="paragraph" w:customStyle="1" w:styleId="CharCharChar">
    <w:name w:val="Char Char Char"/>
    <w:basedOn w:val="Normlny"/>
    <w:uiPriority w:val="99"/>
    <w:rsid w:val="009A3F85"/>
    <w:pPr>
      <w:spacing w:after="160" w:line="240" w:lineRule="exact"/>
    </w:pPr>
    <w:rPr>
      <w:rFonts w:ascii="Tahoma" w:hAnsi="Tahoma" w:cs="Tahoma"/>
      <w:sz w:val="20"/>
      <w:szCs w:val="20"/>
      <w:lang w:val="en-US"/>
    </w:rPr>
  </w:style>
  <w:style w:type="paragraph" w:customStyle="1" w:styleId="CharChar1">
    <w:name w:val="Char Char1"/>
    <w:basedOn w:val="Normlny"/>
    <w:uiPriority w:val="99"/>
    <w:rsid w:val="00742746"/>
    <w:pPr>
      <w:spacing w:after="160" w:line="240" w:lineRule="exact"/>
    </w:pPr>
    <w:rPr>
      <w:rFonts w:ascii="Tahoma" w:hAnsi="Tahoma" w:cs="Tahoma"/>
      <w:sz w:val="20"/>
      <w:szCs w:val="20"/>
    </w:rPr>
  </w:style>
  <w:style w:type="paragraph" w:styleId="Zarkazkladnhotextu">
    <w:name w:val="Body Text Indent"/>
    <w:basedOn w:val="Normlny"/>
    <w:link w:val="ZarkazkladnhotextuChar"/>
    <w:uiPriority w:val="99"/>
    <w:rsid w:val="00613464"/>
    <w:pPr>
      <w:spacing w:after="120"/>
      <w:ind w:left="283"/>
    </w:pPr>
  </w:style>
  <w:style w:type="character" w:customStyle="1" w:styleId="ZarkazkladnhotextuChar">
    <w:name w:val="Zarážka základného textu Char"/>
    <w:basedOn w:val="Predvolenpsmoodseku"/>
    <w:link w:val="Zarkazkladnhotextu"/>
    <w:uiPriority w:val="99"/>
    <w:locked/>
    <w:rsid w:val="00613464"/>
    <w:rPr>
      <w:rFonts w:cs="Times New Roman"/>
      <w:sz w:val="36"/>
      <w:szCs w:val="36"/>
      <w:lang w:val="x-none" w:eastAsia="en-US"/>
    </w:rPr>
  </w:style>
  <w:style w:type="paragraph" w:styleId="Popis">
    <w:name w:val="caption"/>
    <w:basedOn w:val="Normlny"/>
    <w:next w:val="Normlny"/>
    <w:uiPriority w:val="35"/>
    <w:semiHidden/>
    <w:unhideWhenUsed/>
    <w:qFormat/>
    <w:rsid w:val="0005636F"/>
    <w:pPr>
      <w:spacing w:after="160" w:line="240" w:lineRule="auto"/>
    </w:pPr>
    <w:rPr>
      <w:rFonts w:ascii="Calibri" w:hAnsi="Calibri"/>
      <w:b/>
      <w:bCs/>
      <w:smallCaps/>
      <w:color w:val="595959"/>
      <w:szCs w:val="22"/>
    </w:rPr>
  </w:style>
  <w:style w:type="paragraph" w:styleId="Zarkazkladnhotextu2">
    <w:name w:val="Body Text Indent 2"/>
    <w:basedOn w:val="Normlny"/>
    <w:link w:val="Zarkazkladnhotextu2Char"/>
    <w:uiPriority w:val="99"/>
    <w:rsid w:val="00001D6C"/>
    <w:pPr>
      <w:spacing w:after="120" w:line="480" w:lineRule="auto"/>
      <w:ind w:left="283"/>
    </w:pPr>
  </w:style>
  <w:style w:type="character" w:customStyle="1" w:styleId="Zarkazkladnhotextu2Char">
    <w:name w:val="Zarážka základného textu 2 Char"/>
    <w:basedOn w:val="Predvolenpsmoodseku"/>
    <w:link w:val="Zarkazkladnhotextu2"/>
    <w:uiPriority w:val="99"/>
    <w:locked/>
    <w:rsid w:val="00001D6C"/>
    <w:rPr>
      <w:rFonts w:cs="Times New Roman"/>
      <w:sz w:val="36"/>
      <w:szCs w:val="36"/>
      <w:lang w:val="x-none" w:eastAsia="en-US"/>
    </w:rPr>
  </w:style>
  <w:style w:type="table" w:styleId="Mriekatabuky">
    <w:name w:val="Table Grid"/>
    <w:basedOn w:val="Normlnatabuka"/>
    <w:uiPriority w:val="59"/>
    <w:rsid w:val="00A70D39"/>
    <w:rPr>
      <w:rFonts w:asciiTheme="minorHAnsi" w:hAnsiTheme="minorHAns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A70D39"/>
    <w:pPr>
      <w:tabs>
        <w:tab w:val="center" w:pos="4536"/>
        <w:tab w:val="right" w:pos="9072"/>
      </w:tabs>
      <w:spacing w:after="0" w:line="240" w:lineRule="auto"/>
    </w:pPr>
    <w:rPr>
      <w:rFonts w:ascii="Times New Roman" w:hAnsi="Times New Roman"/>
      <w:sz w:val="20"/>
      <w:szCs w:val="20"/>
      <w:lang w:eastAsia="sk-SK"/>
    </w:rPr>
  </w:style>
  <w:style w:type="character" w:customStyle="1" w:styleId="HlavikaChar">
    <w:name w:val="Hlavička Char"/>
    <w:basedOn w:val="Predvolenpsmoodseku"/>
    <w:link w:val="Hlavika"/>
    <w:uiPriority w:val="99"/>
    <w:rsid w:val="00A70D39"/>
    <w:rPr>
      <w:rFonts w:ascii="Times New Roman" w:hAnsi="Times New Roman" w:cs="Times New Roman"/>
    </w:rPr>
  </w:style>
  <w:style w:type="paragraph" w:styleId="Pta">
    <w:name w:val="footer"/>
    <w:basedOn w:val="Normlny"/>
    <w:link w:val="PtaChar"/>
    <w:uiPriority w:val="99"/>
    <w:unhideWhenUsed/>
    <w:rsid w:val="00A70D39"/>
    <w:pPr>
      <w:tabs>
        <w:tab w:val="center" w:pos="4536"/>
        <w:tab w:val="right" w:pos="9072"/>
      </w:tabs>
      <w:spacing w:after="0" w:line="240" w:lineRule="auto"/>
    </w:pPr>
    <w:rPr>
      <w:rFonts w:ascii="Times New Roman" w:hAnsi="Times New Roman"/>
      <w:sz w:val="20"/>
      <w:szCs w:val="20"/>
      <w:lang w:eastAsia="sk-SK"/>
    </w:rPr>
  </w:style>
  <w:style w:type="character" w:customStyle="1" w:styleId="PtaChar">
    <w:name w:val="Päta Char"/>
    <w:basedOn w:val="Predvolenpsmoodseku"/>
    <w:link w:val="Pta"/>
    <w:uiPriority w:val="99"/>
    <w:rsid w:val="00A70D39"/>
    <w:rPr>
      <w:rFonts w:ascii="Times New Roman" w:hAnsi="Times New Roman" w:cs="Times New Roman"/>
    </w:rPr>
  </w:style>
  <w:style w:type="paragraph" w:styleId="Textpoznmkypodiarou">
    <w:name w:val="footnote text"/>
    <w:basedOn w:val="Normlny"/>
    <w:link w:val="TextpoznmkypodiarouChar"/>
    <w:uiPriority w:val="99"/>
    <w:unhideWhenUsed/>
    <w:rsid w:val="00A70D39"/>
    <w:pPr>
      <w:spacing w:after="0" w:line="240" w:lineRule="auto"/>
    </w:pPr>
    <w:rPr>
      <w:rFonts w:ascii="Times New Roman" w:hAnsi="Times New Roman"/>
      <w:sz w:val="20"/>
      <w:szCs w:val="20"/>
      <w:lang w:eastAsia="sk-SK"/>
    </w:rPr>
  </w:style>
  <w:style w:type="character" w:customStyle="1" w:styleId="TextpoznmkypodiarouChar">
    <w:name w:val="Text poznámky pod čiarou Char"/>
    <w:basedOn w:val="Predvolenpsmoodseku"/>
    <w:link w:val="Textpoznmkypodiarou"/>
    <w:uiPriority w:val="99"/>
    <w:rsid w:val="00A70D39"/>
    <w:rPr>
      <w:rFonts w:ascii="Times New Roman" w:hAnsi="Times New Roman" w:cs="Times New Roman"/>
    </w:rPr>
  </w:style>
  <w:style w:type="character" w:styleId="Odkaznapoznmkupodiarou">
    <w:name w:val="footnote reference"/>
    <w:basedOn w:val="Predvolenpsmoodseku"/>
    <w:uiPriority w:val="99"/>
    <w:unhideWhenUsed/>
    <w:rsid w:val="00A70D39"/>
    <w:rPr>
      <w:rFonts w:cs="Times New Roman"/>
      <w:vertAlign w:val="superscript"/>
    </w:rPr>
  </w:style>
  <w:style w:type="character" w:styleId="Odkaznakomentr">
    <w:name w:val="annotation reference"/>
    <w:basedOn w:val="Predvolenpsmoodseku"/>
    <w:uiPriority w:val="99"/>
    <w:unhideWhenUsed/>
    <w:rsid w:val="00A70D39"/>
    <w:rPr>
      <w:rFonts w:cs="Times New Roman"/>
      <w:sz w:val="16"/>
      <w:szCs w:val="16"/>
    </w:rPr>
  </w:style>
  <w:style w:type="paragraph" w:styleId="Textkomentra">
    <w:name w:val="annotation text"/>
    <w:basedOn w:val="Normlny"/>
    <w:link w:val="TextkomentraChar"/>
    <w:uiPriority w:val="99"/>
    <w:unhideWhenUsed/>
    <w:rsid w:val="00A70D39"/>
    <w:pPr>
      <w:spacing w:after="0" w:line="240" w:lineRule="auto"/>
    </w:pPr>
    <w:rPr>
      <w:rFonts w:ascii="Times New Roman" w:hAnsi="Times New Roman"/>
      <w:sz w:val="20"/>
      <w:szCs w:val="20"/>
      <w:lang w:eastAsia="sk-SK"/>
    </w:rPr>
  </w:style>
  <w:style w:type="character" w:customStyle="1" w:styleId="TextkomentraChar">
    <w:name w:val="Text komentára Char"/>
    <w:basedOn w:val="Predvolenpsmoodseku"/>
    <w:link w:val="Textkomentra"/>
    <w:uiPriority w:val="99"/>
    <w:rsid w:val="00A70D39"/>
    <w:rPr>
      <w:rFonts w:ascii="Times New Roman" w:hAnsi="Times New Roman" w:cs="Times New Roman"/>
    </w:rPr>
  </w:style>
  <w:style w:type="paragraph" w:styleId="Predmetkomentra">
    <w:name w:val="annotation subject"/>
    <w:basedOn w:val="Textkomentra"/>
    <w:next w:val="Textkomentra"/>
    <w:link w:val="PredmetkomentraChar"/>
    <w:uiPriority w:val="99"/>
    <w:unhideWhenUsed/>
    <w:rsid w:val="00A70D39"/>
    <w:rPr>
      <w:b/>
      <w:bCs/>
    </w:rPr>
  </w:style>
  <w:style w:type="character" w:customStyle="1" w:styleId="PredmetkomentraChar">
    <w:name w:val="Predmet komentára Char"/>
    <w:basedOn w:val="TextkomentraChar"/>
    <w:link w:val="Predmetkomentra"/>
    <w:uiPriority w:val="99"/>
    <w:rsid w:val="00A70D39"/>
    <w:rPr>
      <w:rFonts w:ascii="Times New Roman" w:hAnsi="Times New Roman" w:cs="Times New Roman"/>
      <w:b/>
      <w:bCs/>
    </w:rPr>
  </w:style>
  <w:style w:type="character" w:styleId="slostrany">
    <w:name w:val="page number"/>
    <w:basedOn w:val="Predvolenpsmoodseku"/>
    <w:uiPriority w:val="99"/>
    <w:rsid w:val="00A70D39"/>
    <w:rPr>
      <w:rFonts w:cs="Times New Roman"/>
    </w:rPr>
  </w:style>
  <w:style w:type="character" w:styleId="Hypertextovprepojenie">
    <w:name w:val="Hyperlink"/>
    <w:basedOn w:val="Predvolenpsmoodseku"/>
    <w:uiPriority w:val="99"/>
    <w:unhideWhenUsed/>
    <w:rsid w:val="00A70D39"/>
    <w:rPr>
      <w:rFonts w:cs="Times New Roman"/>
      <w:color w:val="0000FF"/>
      <w:u w:val="single"/>
    </w:rPr>
  </w:style>
  <w:style w:type="paragraph" w:styleId="Bezriadkovania">
    <w:name w:val="No Spacing"/>
    <w:uiPriority w:val="1"/>
    <w:qFormat/>
    <w:rsid w:val="00A70D39"/>
    <w:rPr>
      <w:rFonts w:ascii="Calibri" w:hAnsi="Calibri" w:cs="Times New Roman"/>
      <w:sz w:val="22"/>
      <w:szCs w:val="22"/>
      <w:lang w:eastAsia="en-US"/>
    </w:rPr>
  </w:style>
  <w:style w:type="paragraph" w:styleId="Nzov">
    <w:name w:val="Title"/>
    <w:basedOn w:val="Normlny"/>
    <w:link w:val="NzovChar"/>
    <w:uiPriority w:val="99"/>
    <w:qFormat/>
    <w:rsid w:val="00A70D39"/>
    <w:pPr>
      <w:pBdr>
        <w:bottom w:val="single" w:sz="4" w:space="1" w:color="auto"/>
      </w:pBdr>
      <w:autoSpaceDE w:val="0"/>
      <w:autoSpaceDN w:val="0"/>
      <w:spacing w:after="0" w:line="240" w:lineRule="auto"/>
      <w:jc w:val="center"/>
    </w:pPr>
    <w:rPr>
      <w:rFonts w:ascii="Times New Roman" w:hAnsi="Times New Roman"/>
      <w:b/>
      <w:bCs/>
      <w:sz w:val="24"/>
      <w:szCs w:val="24"/>
      <w:lang w:eastAsia="sk-SK"/>
    </w:rPr>
  </w:style>
  <w:style w:type="character" w:customStyle="1" w:styleId="NzovChar">
    <w:name w:val="Názov Char"/>
    <w:basedOn w:val="Predvolenpsmoodseku"/>
    <w:link w:val="Nzov"/>
    <w:uiPriority w:val="99"/>
    <w:rsid w:val="00A70D39"/>
    <w:rPr>
      <w:rFonts w:ascii="Times New Roman" w:hAnsi="Times New Roman" w:cs="Times New Roman"/>
      <w:b/>
      <w:bCs/>
      <w:sz w:val="24"/>
      <w:szCs w:val="24"/>
    </w:rPr>
  </w:style>
  <w:style w:type="paragraph" w:customStyle="1" w:styleId="Zkladntext1">
    <w:name w:val="Zkladn text"/>
    <w:rsid w:val="00A70D39"/>
    <w:pPr>
      <w:widowControl w:val="0"/>
      <w:autoSpaceDE w:val="0"/>
      <w:autoSpaceDN w:val="0"/>
    </w:pPr>
    <w:rPr>
      <w:rFonts w:ascii="Times New Roman" w:hAnsi="Times New Roman" w:cs="Times New Roman"/>
      <w:color w:val="000000"/>
    </w:rPr>
  </w:style>
  <w:style w:type="character" w:styleId="Zvraznenie">
    <w:name w:val="Emphasis"/>
    <w:basedOn w:val="Predvolenpsmoodseku"/>
    <w:uiPriority w:val="20"/>
    <w:qFormat/>
    <w:rsid w:val="00A70D39"/>
    <w:rPr>
      <w:rFonts w:cs="Times New Roman"/>
      <w:i/>
      <w:iCs/>
    </w:rPr>
  </w:style>
  <w:style w:type="paragraph" w:customStyle="1" w:styleId="Default">
    <w:name w:val="Default"/>
    <w:rsid w:val="00A70D39"/>
    <w:pPr>
      <w:autoSpaceDE w:val="0"/>
      <w:autoSpaceDN w:val="0"/>
      <w:adjustRightInd w:val="0"/>
    </w:pPr>
    <w:rPr>
      <w:rFonts w:ascii="EUAlbertina" w:hAnsi="EUAlbertina" w:cs="EUAlbertina"/>
      <w:color w:val="000000"/>
      <w:sz w:val="24"/>
      <w:szCs w:val="24"/>
    </w:rPr>
  </w:style>
  <w:style w:type="character" w:customStyle="1" w:styleId="awspan1">
    <w:name w:val="awspan1"/>
    <w:rsid w:val="00A70D39"/>
    <w:rPr>
      <w:color w:val="000000"/>
      <w:sz w:val="24"/>
    </w:rPr>
  </w:style>
  <w:style w:type="paragraph" w:styleId="Normlnywebov">
    <w:name w:val="Normal (Web)"/>
    <w:basedOn w:val="Normlny"/>
    <w:uiPriority w:val="99"/>
    <w:rsid w:val="00A70D39"/>
    <w:pPr>
      <w:spacing w:before="100" w:after="100" w:line="240" w:lineRule="auto"/>
      <w:ind w:left="450" w:right="350"/>
    </w:pPr>
    <w:rPr>
      <w:rFonts w:ascii="Times New Roman" w:hAnsi="Times New Roman"/>
      <w:sz w:val="19"/>
      <w:szCs w:val="19"/>
      <w:lang w:eastAsia="sk-SK"/>
    </w:rPr>
  </w:style>
  <w:style w:type="character" w:styleId="Siln">
    <w:name w:val="Strong"/>
    <w:basedOn w:val="Predvolenpsmoodseku"/>
    <w:uiPriority w:val="22"/>
    <w:qFormat/>
    <w:rsid w:val="00A70D39"/>
    <w:rPr>
      <w:rFonts w:cs="Times New Roman"/>
      <w:b/>
    </w:rPr>
  </w:style>
  <w:style w:type="paragraph" w:customStyle="1" w:styleId="c08dispositif">
    <w:name w:val="c08dispositif"/>
    <w:basedOn w:val="Normlny"/>
    <w:rsid w:val="00A70D39"/>
    <w:pPr>
      <w:spacing w:before="100" w:beforeAutospacing="1" w:after="100" w:afterAutospacing="1" w:line="240" w:lineRule="auto"/>
    </w:pPr>
    <w:rPr>
      <w:rFonts w:ascii="Times New Roman" w:hAnsi="Times New Roman"/>
      <w:sz w:val="24"/>
      <w:szCs w:val="24"/>
      <w:lang w:eastAsia="sk-SK"/>
    </w:rPr>
  </w:style>
  <w:style w:type="paragraph" w:customStyle="1" w:styleId="c31dispositiftiretlong">
    <w:name w:val="c31dispositiftiretlong"/>
    <w:basedOn w:val="Normlny"/>
    <w:rsid w:val="00A70D39"/>
    <w:pPr>
      <w:spacing w:before="100" w:beforeAutospacing="1" w:after="100" w:afterAutospacing="1" w:line="240" w:lineRule="auto"/>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6534">
      <w:bodyDiv w:val="1"/>
      <w:marLeft w:val="0"/>
      <w:marRight w:val="0"/>
      <w:marTop w:val="0"/>
      <w:marBottom w:val="0"/>
      <w:divBdr>
        <w:top w:val="none" w:sz="0" w:space="0" w:color="auto"/>
        <w:left w:val="none" w:sz="0" w:space="0" w:color="auto"/>
        <w:bottom w:val="none" w:sz="0" w:space="0" w:color="auto"/>
        <w:right w:val="none" w:sz="0" w:space="0" w:color="auto"/>
      </w:divBdr>
    </w:div>
    <w:div w:id="60106099">
      <w:marLeft w:val="0"/>
      <w:marRight w:val="0"/>
      <w:marTop w:val="0"/>
      <w:marBottom w:val="0"/>
      <w:divBdr>
        <w:top w:val="none" w:sz="0" w:space="0" w:color="auto"/>
        <w:left w:val="none" w:sz="0" w:space="0" w:color="auto"/>
        <w:bottom w:val="none" w:sz="0" w:space="0" w:color="auto"/>
        <w:right w:val="none" w:sz="0" w:space="0" w:color="auto"/>
      </w:divBdr>
    </w:div>
    <w:div w:id="60106100">
      <w:marLeft w:val="0"/>
      <w:marRight w:val="0"/>
      <w:marTop w:val="0"/>
      <w:marBottom w:val="0"/>
      <w:divBdr>
        <w:top w:val="none" w:sz="0" w:space="0" w:color="auto"/>
        <w:left w:val="none" w:sz="0" w:space="0" w:color="auto"/>
        <w:bottom w:val="none" w:sz="0" w:space="0" w:color="auto"/>
        <w:right w:val="none" w:sz="0" w:space="0" w:color="auto"/>
      </w:divBdr>
    </w:div>
    <w:div w:id="601061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a.jarosova@mfsr.sk"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lov-lex.sk/pravne-predpisy/SK/ZZ/2012/118/20120401"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ingeliova\Local%20Settings\Temporary%20Internet%20Files\Content.Outlook\0OUF42B6\D&#244;vodov&#225;%20spr&#225;va%204%206.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Dôvodová správa 4 6</Template>
  <TotalTime>52</TotalTime>
  <Pages>28</Pages>
  <Words>8281</Words>
  <Characters>48237</Characters>
  <Application>Microsoft Office Word</Application>
  <DocSecurity>0</DocSecurity>
  <Lines>401</Lines>
  <Paragraphs>112</Paragraphs>
  <ScaleCrop>false</ScaleCrop>
  <HeadingPairs>
    <vt:vector size="2" baseType="variant">
      <vt:variant>
        <vt:lpstr>Názov</vt:lpstr>
      </vt:variant>
      <vt:variant>
        <vt:i4>1</vt:i4>
      </vt:variant>
    </vt:vector>
  </HeadingPairs>
  <TitlesOfParts>
    <vt:vector size="1" baseType="lpstr">
      <vt:lpstr/>
    </vt:vector>
  </TitlesOfParts>
  <Company>mfsr</Company>
  <LinksUpToDate>false</LinksUpToDate>
  <CharactersWithSpaces>56406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creator>
  <cp:keywords/>
  <dc:description/>
  <cp:lastModifiedBy>Jarosova Michaela</cp:lastModifiedBy>
  <cp:revision>3</cp:revision>
  <cp:lastPrinted>2020-09-30T11:47:00Z</cp:lastPrinted>
  <dcterms:created xsi:type="dcterms:W3CDTF">2020-09-29T07:48:00Z</dcterms:created>
  <dcterms:modified xsi:type="dcterms:W3CDTF">2020-09-30T12:40:00Z</dcterms:modified>
</cp:coreProperties>
</file>