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3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931"/>
        <w:gridCol w:w="4739"/>
        <w:gridCol w:w="1387"/>
        <w:gridCol w:w="846"/>
        <w:gridCol w:w="886"/>
        <w:gridCol w:w="4961"/>
        <w:gridCol w:w="709"/>
        <w:gridCol w:w="995"/>
      </w:tblGrid>
      <w:tr w:rsidR="008C54C3" w:rsidRPr="00AA3F6C" w:rsidTr="00B151C6">
        <w:trPr>
          <w:trHeight w:val="685"/>
        </w:trPr>
        <w:tc>
          <w:tcPr>
            <w:tcW w:w="16136" w:type="dxa"/>
            <w:gridSpan w:val="9"/>
            <w:tcBorders>
              <w:top w:val="single" w:sz="12" w:space="0" w:color="auto"/>
              <w:left w:val="single" w:sz="12" w:space="0" w:color="auto"/>
              <w:bottom w:val="single" w:sz="4" w:space="0" w:color="auto"/>
              <w:right w:val="single" w:sz="12" w:space="0" w:color="auto"/>
            </w:tcBorders>
          </w:tcPr>
          <w:p w:rsidR="008C54C3" w:rsidRPr="00AA3F6C" w:rsidRDefault="008C54C3" w:rsidP="0078287E">
            <w:pPr>
              <w:pStyle w:val="Nadpis1"/>
              <w:rPr>
                <w:sz w:val="20"/>
                <w:szCs w:val="20"/>
              </w:rPr>
            </w:pPr>
            <w:r w:rsidRPr="00AA3F6C">
              <w:rPr>
                <w:sz w:val="20"/>
                <w:szCs w:val="20"/>
              </w:rPr>
              <w:t>TABUĽKA  ZHODY</w:t>
            </w:r>
          </w:p>
          <w:p w:rsidR="008C54C3" w:rsidRPr="00CB4F06" w:rsidRDefault="004577EC" w:rsidP="00CB4F06">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bCs/>
                <w:lang w:val="sk-SK" w:eastAsia="sk-SK"/>
              </w:rPr>
            </w:pPr>
            <w:r w:rsidRPr="00CB4F06">
              <w:rPr>
                <w:rFonts w:ascii="Times New Roman" w:hAnsi="Times New Roman" w:cs="Times New Roman"/>
                <w:b/>
                <w:bCs/>
                <w:lang w:val="sk-SK" w:eastAsia="sk-SK"/>
              </w:rPr>
              <w:t>k </w:t>
            </w:r>
            <w:r w:rsidR="0078287E" w:rsidRPr="00CB4F06">
              <w:rPr>
                <w:rFonts w:ascii="Times New Roman" w:hAnsi="Times New Roman" w:cs="Times New Roman"/>
                <w:b/>
                <w:bCs/>
                <w:lang w:val="sk-SK" w:eastAsia="sk-SK"/>
              </w:rPr>
              <w:t>n</w:t>
            </w:r>
            <w:r w:rsidR="0091636B" w:rsidRPr="00CB4F06">
              <w:rPr>
                <w:rFonts w:ascii="Times New Roman" w:hAnsi="Times New Roman" w:cs="Times New Roman"/>
                <w:b/>
                <w:bCs/>
                <w:lang w:val="sk-SK" w:eastAsia="sk-SK"/>
              </w:rPr>
              <w:t>ávrh</w:t>
            </w:r>
            <w:r w:rsidR="00AB7D27" w:rsidRPr="00CB4F06">
              <w:rPr>
                <w:rFonts w:ascii="Times New Roman" w:hAnsi="Times New Roman" w:cs="Times New Roman"/>
                <w:b/>
                <w:bCs/>
                <w:lang w:val="sk-SK" w:eastAsia="sk-SK"/>
              </w:rPr>
              <w:t>u</w:t>
            </w:r>
            <w:r w:rsidR="0091636B" w:rsidRPr="00CB4F06">
              <w:rPr>
                <w:rFonts w:ascii="Times New Roman" w:hAnsi="Times New Roman" w:cs="Times New Roman"/>
                <w:b/>
                <w:bCs/>
                <w:lang w:val="sk-SK" w:eastAsia="sk-SK"/>
              </w:rPr>
              <w:t xml:space="preserve"> zákona</w:t>
            </w:r>
            <w:r w:rsidR="002E1D16" w:rsidRPr="00CB4F06">
              <w:rPr>
                <w:rFonts w:ascii="Times New Roman" w:hAnsi="Times New Roman" w:cs="Times New Roman"/>
                <w:b/>
                <w:bCs/>
                <w:lang w:val="sk-SK" w:eastAsia="sk-SK"/>
              </w:rPr>
              <w:t xml:space="preserve">, </w:t>
            </w:r>
            <w:r w:rsidR="0000149A" w:rsidRPr="00CB4F06">
              <w:rPr>
                <w:rFonts w:ascii="Times New Roman" w:hAnsi="Times New Roman" w:cs="Times New Roman"/>
                <w:b/>
                <w:bCs/>
                <w:lang w:val="sk-SK" w:eastAsia="sk-SK"/>
              </w:rPr>
              <w:t xml:space="preserve">ktorým sa mení a dopĺňa zákon č. </w:t>
            </w:r>
            <w:r w:rsidR="00CB4F06" w:rsidRPr="00CB4F06">
              <w:rPr>
                <w:rFonts w:ascii="Times New Roman" w:hAnsi="Times New Roman" w:cs="Times New Roman"/>
                <w:b/>
                <w:bCs/>
                <w:lang w:val="sk-SK" w:eastAsia="sk-SK"/>
              </w:rPr>
              <w:t xml:space="preserve">98/2004 Z. z. o spotrebnej dani z minerálneho oleja v znení neskorších predpisov a ktorým sa mení zákon č. 218/2013 Z. z. o núdzových zásobách ropy a ropných výrobkov a o riešení stavu ropnej núdze a o zmene a doplnení niektorých zákonov v znení zákona č. 235/2019 Z. z. </w:t>
            </w:r>
            <w:r w:rsidR="00127033" w:rsidRPr="00CB4F06">
              <w:rPr>
                <w:rFonts w:ascii="Times New Roman" w:hAnsi="Times New Roman" w:cs="Times New Roman"/>
                <w:b/>
                <w:bCs/>
                <w:lang w:val="sk-SK" w:eastAsia="sk-SK"/>
              </w:rPr>
              <w:t>s právom Európskej únie</w:t>
            </w:r>
          </w:p>
        </w:tc>
      </w:tr>
      <w:tr w:rsidR="008C54C3" w:rsidRPr="00AA3F6C" w:rsidTr="006574B5">
        <w:trPr>
          <w:cantSplit/>
          <w:trHeight w:val="399"/>
        </w:trPr>
        <w:tc>
          <w:tcPr>
            <w:tcW w:w="1613" w:type="dxa"/>
            <w:gridSpan w:val="2"/>
            <w:tcBorders>
              <w:top w:val="single" w:sz="4" w:space="0" w:color="auto"/>
              <w:left w:val="single" w:sz="12" w:space="0" w:color="auto"/>
              <w:bottom w:val="single" w:sz="4" w:space="0" w:color="auto"/>
              <w:right w:val="nil"/>
            </w:tcBorders>
          </w:tcPr>
          <w:p w:rsidR="008C54C3" w:rsidRPr="00AA3F6C" w:rsidRDefault="008C54C3">
            <w:pPr>
              <w:pStyle w:val="Nadpis4"/>
              <w:jc w:val="both"/>
              <w:rPr>
                <w:sz w:val="20"/>
                <w:szCs w:val="20"/>
              </w:rPr>
            </w:pPr>
            <w:r w:rsidRPr="00AA3F6C">
              <w:rPr>
                <w:sz w:val="20"/>
                <w:szCs w:val="20"/>
              </w:rPr>
              <w:t>Názov smernice:</w:t>
            </w:r>
          </w:p>
        </w:tc>
        <w:tc>
          <w:tcPr>
            <w:tcW w:w="14523" w:type="dxa"/>
            <w:gridSpan w:val="7"/>
            <w:tcBorders>
              <w:top w:val="single" w:sz="4" w:space="0" w:color="auto"/>
              <w:left w:val="nil"/>
              <w:bottom w:val="single" w:sz="4" w:space="0" w:color="auto"/>
              <w:right w:val="single" w:sz="12" w:space="0" w:color="auto"/>
            </w:tcBorders>
          </w:tcPr>
          <w:p w:rsidR="00C33219" w:rsidRPr="00AA3F6C" w:rsidRDefault="00987CC6" w:rsidP="006574B5">
            <w:pPr>
              <w:pStyle w:val="doc-ti"/>
              <w:shd w:val="clear" w:color="auto" w:fill="FFFFFF"/>
              <w:spacing w:before="0" w:beforeAutospacing="0" w:after="0" w:afterAutospacing="0"/>
              <w:textAlignment w:val="baseline"/>
              <w:rPr>
                <w:b/>
                <w:bCs/>
                <w:sz w:val="20"/>
                <w:szCs w:val="20"/>
              </w:rPr>
            </w:pPr>
            <w:r w:rsidRPr="00987CC6">
              <w:rPr>
                <w:b/>
                <w:bCs/>
                <w:sz w:val="20"/>
                <w:szCs w:val="20"/>
              </w:rPr>
              <w:t>S</w:t>
            </w:r>
            <w:r>
              <w:rPr>
                <w:b/>
                <w:bCs/>
                <w:sz w:val="20"/>
                <w:szCs w:val="20"/>
              </w:rPr>
              <w:t>mernica</w:t>
            </w:r>
            <w:r w:rsidRPr="00987CC6">
              <w:rPr>
                <w:b/>
                <w:bCs/>
                <w:sz w:val="20"/>
                <w:szCs w:val="20"/>
              </w:rPr>
              <w:t xml:space="preserve"> R</w:t>
            </w:r>
            <w:r>
              <w:rPr>
                <w:b/>
                <w:bCs/>
                <w:sz w:val="20"/>
                <w:szCs w:val="20"/>
              </w:rPr>
              <w:t>ady</w:t>
            </w:r>
            <w:r w:rsidRPr="00987CC6">
              <w:rPr>
                <w:b/>
                <w:bCs/>
                <w:sz w:val="20"/>
                <w:szCs w:val="20"/>
              </w:rPr>
              <w:t xml:space="preserve"> (EÚ) 2019/2235 zo 16. decembra 2019, ktorou sa mení smernica 2006/112/ES o spoločnom systéme dane z pridanej hodnoty a smernica 2008/118/ES o všeobecnom systéme spotrebných daní, pokiaľ ide o obranné úsilie v rámci Únie</w:t>
            </w:r>
          </w:p>
        </w:tc>
      </w:tr>
      <w:tr w:rsidR="008C54C3" w:rsidRPr="00AA3F6C" w:rsidTr="004808B5">
        <w:trPr>
          <w:trHeight w:val="565"/>
        </w:trPr>
        <w:tc>
          <w:tcPr>
            <w:tcW w:w="7739" w:type="dxa"/>
            <w:gridSpan w:val="4"/>
            <w:tcBorders>
              <w:top w:val="single" w:sz="4" w:space="0" w:color="auto"/>
              <w:left w:val="single" w:sz="12" w:space="0" w:color="auto"/>
              <w:bottom w:val="single" w:sz="4" w:space="0" w:color="auto"/>
              <w:right w:val="single" w:sz="12" w:space="0" w:color="auto"/>
            </w:tcBorders>
          </w:tcPr>
          <w:p w:rsidR="008C54C3" w:rsidRPr="00CD4CF2" w:rsidRDefault="00DE0F85" w:rsidP="00CD4CF2">
            <w:pPr>
              <w:pStyle w:val="Nadpis4"/>
              <w:spacing w:before="120"/>
              <w:jc w:val="both"/>
              <w:rPr>
                <w:sz w:val="20"/>
                <w:szCs w:val="20"/>
                <w:u w:val="single"/>
              </w:rPr>
            </w:pPr>
            <w:r w:rsidRPr="00CD4CF2">
              <w:rPr>
                <w:sz w:val="20"/>
                <w:szCs w:val="20"/>
                <w:u w:val="single"/>
              </w:rPr>
              <w:t>Smernica EÚ</w:t>
            </w:r>
          </w:p>
          <w:p w:rsidR="00EE7DD6" w:rsidRPr="00AA3F6C" w:rsidRDefault="00987CC6" w:rsidP="00AB7D27">
            <w:pPr>
              <w:pStyle w:val="Zkladntext3"/>
              <w:spacing w:line="240" w:lineRule="exact"/>
              <w:rPr>
                <w:sz w:val="20"/>
                <w:szCs w:val="20"/>
              </w:rPr>
            </w:pPr>
            <w:r w:rsidRPr="00987CC6">
              <w:rPr>
                <w:b/>
                <w:bCs/>
                <w:sz w:val="20"/>
                <w:szCs w:val="20"/>
              </w:rPr>
              <w:t>Smernica Rady (EÚ) 2019/2235 zo 16. decembra 2019, ktorou sa mení smernica 2006/112/ES o spoločnom systéme dane z pridanej hodnoty a smernica 2008/118/ES o všeobecnom systéme spotrebných daní, pokiaľ ide o obranné úsilie v rámci Únie</w:t>
            </w:r>
          </w:p>
        </w:tc>
        <w:tc>
          <w:tcPr>
            <w:tcW w:w="8397" w:type="dxa"/>
            <w:gridSpan w:val="5"/>
            <w:tcBorders>
              <w:top w:val="single" w:sz="4" w:space="0" w:color="auto"/>
              <w:left w:val="nil"/>
              <w:bottom w:val="single" w:sz="4" w:space="0" w:color="auto"/>
              <w:right w:val="single" w:sz="12" w:space="0" w:color="auto"/>
            </w:tcBorders>
          </w:tcPr>
          <w:p w:rsidR="008C54C3" w:rsidRPr="00CD4CF2" w:rsidRDefault="008C54C3" w:rsidP="00CD4CF2">
            <w:pPr>
              <w:pStyle w:val="Nadpis4"/>
              <w:spacing w:before="120"/>
              <w:jc w:val="both"/>
              <w:rPr>
                <w:sz w:val="20"/>
                <w:szCs w:val="20"/>
                <w:u w:val="single"/>
              </w:rPr>
            </w:pPr>
            <w:r w:rsidRPr="00CD4CF2">
              <w:rPr>
                <w:sz w:val="20"/>
                <w:szCs w:val="20"/>
                <w:u w:val="single"/>
              </w:rPr>
              <w:t>Všeobecne záväzné právne predpisy Slovenskej republiky</w:t>
            </w:r>
          </w:p>
          <w:p w:rsidR="00217BF4" w:rsidRPr="00AA3F6C" w:rsidRDefault="004577EC" w:rsidP="005F50F1">
            <w:pPr>
              <w:widowControl w:val="0"/>
              <w:autoSpaceDE w:val="0"/>
              <w:autoSpaceDN w:val="0"/>
              <w:spacing w:before="0" w:beforeAutospacing="0" w:after="0" w:afterAutospacing="0"/>
              <w:jc w:val="both"/>
              <w:rPr>
                <w:b/>
                <w:sz w:val="20"/>
                <w:szCs w:val="20"/>
              </w:rPr>
            </w:pPr>
            <w:r w:rsidRPr="00AA3F6C">
              <w:rPr>
                <w:b/>
                <w:sz w:val="20"/>
                <w:szCs w:val="20"/>
              </w:rPr>
              <w:t xml:space="preserve">Návrh zákona, </w:t>
            </w:r>
            <w:r w:rsidR="0000149A" w:rsidRPr="00AA3F6C">
              <w:rPr>
                <w:b/>
                <w:sz w:val="20"/>
                <w:szCs w:val="20"/>
              </w:rPr>
              <w:t xml:space="preserve">ktorým sa mení a dopĺňa zákon č. </w:t>
            </w:r>
            <w:r w:rsidR="00CB4F06">
              <w:rPr>
                <w:b/>
                <w:sz w:val="20"/>
                <w:szCs w:val="20"/>
              </w:rPr>
              <w:t>98</w:t>
            </w:r>
            <w:r w:rsidR="0000149A" w:rsidRPr="00AA3F6C">
              <w:rPr>
                <w:b/>
                <w:sz w:val="20"/>
                <w:szCs w:val="20"/>
              </w:rPr>
              <w:t>/20</w:t>
            </w:r>
            <w:r w:rsidR="00CB4F06">
              <w:rPr>
                <w:b/>
                <w:sz w:val="20"/>
                <w:szCs w:val="20"/>
              </w:rPr>
              <w:t>004</w:t>
            </w:r>
            <w:r w:rsidR="0000149A" w:rsidRPr="00AA3F6C">
              <w:rPr>
                <w:b/>
                <w:sz w:val="20"/>
                <w:szCs w:val="20"/>
              </w:rPr>
              <w:t xml:space="preserve"> Z. z. o spotrebnej dani </w:t>
            </w:r>
            <w:r w:rsidR="00CB4F06" w:rsidRPr="00CB4F06">
              <w:rPr>
                <w:b/>
                <w:bCs/>
                <w:sz w:val="20"/>
                <w:szCs w:val="20"/>
              </w:rPr>
              <w:t>z minerálneho oleja v znení neskorších predpisov a ktorým sa mení zákon č. 218/2013 Z. z. o núdzových zásobách ropy a ropných výrobkov a o riešení stavu ropnej núdze a o zmene a doplnení niektorých zákonov v znení zákona č. 235/2019 Z. z.</w:t>
            </w:r>
            <w:r w:rsidR="00CB4F06" w:rsidRPr="00AA3F6C">
              <w:rPr>
                <w:b/>
                <w:sz w:val="20"/>
                <w:szCs w:val="20"/>
              </w:rPr>
              <w:t xml:space="preserve"> </w:t>
            </w:r>
            <w:r w:rsidR="00CB4F06" w:rsidRPr="00443E0E">
              <w:rPr>
                <w:b/>
                <w:bCs/>
                <w:sz w:val="20"/>
                <w:szCs w:val="20"/>
              </w:rPr>
              <w:t>(ďalej len „</w:t>
            </w:r>
            <w:r w:rsidR="00CB4F06">
              <w:rPr>
                <w:b/>
                <w:bCs/>
                <w:sz w:val="20"/>
                <w:szCs w:val="20"/>
              </w:rPr>
              <w:t>X/2020</w:t>
            </w:r>
            <w:r w:rsidR="00CB4F06" w:rsidRPr="00443E0E">
              <w:rPr>
                <w:b/>
                <w:bCs/>
                <w:sz w:val="20"/>
                <w:szCs w:val="20"/>
              </w:rPr>
              <w:t xml:space="preserve"> Z. z.“)</w:t>
            </w:r>
          </w:p>
          <w:p w:rsidR="0000149A" w:rsidRPr="00AA3F6C" w:rsidRDefault="0000149A" w:rsidP="0000149A">
            <w:pPr>
              <w:widowControl w:val="0"/>
              <w:autoSpaceDE w:val="0"/>
              <w:autoSpaceDN w:val="0"/>
              <w:spacing w:before="0" w:beforeAutospacing="0" w:after="0" w:afterAutospacing="0"/>
              <w:rPr>
                <w:sz w:val="20"/>
                <w:szCs w:val="20"/>
              </w:rPr>
            </w:pPr>
          </w:p>
          <w:p w:rsidR="002E1D16" w:rsidRDefault="001565A7" w:rsidP="00CB4F06">
            <w:pPr>
              <w:pStyle w:val="Zkladntext"/>
              <w:jc w:val="both"/>
              <w:rPr>
                <w:sz w:val="20"/>
                <w:szCs w:val="20"/>
              </w:rPr>
            </w:pPr>
            <w:r>
              <w:rPr>
                <w:sz w:val="20"/>
                <w:szCs w:val="20"/>
              </w:rPr>
              <w:t xml:space="preserve">Zákon č. </w:t>
            </w:r>
            <w:r w:rsidR="00CB4F06">
              <w:rPr>
                <w:sz w:val="20"/>
                <w:szCs w:val="20"/>
              </w:rPr>
              <w:t>98</w:t>
            </w:r>
            <w:r w:rsidR="0000149A" w:rsidRPr="00AA3F6C">
              <w:rPr>
                <w:sz w:val="20"/>
                <w:szCs w:val="20"/>
              </w:rPr>
              <w:t>/20</w:t>
            </w:r>
            <w:r w:rsidR="00CB4F06">
              <w:rPr>
                <w:sz w:val="20"/>
                <w:szCs w:val="20"/>
              </w:rPr>
              <w:t>04</w:t>
            </w:r>
            <w:r w:rsidR="0000149A" w:rsidRPr="00AA3F6C">
              <w:rPr>
                <w:sz w:val="20"/>
                <w:szCs w:val="20"/>
              </w:rPr>
              <w:t xml:space="preserve"> Z. z. o spotrebnej dani z</w:t>
            </w:r>
            <w:r w:rsidR="00CB4F06">
              <w:rPr>
                <w:sz w:val="20"/>
                <w:szCs w:val="20"/>
              </w:rPr>
              <w:t xml:space="preserve"> minerálneho oleja </w:t>
            </w:r>
            <w:r w:rsidR="0000149A" w:rsidRPr="00AA3F6C">
              <w:rPr>
                <w:sz w:val="20"/>
                <w:szCs w:val="20"/>
              </w:rPr>
              <w:t>v znení neskorších predpisov</w:t>
            </w:r>
            <w:r w:rsidR="00D81C08" w:rsidRPr="00AA3F6C">
              <w:rPr>
                <w:sz w:val="20"/>
                <w:szCs w:val="20"/>
              </w:rPr>
              <w:t xml:space="preserve"> (ďalej „</w:t>
            </w:r>
            <w:r w:rsidR="00CB4F06">
              <w:rPr>
                <w:sz w:val="20"/>
                <w:szCs w:val="20"/>
              </w:rPr>
              <w:t>98/2004</w:t>
            </w:r>
            <w:r w:rsidR="00D81C08" w:rsidRPr="00AA3F6C">
              <w:rPr>
                <w:sz w:val="20"/>
                <w:szCs w:val="20"/>
              </w:rPr>
              <w:t>“)</w:t>
            </w:r>
            <w:r w:rsidR="0000149A" w:rsidRPr="00AA3F6C">
              <w:rPr>
                <w:sz w:val="20"/>
                <w:szCs w:val="20"/>
              </w:rPr>
              <w:t xml:space="preserve"> </w:t>
            </w:r>
          </w:p>
          <w:p w:rsidR="000924C6" w:rsidRDefault="000924C6" w:rsidP="00CB4F06">
            <w:pPr>
              <w:pStyle w:val="Zkladntext"/>
              <w:jc w:val="both"/>
              <w:rPr>
                <w:sz w:val="20"/>
                <w:szCs w:val="20"/>
              </w:rPr>
            </w:pPr>
          </w:p>
          <w:p w:rsidR="000924C6" w:rsidRPr="00AA3F6C" w:rsidRDefault="000924C6" w:rsidP="00CB4F06">
            <w:pPr>
              <w:pStyle w:val="Zkladntext"/>
              <w:jc w:val="both"/>
              <w:rPr>
                <w:sz w:val="20"/>
                <w:szCs w:val="20"/>
              </w:rPr>
            </w:pPr>
            <w:r w:rsidRPr="006A12E8">
              <w:rPr>
                <w:bCs/>
                <w:sz w:val="20"/>
                <w:szCs w:val="20"/>
              </w:rPr>
              <w:t xml:space="preserve">Zákon č. 575/2001 Z. z. </w:t>
            </w:r>
            <w:r w:rsidRPr="006A12E8">
              <w:rPr>
                <w:bCs/>
                <w:sz w:val="20"/>
                <w:szCs w:val="20"/>
                <w:shd w:val="clear" w:color="auto" w:fill="FFFFFF"/>
              </w:rPr>
              <w:t xml:space="preserve">o organizácii činnosti vlády a organizácii ústrednej štátnej správy </w:t>
            </w:r>
            <w:r w:rsidRPr="006A12E8">
              <w:rPr>
                <w:bCs/>
                <w:sz w:val="20"/>
                <w:szCs w:val="20"/>
              </w:rPr>
              <w:t>v znení neskorších predpisov (ďalej „575/2001“)</w:t>
            </w:r>
          </w:p>
        </w:tc>
      </w:tr>
      <w:tr w:rsidR="00A9063F" w:rsidRPr="00AA3F6C" w:rsidTr="000924C6">
        <w:trPr>
          <w:trHeight w:val="235"/>
        </w:trPr>
        <w:tc>
          <w:tcPr>
            <w:tcW w:w="682" w:type="dxa"/>
            <w:tcBorders>
              <w:top w:val="single" w:sz="4" w:space="0" w:color="auto"/>
              <w:left w:val="single" w:sz="12" w:space="0" w:color="auto"/>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1</w:t>
            </w:r>
          </w:p>
        </w:tc>
        <w:tc>
          <w:tcPr>
            <w:tcW w:w="5670" w:type="dxa"/>
            <w:gridSpan w:val="2"/>
            <w:tcBorders>
              <w:top w:val="single" w:sz="4" w:space="0" w:color="auto"/>
              <w:left w:val="single" w:sz="4" w:space="0" w:color="auto"/>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2</w:t>
            </w:r>
          </w:p>
        </w:tc>
        <w:tc>
          <w:tcPr>
            <w:tcW w:w="1387" w:type="dxa"/>
            <w:tcBorders>
              <w:top w:val="single" w:sz="4" w:space="0" w:color="auto"/>
              <w:left w:val="single" w:sz="4" w:space="0" w:color="auto"/>
              <w:bottom w:val="single" w:sz="4" w:space="0" w:color="auto"/>
              <w:right w:val="single" w:sz="12"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3</w:t>
            </w:r>
          </w:p>
        </w:tc>
        <w:tc>
          <w:tcPr>
            <w:tcW w:w="846" w:type="dxa"/>
            <w:tcBorders>
              <w:top w:val="single" w:sz="4" w:space="0" w:color="auto"/>
              <w:left w:val="nil"/>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4</w:t>
            </w:r>
          </w:p>
        </w:tc>
        <w:tc>
          <w:tcPr>
            <w:tcW w:w="886" w:type="dxa"/>
            <w:tcBorders>
              <w:top w:val="single" w:sz="4" w:space="0" w:color="auto"/>
              <w:left w:val="single" w:sz="4" w:space="0" w:color="auto"/>
              <w:bottom w:val="single" w:sz="4" w:space="0" w:color="auto"/>
              <w:right w:val="single" w:sz="4" w:space="0" w:color="auto"/>
            </w:tcBorders>
          </w:tcPr>
          <w:p w:rsidR="00A9063F" w:rsidRPr="00AA3F6C" w:rsidRDefault="00A9063F">
            <w:pPr>
              <w:pStyle w:val="Zkladntext2"/>
              <w:spacing w:line="240" w:lineRule="exact"/>
            </w:pPr>
            <w:r w:rsidRPr="00AA3F6C">
              <w:t>5</w:t>
            </w:r>
          </w:p>
        </w:tc>
        <w:tc>
          <w:tcPr>
            <w:tcW w:w="4961" w:type="dxa"/>
            <w:tcBorders>
              <w:top w:val="single" w:sz="4" w:space="0" w:color="auto"/>
              <w:left w:val="single" w:sz="4" w:space="0" w:color="auto"/>
              <w:bottom w:val="single" w:sz="4" w:space="0" w:color="auto"/>
              <w:right w:val="single" w:sz="4" w:space="0" w:color="auto"/>
            </w:tcBorders>
          </w:tcPr>
          <w:p w:rsidR="00A9063F" w:rsidRPr="00AA3F6C" w:rsidRDefault="00A9063F">
            <w:pPr>
              <w:pStyle w:val="Zkladntext2"/>
              <w:spacing w:line="240" w:lineRule="exact"/>
            </w:pPr>
            <w:r w:rsidRPr="00AA3F6C">
              <w:t>6</w:t>
            </w:r>
          </w:p>
        </w:tc>
        <w:tc>
          <w:tcPr>
            <w:tcW w:w="709" w:type="dxa"/>
            <w:tcBorders>
              <w:top w:val="single" w:sz="4" w:space="0" w:color="auto"/>
              <w:left w:val="single" w:sz="4" w:space="0" w:color="auto"/>
              <w:bottom w:val="single" w:sz="4" w:space="0" w:color="auto"/>
              <w:right w:val="single" w:sz="4" w:space="0" w:color="auto"/>
            </w:tcBorders>
          </w:tcPr>
          <w:p w:rsidR="00A9063F" w:rsidRPr="00AA3F6C" w:rsidRDefault="00A9063F">
            <w:pPr>
              <w:autoSpaceDE w:val="0"/>
              <w:autoSpaceDN w:val="0"/>
              <w:spacing w:before="0" w:beforeAutospacing="0" w:after="0" w:afterAutospacing="0"/>
              <w:jc w:val="center"/>
              <w:rPr>
                <w:sz w:val="20"/>
                <w:szCs w:val="20"/>
              </w:rPr>
            </w:pPr>
            <w:r w:rsidRPr="00AA3F6C">
              <w:rPr>
                <w:sz w:val="20"/>
                <w:szCs w:val="20"/>
              </w:rPr>
              <w:t>7</w:t>
            </w:r>
          </w:p>
        </w:tc>
        <w:tc>
          <w:tcPr>
            <w:tcW w:w="995" w:type="dxa"/>
            <w:tcBorders>
              <w:top w:val="single" w:sz="4" w:space="0" w:color="auto"/>
              <w:left w:val="single" w:sz="4" w:space="0" w:color="auto"/>
              <w:bottom w:val="single" w:sz="4" w:space="0" w:color="auto"/>
              <w:right w:val="single" w:sz="12" w:space="0" w:color="auto"/>
            </w:tcBorders>
          </w:tcPr>
          <w:p w:rsidR="00A9063F" w:rsidRPr="00AA3F6C" w:rsidRDefault="005170A9">
            <w:pPr>
              <w:autoSpaceDE w:val="0"/>
              <w:autoSpaceDN w:val="0"/>
              <w:spacing w:before="0" w:beforeAutospacing="0" w:after="0" w:afterAutospacing="0"/>
              <w:jc w:val="center"/>
              <w:rPr>
                <w:sz w:val="20"/>
                <w:szCs w:val="20"/>
              </w:rPr>
            </w:pPr>
            <w:r w:rsidRPr="00AA3F6C">
              <w:rPr>
                <w:sz w:val="20"/>
                <w:szCs w:val="20"/>
              </w:rPr>
              <w:t>8</w:t>
            </w:r>
          </w:p>
        </w:tc>
      </w:tr>
      <w:tr w:rsidR="00A9063F" w:rsidRPr="00AA3F6C" w:rsidTr="000924C6">
        <w:trPr>
          <w:trHeight w:val="774"/>
        </w:trPr>
        <w:tc>
          <w:tcPr>
            <w:tcW w:w="682" w:type="dxa"/>
            <w:tcBorders>
              <w:top w:val="single" w:sz="4" w:space="0" w:color="auto"/>
              <w:left w:val="single" w:sz="12" w:space="0" w:color="auto"/>
              <w:bottom w:val="single" w:sz="4" w:space="0" w:color="auto"/>
              <w:right w:val="single" w:sz="4" w:space="0" w:color="auto"/>
            </w:tcBorders>
          </w:tcPr>
          <w:p w:rsidR="00A9063F" w:rsidRPr="00AA3F6C" w:rsidRDefault="00A9063F">
            <w:pPr>
              <w:pStyle w:val="Normlny0"/>
              <w:jc w:val="center"/>
            </w:pPr>
            <w:r w:rsidRPr="00AA3F6C">
              <w:t>Článok</w:t>
            </w:r>
          </w:p>
          <w:p w:rsidR="00A9063F" w:rsidRPr="00AA3F6C" w:rsidRDefault="00A9063F">
            <w:pPr>
              <w:pStyle w:val="Normlny0"/>
              <w:jc w:val="center"/>
            </w:pPr>
            <w:r w:rsidRPr="00AA3F6C">
              <w:t>(Č, O,</w:t>
            </w:r>
          </w:p>
          <w:p w:rsidR="00A9063F" w:rsidRPr="00AA3F6C" w:rsidRDefault="00A9063F">
            <w:pPr>
              <w:pStyle w:val="Normlny0"/>
              <w:jc w:val="center"/>
            </w:pPr>
            <w:r w:rsidRPr="00AA3F6C">
              <w:t>V, P)</w:t>
            </w:r>
          </w:p>
        </w:tc>
        <w:tc>
          <w:tcPr>
            <w:tcW w:w="5670" w:type="dxa"/>
            <w:gridSpan w:val="2"/>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Text</w:t>
            </w:r>
          </w:p>
        </w:tc>
        <w:tc>
          <w:tcPr>
            <w:tcW w:w="1387" w:type="dxa"/>
            <w:tcBorders>
              <w:top w:val="single" w:sz="4" w:space="0" w:color="auto"/>
              <w:left w:val="single" w:sz="4" w:space="0" w:color="auto"/>
              <w:bottom w:val="single" w:sz="4" w:space="0" w:color="auto"/>
              <w:right w:val="single" w:sz="12" w:space="0" w:color="auto"/>
            </w:tcBorders>
          </w:tcPr>
          <w:p w:rsidR="00A9063F" w:rsidRPr="00AA3F6C" w:rsidRDefault="00A9063F">
            <w:pPr>
              <w:pStyle w:val="Normlny0"/>
              <w:jc w:val="center"/>
            </w:pPr>
            <w:r w:rsidRPr="00AA3F6C">
              <w:t xml:space="preserve">Spôsob </w:t>
            </w:r>
            <w:proofErr w:type="spellStart"/>
            <w:r w:rsidRPr="00AA3F6C">
              <w:t>transp</w:t>
            </w:r>
            <w:proofErr w:type="spellEnd"/>
            <w:r w:rsidRPr="00AA3F6C">
              <w:t>.</w:t>
            </w:r>
          </w:p>
          <w:p w:rsidR="00A9063F" w:rsidRPr="00AA3F6C" w:rsidRDefault="00A9063F">
            <w:pPr>
              <w:pStyle w:val="Normlny0"/>
              <w:jc w:val="center"/>
            </w:pPr>
            <w:r w:rsidRPr="00AA3F6C">
              <w:t>(N, O, D, n.</w:t>
            </w:r>
            <w:r w:rsidR="00595B48">
              <w:t xml:space="preserve"> </w:t>
            </w:r>
            <w:r w:rsidRPr="00AA3F6C">
              <w:t>a.)</w:t>
            </w:r>
          </w:p>
        </w:tc>
        <w:tc>
          <w:tcPr>
            <w:tcW w:w="846" w:type="dxa"/>
            <w:tcBorders>
              <w:top w:val="single" w:sz="4" w:space="0" w:color="auto"/>
              <w:left w:val="nil"/>
              <w:bottom w:val="single" w:sz="4" w:space="0" w:color="auto"/>
              <w:right w:val="single" w:sz="4" w:space="0" w:color="auto"/>
            </w:tcBorders>
          </w:tcPr>
          <w:p w:rsidR="00A9063F" w:rsidRPr="00AA3F6C" w:rsidRDefault="00A9063F">
            <w:pPr>
              <w:pStyle w:val="Normlny0"/>
              <w:jc w:val="center"/>
            </w:pPr>
            <w:r w:rsidRPr="00AA3F6C">
              <w:t>Číslo</w:t>
            </w:r>
          </w:p>
          <w:p w:rsidR="00A9063F" w:rsidRPr="00AA3F6C" w:rsidRDefault="00A9063F">
            <w:pPr>
              <w:pStyle w:val="Normlny0"/>
              <w:jc w:val="center"/>
            </w:pPr>
            <w:r w:rsidRPr="00AA3F6C">
              <w:t>predpisu</w:t>
            </w:r>
          </w:p>
        </w:tc>
        <w:tc>
          <w:tcPr>
            <w:tcW w:w="886" w:type="dxa"/>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Článok (Č, §, O, V, P)</w:t>
            </w:r>
          </w:p>
        </w:tc>
        <w:tc>
          <w:tcPr>
            <w:tcW w:w="4961" w:type="dxa"/>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Text</w:t>
            </w:r>
          </w:p>
        </w:tc>
        <w:tc>
          <w:tcPr>
            <w:tcW w:w="709" w:type="dxa"/>
            <w:tcBorders>
              <w:top w:val="single" w:sz="4" w:space="0" w:color="auto"/>
              <w:left w:val="single" w:sz="4" w:space="0" w:color="auto"/>
              <w:bottom w:val="single" w:sz="4" w:space="0" w:color="auto"/>
              <w:right w:val="single" w:sz="4" w:space="0" w:color="auto"/>
            </w:tcBorders>
          </w:tcPr>
          <w:p w:rsidR="00A9063F" w:rsidRPr="00AA3F6C" w:rsidRDefault="00A9063F">
            <w:pPr>
              <w:pStyle w:val="Normlny0"/>
              <w:jc w:val="center"/>
            </w:pPr>
            <w:r w:rsidRPr="00AA3F6C">
              <w:t>Zhoda</w:t>
            </w:r>
          </w:p>
        </w:tc>
        <w:tc>
          <w:tcPr>
            <w:tcW w:w="995" w:type="dxa"/>
            <w:tcBorders>
              <w:top w:val="single" w:sz="4" w:space="0" w:color="auto"/>
              <w:left w:val="single" w:sz="4" w:space="0" w:color="auto"/>
              <w:bottom w:val="single" w:sz="4" w:space="0" w:color="auto"/>
              <w:right w:val="single" w:sz="12" w:space="0" w:color="auto"/>
            </w:tcBorders>
          </w:tcPr>
          <w:p w:rsidR="00A9063F" w:rsidRPr="00AA3F6C" w:rsidRDefault="00A9063F">
            <w:pPr>
              <w:pStyle w:val="Normlny0"/>
              <w:jc w:val="center"/>
            </w:pPr>
            <w:r w:rsidRPr="00AA3F6C">
              <w:t>Poznámky</w:t>
            </w:r>
          </w:p>
        </w:tc>
      </w:tr>
      <w:tr w:rsidR="00933D2C" w:rsidRPr="000924C6" w:rsidTr="000924C6">
        <w:trPr>
          <w:trHeight w:val="774"/>
        </w:trPr>
        <w:tc>
          <w:tcPr>
            <w:tcW w:w="682" w:type="dxa"/>
            <w:tcBorders>
              <w:top w:val="single" w:sz="4" w:space="0" w:color="auto"/>
              <w:left w:val="single" w:sz="12" w:space="0" w:color="auto"/>
              <w:bottom w:val="single" w:sz="4" w:space="0" w:color="auto"/>
              <w:right w:val="single" w:sz="4" w:space="0" w:color="auto"/>
            </w:tcBorders>
          </w:tcPr>
          <w:p w:rsidR="00933D2C" w:rsidRPr="00AA3F6C" w:rsidRDefault="00933D2C">
            <w:pPr>
              <w:pStyle w:val="Normlny0"/>
              <w:jc w:val="center"/>
            </w:pPr>
            <w:r>
              <w:t>Čl. 1</w:t>
            </w:r>
          </w:p>
        </w:tc>
        <w:tc>
          <w:tcPr>
            <w:tcW w:w="5670" w:type="dxa"/>
            <w:gridSpan w:val="2"/>
            <w:tcBorders>
              <w:top w:val="single" w:sz="4" w:space="0" w:color="auto"/>
              <w:left w:val="single" w:sz="4" w:space="0" w:color="auto"/>
              <w:bottom w:val="single" w:sz="4" w:space="0" w:color="auto"/>
              <w:right w:val="single" w:sz="4" w:space="0" w:color="auto"/>
            </w:tcBorders>
          </w:tcPr>
          <w:p w:rsidR="00933D2C" w:rsidRPr="00545DD6" w:rsidRDefault="00933D2C" w:rsidP="00B42C45">
            <w:pPr>
              <w:numPr>
                <w:ilvl w:val="0"/>
                <w:numId w:val="23"/>
              </w:numPr>
              <w:spacing w:before="0" w:beforeAutospacing="0" w:after="0" w:afterAutospacing="0"/>
              <w:ind w:left="241" w:hanging="241"/>
              <w:jc w:val="both"/>
              <w:rPr>
                <w:sz w:val="20"/>
                <w:szCs w:val="20"/>
              </w:rPr>
            </w:pPr>
            <w:r w:rsidRPr="00545DD6">
              <w:rPr>
                <w:sz w:val="20"/>
                <w:szCs w:val="20"/>
              </w:rPr>
              <w:t>V článku 22 sa pred prvý odsek vkladá tento odsek:</w:t>
            </w:r>
          </w:p>
          <w:p w:rsidR="00933D2C" w:rsidRPr="00AA3F6C" w:rsidRDefault="00933D2C" w:rsidP="00933D2C">
            <w:pPr>
              <w:pStyle w:val="Normlny0"/>
              <w:jc w:val="both"/>
            </w:pPr>
            <w:r w:rsidRPr="00545DD6">
              <w:t>„Za nadobudnutie tovaru v rámci Spoločenstva za protihodnotu sa považuje pridelenie tovaru pre ozbrojené sily členského štátu podieľajúceho sa na obrannom úsilí vynakladanom na účely vykonávania činnosti Únie v rámci spoločnej bezpečnostnej a obrannej politiky, na ich použitie alebo na použitie civilnými zamestnancami, ktorí ich sprevádzajú, ktorý nezakúpili podľa všeobecných pravidiel zdanenia na domácom trhu členského štátu, ak by dovoz tohto tovaru nemohol byť oslobodený od dane podľa článku 143 ods. 1 písm. ga).“</w:t>
            </w:r>
          </w:p>
        </w:tc>
        <w:tc>
          <w:tcPr>
            <w:tcW w:w="1387" w:type="dxa"/>
            <w:tcBorders>
              <w:top w:val="single" w:sz="4" w:space="0" w:color="auto"/>
              <w:left w:val="single" w:sz="4" w:space="0" w:color="auto"/>
              <w:bottom w:val="single" w:sz="4" w:space="0" w:color="auto"/>
              <w:right w:val="single" w:sz="12" w:space="0" w:color="auto"/>
            </w:tcBorders>
          </w:tcPr>
          <w:p w:rsidR="00933D2C" w:rsidRPr="00AA3F6C" w:rsidRDefault="00B42C45">
            <w:pPr>
              <w:pStyle w:val="Normlny0"/>
              <w:jc w:val="center"/>
            </w:pPr>
            <w:r>
              <w:t>n.</w:t>
            </w:r>
            <w:r w:rsidR="007104D7">
              <w:t xml:space="preserve"> </w:t>
            </w:r>
            <w:r>
              <w:t>a.</w:t>
            </w:r>
          </w:p>
        </w:tc>
        <w:tc>
          <w:tcPr>
            <w:tcW w:w="846" w:type="dxa"/>
            <w:tcBorders>
              <w:top w:val="single" w:sz="4" w:space="0" w:color="auto"/>
              <w:left w:val="nil"/>
              <w:bottom w:val="single" w:sz="4" w:space="0" w:color="auto"/>
              <w:right w:val="single" w:sz="4" w:space="0" w:color="auto"/>
            </w:tcBorders>
          </w:tcPr>
          <w:p w:rsidR="00933D2C" w:rsidRPr="00AA3F6C" w:rsidRDefault="00933D2C">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933D2C" w:rsidRPr="00AA3F6C" w:rsidRDefault="00933D2C">
            <w:pPr>
              <w:pStyle w:val="Normlny0"/>
              <w:jc w:val="center"/>
            </w:pPr>
          </w:p>
        </w:tc>
        <w:tc>
          <w:tcPr>
            <w:tcW w:w="4961" w:type="dxa"/>
            <w:tcBorders>
              <w:top w:val="single" w:sz="4" w:space="0" w:color="auto"/>
              <w:left w:val="single" w:sz="4" w:space="0" w:color="auto"/>
              <w:bottom w:val="single" w:sz="4" w:space="0" w:color="auto"/>
              <w:right w:val="single" w:sz="4" w:space="0" w:color="auto"/>
            </w:tcBorders>
          </w:tcPr>
          <w:p w:rsidR="00933D2C" w:rsidRPr="00AA3F6C" w:rsidRDefault="00933D2C">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933D2C" w:rsidRPr="00AA3F6C" w:rsidRDefault="00933D2C">
            <w:pPr>
              <w:pStyle w:val="Normlny0"/>
              <w:jc w:val="center"/>
            </w:pPr>
          </w:p>
        </w:tc>
        <w:tc>
          <w:tcPr>
            <w:tcW w:w="995" w:type="dxa"/>
            <w:tcBorders>
              <w:top w:val="single" w:sz="4" w:space="0" w:color="auto"/>
              <w:left w:val="single" w:sz="4" w:space="0" w:color="auto"/>
              <w:bottom w:val="single" w:sz="4" w:space="0" w:color="auto"/>
              <w:right w:val="single" w:sz="12" w:space="0" w:color="auto"/>
            </w:tcBorders>
          </w:tcPr>
          <w:p w:rsidR="00933D2C" w:rsidRPr="00AA3F6C" w:rsidRDefault="000924C6" w:rsidP="000924C6">
            <w:pPr>
              <w:pStyle w:val="Normlny0"/>
              <w:jc w:val="both"/>
            </w:pPr>
            <w:r>
              <w:t>T</w:t>
            </w:r>
            <w:r w:rsidRPr="000924C6">
              <w:t>ranspozícia tohto  článku bude predmetom samostatného legislatívneho procesu.</w:t>
            </w:r>
          </w:p>
        </w:tc>
      </w:tr>
      <w:tr w:rsidR="00B42C45" w:rsidRPr="00AA3F6C" w:rsidTr="000924C6">
        <w:trPr>
          <w:trHeight w:val="774"/>
        </w:trPr>
        <w:tc>
          <w:tcPr>
            <w:tcW w:w="682" w:type="dxa"/>
            <w:tcBorders>
              <w:top w:val="single" w:sz="4" w:space="0" w:color="auto"/>
              <w:left w:val="single" w:sz="12" w:space="0" w:color="auto"/>
              <w:bottom w:val="single" w:sz="4" w:space="0" w:color="auto"/>
              <w:right w:val="single" w:sz="4" w:space="0" w:color="auto"/>
            </w:tcBorders>
          </w:tcPr>
          <w:p w:rsidR="00B42C45" w:rsidRDefault="00B42C45">
            <w:pPr>
              <w:pStyle w:val="Normlny0"/>
              <w:jc w:val="center"/>
            </w:pPr>
          </w:p>
        </w:tc>
        <w:tc>
          <w:tcPr>
            <w:tcW w:w="5670" w:type="dxa"/>
            <w:gridSpan w:val="2"/>
            <w:tcBorders>
              <w:top w:val="single" w:sz="4" w:space="0" w:color="auto"/>
              <w:left w:val="single" w:sz="4" w:space="0" w:color="auto"/>
              <w:bottom w:val="single" w:sz="4" w:space="0" w:color="auto"/>
              <w:right w:val="single" w:sz="4" w:space="0" w:color="auto"/>
            </w:tcBorders>
          </w:tcPr>
          <w:p w:rsidR="00B42C45" w:rsidRPr="00545DD6" w:rsidRDefault="00B42C45" w:rsidP="00B42C45">
            <w:pPr>
              <w:numPr>
                <w:ilvl w:val="0"/>
                <w:numId w:val="23"/>
              </w:numPr>
              <w:spacing w:before="0" w:beforeAutospacing="0" w:after="0" w:afterAutospacing="0"/>
              <w:ind w:left="241" w:hanging="241"/>
              <w:jc w:val="both"/>
              <w:rPr>
                <w:sz w:val="20"/>
                <w:szCs w:val="20"/>
              </w:rPr>
            </w:pPr>
            <w:r w:rsidRPr="00545DD6">
              <w:rPr>
                <w:sz w:val="20"/>
                <w:szCs w:val="20"/>
              </w:rPr>
              <w:t>V článku 143 ods. 1 sa vkladá toto písmeno:</w:t>
            </w:r>
          </w:p>
          <w:tbl>
            <w:tblPr>
              <w:tblW w:w="5485" w:type="dxa"/>
              <w:tblLayout w:type="fixed"/>
              <w:tblCellMar>
                <w:left w:w="0" w:type="dxa"/>
                <w:right w:w="0" w:type="dxa"/>
              </w:tblCellMar>
              <w:tblLook w:val="04A0" w:firstRow="1" w:lastRow="0" w:firstColumn="1" w:lastColumn="0" w:noHBand="0" w:noVBand="1"/>
            </w:tblPr>
            <w:tblGrid>
              <w:gridCol w:w="5485"/>
            </w:tblGrid>
            <w:tr w:rsidR="00B42C45" w:rsidRPr="00545DD6" w:rsidTr="00B42C45">
              <w:tc>
                <w:tcPr>
                  <w:tcW w:w="5485" w:type="dxa"/>
                  <w:tcBorders>
                    <w:top w:val="nil"/>
                    <w:left w:val="nil"/>
                    <w:bottom w:val="nil"/>
                    <w:right w:val="nil"/>
                  </w:tcBorders>
                  <w:hideMark/>
                </w:tcPr>
                <w:p w:rsidR="00B42C45" w:rsidRPr="00545DD6" w:rsidRDefault="00B42C45" w:rsidP="00B42C45">
                  <w:pPr>
                    <w:jc w:val="both"/>
                    <w:rPr>
                      <w:sz w:val="20"/>
                      <w:szCs w:val="20"/>
                    </w:rPr>
                  </w:pPr>
                  <w:r>
                    <w:rPr>
                      <w:sz w:val="20"/>
                      <w:szCs w:val="20"/>
                    </w:rPr>
                    <w:t xml:space="preserve">„ga) </w:t>
                  </w:r>
                  <w:r w:rsidRPr="00545DD6">
                    <w:rPr>
                      <w:sz w:val="20"/>
                      <w:szCs w:val="20"/>
                    </w:rPr>
                    <w:t>dovoz tovaru do členských štátov ozbrojenými silami iných členských štátov určeného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p>
              </w:tc>
            </w:tr>
          </w:tbl>
          <w:p w:rsidR="00B42C45" w:rsidRPr="00545DD6" w:rsidRDefault="00B42C45" w:rsidP="00B42C45">
            <w:pPr>
              <w:spacing w:before="0" w:beforeAutospacing="0" w:after="0" w:afterAutospacing="0"/>
              <w:jc w:val="both"/>
              <w:rPr>
                <w:sz w:val="20"/>
                <w:szCs w:val="20"/>
              </w:rPr>
            </w:pPr>
          </w:p>
        </w:tc>
        <w:tc>
          <w:tcPr>
            <w:tcW w:w="1387" w:type="dxa"/>
            <w:tcBorders>
              <w:top w:val="single" w:sz="4" w:space="0" w:color="auto"/>
              <w:left w:val="single" w:sz="4" w:space="0" w:color="auto"/>
              <w:bottom w:val="single" w:sz="4" w:space="0" w:color="auto"/>
              <w:right w:val="single" w:sz="12" w:space="0" w:color="auto"/>
            </w:tcBorders>
          </w:tcPr>
          <w:p w:rsidR="00B42C45" w:rsidRDefault="00B42C45">
            <w:pPr>
              <w:pStyle w:val="Normlny0"/>
              <w:jc w:val="center"/>
            </w:pPr>
            <w:r>
              <w:t>n.</w:t>
            </w:r>
            <w:r w:rsidR="007104D7">
              <w:t xml:space="preserve"> </w:t>
            </w:r>
            <w:r>
              <w:t>a.</w:t>
            </w:r>
          </w:p>
        </w:tc>
        <w:tc>
          <w:tcPr>
            <w:tcW w:w="846" w:type="dxa"/>
            <w:tcBorders>
              <w:top w:val="single" w:sz="4" w:space="0" w:color="auto"/>
              <w:left w:val="nil"/>
              <w:bottom w:val="single" w:sz="4" w:space="0" w:color="auto"/>
              <w:right w:val="single" w:sz="4" w:space="0" w:color="auto"/>
            </w:tcBorders>
          </w:tcPr>
          <w:p w:rsidR="00B42C45" w:rsidRPr="00AA3F6C" w:rsidRDefault="00B42C45">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B42C45" w:rsidRPr="00AA3F6C" w:rsidRDefault="00B42C45">
            <w:pPr>
              <w:pStyle w:val="Normlny0"/>
              <w:jc w:val="center"/>
            </w:pPr>
          </w:p>
        </w:tc>
        <w:tc>
          <w:tcPr>
            <w:tcW w:w="4961" w:type="dxa"/>
            <w:tcBorders>
              <w:top w:val="single" w:sz="4" w:space="0" w:color="auto"/>
              <w:left w:val="single" w:sz="4" w:space="0" w:color="auto"/>
              <w:bottom w:val="single" w:sz="4" w:space="0" w:color="auto"/>
              <w:right w:val="single" w:sz="4" w:space="0" w:color="auto"/>
            </w:tcBorders>
          </w:tcPr>
          <w:p w:rsidR="00B42C45" w:rsidRPr="00AA3F6C" w:rsidRDefault="00B42C45">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B42C45" w:rsidRPr="00AA3F6C" w:rsidRDefault="00B42C45">
            <w:pPr>
              <w:pStyle w:val="Normlny0"/>
              <w:jc w:val="center"/>
            </w:pPr>
          </w:p>
        </w:tc>
        <w:tc>
          <w:tcPr>
            <w:tcW w:w="995" w:type="dxa"/>
            <w:tcBorders>
              <w:top w:val="single" w:sz="4" w:space="0" w:color="auto"/>
              <w:left w:val="single" w:sz="4" w:space="0" w:color="auto"/>
              <w:bottom w:val="single" w:sz="4" w:space="0" w:color="auto"/>
              <w:right w:val="single" w:sz="12" w:space="0" w:color="auto"/>
            </w:tcBorders>
          </w:tcPr>
          <w:p w:rsidR="00B42C45" w:rsidRPr="00AA3F6C" w:rsidRDefault="000924C6" w:rsidP="000924C6">
            <w:pPr>
              <w:pStyle w:val="Normlny0"/>
              <w:jc w:val="both"/>
            </w:pPr>
            <w:r>
              <w:t>T</w:t>
            </w:r>
            <w:r w:rsidRPr="000924C6">
              <w:t>ranspozícia tohto  článku bude predmetom samostatného legislatívneho procesu.</w:t>
            </w:r>
          </w:p>
        </w:tc>
      </w:tr>
      <w:tr w:rsidR="00B42C45" w:rsidRPr="00AA3F6C" w:rsidTr="000924C6">
        <w:trPr>
          <w:trHeight w:val="774"/>
        </w:trPr>
        <w:tc>
          <w:tcPr>
            <w:tcW w:w="682" w:type="dxa"/>
            <w:tcBorders>
              <w:top w:val="single" w:sz="4" w:space="0" w:color="auto"/>
              <w:left w:val="single" w:sz="12" w:space="0" w:color="auto"/>
              <w:bottom w:val="single" w:sz="4" w:space="0" w:color="auto"/>
              <w:right w:val="single" w:sz="4" w:space="0" w:color="auto"/>
            </w:tcBorders>
          </w:tcPr>
          <w:p w:rsidR="00B42C45" w:rsidRDefault="00B42C45">
            <w:pPr>
              <w:pStyle w:val="Normlny0"/>
              <w:jc w:val="center"/>
            </w:pPr>
          </w:p>
        </w:tc>
        <w:tc>
          <w:tcPr>
            <w:tcW w:w="5670" w:type="dxa"/>
            <w:gridSpan w:val="2"/>
            <w:tcBorders>
              <w:top w:val="single" w:sz="4" w:space="0" w:color="auto"/>
              <w:left w:val="single" w:sz="4" w:space="0" w:color="auto"/>
              <w:bottom w:val="single" w:sz="4" w:space="0" w:color="auto"/>
              <w:right w:val="single" w:sz="4" w:space="0" w:color="auto"/>
            </w:tcBorders>
          </w:tcPr>
          <w:p w:rsidR="00B42C45" w:rsidRPr="00545DD6" w:rsidRDefault="00B42C45" w:rsidP="00B42C45">
            <w:pPr>
              <w:numPr>
                <w:ilvl w:val="0"/>
                <w:numId w:val="23"/>
              </w:numPr>
              <w:spacing w:before="0" w:beforeAutospacing="0" w:after="0" w:afterAutospacing="0"/>
              <w:ind w:left="241" w:hanging="241"/>
              <w:rPr>
                <w:sz w:val="20"/>
                <w:szCs w:val="20"/>
              </w:rPr>
            </w:pPr>
            <w:r w:rsidRPr="00545DD6">
              <w:rPr>
                <w:sz w:val="20"/>
                <w:szCs w:val="20"/>
              </w:rPr>
              <w:t>V článku 151 ods. 1 sa vkladajú tieto písmená:</w:t>
            </w:r>
          </w:p>
          <w:tbl>
            <w:tblPr>
              <w:tblW w:w="5485" w:type="dxa"/>
              <w:tblLayout w:type="fixed"/>
              <w:tblCellMar>
                <w:left w:w="0" w:type="dxa"/>
                <w:right w:w="0" w:type="dxa"/>
              </w:tblCellMar>
              <w:tblLook w:val="04A0" w:firstRow="1" w:lastRow="0" w:firstColumn="1" w:lastColumn="0" w:noHBand="0" w:noVBand="1"/>
            </w:tblPr>
            <w:tblGrid>
              <w:gridCol w:w="5485"/>
            </w:tblGrid>
            <w:tr w:rsidR="00B42C45" w:rsidRPr="00545DD6" w:rsidTr="00484E5A">
              <w:tc>
                <w:tcPr>
                  <w:tcW w:w="5485" w:type="dxa"/>
                  <w:tcBorders>
                    <w:top w:val="nil"/>
                    <w:left w:val="nil"/>
                    <w:bottom w:val="nil"/>
                    <w:right w:val="nil"/>
                  </w:tcBorders>
                  <w:hideMark/>
                </w:tcPr>
                <w:p w:rsidR="00B42C45" w:rsidRPr="00545DD6" w:rsidRDefault="00B42C45" w:rsidP="00B42C45">
                  <w:pPr>
                    <w:jc w:val="both"/>
                    <w:rPr>
                      <w:sz w:val="20"/>
                      <w:szCs w:val="20"/>
                    </w:rPr>
                  </w:pPr>
                  <w:r>
                    <w:rPr>
                      <w:sz w:val="20"/>
                      <w:szCs w:val="20"/>
                    </w:rPr>
                    <w:t xml:space="preserve">„ba) </w:t>
                  </w:r>
                  <w:r w:rsidRPr="00545DD6">
                    <w:rPr>
                      <w:sz w:val="20"/>
                      <w:szCs w:val="20"/>
                    </w:rPr>
                    <w:t>dodanie tovaru alebo poskytovanie služieb v rámci členského štátu určených buď pre ozbrojené sily iných členských štátov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p>
              </w:tc>
            </w:tr>
            <w:tr w:rsidR="00484E5A" w:rsidRPr="00545DD6" w:rsidTr="00484E5A">
              <w:tc>
                <w:tcPr>
                  <w:tcW w:w="5485" w:type="dxa"/>
                  <w:tcBorders>
                    <w:top w:val="nil"/>
                    <w:left w:val="nil"/>
                    <w:bottom w:val="nil"/>
                    <w:right w:val="nil"/>
                  </w:tcBorders>
                  <w:hideMark/>
                </w:tcPr>
                <w:p w:rsidR="00484E5A" w:rsidRPr="00545DD6" w:rsidRDefault="00484E5A" w:rsidP="00484E5A">
                  <w:pPr>
                    <w:jc w:val="both"/>
                    <w:rPr>
                      <w:sz w:val="20"/>
                      <w:szCs w:val="20"/>
                    </w:rPr>
                  </w:pPr>
                  <w:proofErr w:type="spellStart"/>
                  <w:r>
                    <w:rPr>
                      <w:sz w:val="20"/>
                      <w:szCs w:val="20"/>
                    </w:rPr>
                    <w:t>bb</w:t>
                  </w:r>
                  <w:proofErr w:type="spellEnd"/>
                  <w:r>
                    <w:rPr>
                      <w:sz w:val="20"/>
                      <w:szCs w:val="20"/>
                    </w:rPr>
                    <w:t xml:space="preserve">) </w:t>
                  </w:r>
                  <w:r w:rsidRPr="00545DD6">
                    <w:rPr>
                      <w:sz w:val="20"/>
                      <w:szCs w:val="20"/>
                    </w:rPr>
                    <w:t>dodanie tovaru alebo poskytovanie služieb inému členskému štátu určených pre ozbrojené sily akéhokoľvek iného členského štátu, než je samotný členský štát určenia, na použitie týmito ozbrojenými silami alebo civilnými zamestnancami, ktorí ich sprevádzajú, alebo na zásobovanie ich bufetov alebo jedální, pokiaľ sa tieto ozbrojené sily podieľajú na obrannom úsilí vynakladanom na účely vykonávania činnosti Únie v rámci spoločnej bezpečnostnej a obrannej politiky;“.</w:t>
                  </w:r>
                </w:p>
              </w:tc>
            </w:tr>
          </w:tbl>
          <w:p w:rsidR="00B42C45" w:rsidRPr="00545DD6" w:rsidRDefault="00B42C45" w:rsidP="00B42C45">
            <w:pPr>
              <w:spacing w:before="0" w:beforeAutospacing="0" w:after="0" w:afterAutospacing="0"/>
              <w:ind w:left="241"/>
              <w:jc w:val="both"/>
              <w:rPr>
                <w:sz w:val="20"/>
                <w:szCs w:val="20"/>
              </w:rPr>
            </w:pPr>
          </w:p>
        </w:tc>
        <w:tc>
          <w:tcPr>
            <w:tcW w:w="1387" w:type="dxa"/>
            <w:tcBorders>
              <w:top w:val="single" w:sz="4" w:space="0" w:color="auto"/>
              <w:left w:val="single" w:sz="4" w:space="0" w:color="auto"/>
              <w:bottom w:val="single" w:sz="4" w:space="0" w:color="auto"/>
              <w:right w:val="single" w:sz="12" w:space="0" w:color="auto"/>
            </w:tcBorders>
          </w:tcPr>
          <w:p w:rsidR="00B42C45" w:rsidRDefault="00B42C45">
            <w:pPr>
              <w:pStyle w:val="Normlny0"/>
              <w:jc w:val="center"/>
            </w:pPr>
            <w:r>
              <w:t>n.</w:t>
            </w:r>
            <w:r w:rsidR="007104D7">
              <w:t xml:space="preserve"> </w:t>
            </w:r>
            <w:r>
              <w:t>a.</w:t>
            </w:r>
          </w:p>
          <w:p w:rsidR="00484E5A" w:rsidRDefault="00484E5A">
            <w:pPr>
              <w:pStyle w:val="Normlny0"/>
              <w:jc w:val="center"/>
            </w:pPr>
          </w:p>
          <w:p w:rsidR="00484E5A" w:rsidRDefault="00484E5A">
            <w:pPr>
              <w:pStyle w:val="Normlny0"/>
              <w:jc w:val="center"/>
            </w:pPr>
          </w:p>
          <w:p w:rsidR="00484E5A" w:rsidRDefault="00484E5A">
            <w:pPr>
              <w:pStyle w:val="Normlny0"/>
              <w:jc w:val="center"/>
            </w:pPr>
          </w:p>
          <w:p w:rsidR="00484E5A" w:rsidRDefault="00484E5A">
            <w:pPr>
              <w:pStyle w:val="Normlny0"/>
              <w:jc w:val="center"/>
            </w:pPr>
          </w:p>
          <w:p w:rsidR="00484E5A" w:rsidRDefault="00484E5A">
            <w:pPr>
              <w:pStyle w:val="Normlny0"/>
              <w:jc w:val="center"/>
            </w:pPr>
          </w:p>
          <w:p w:rsidR="00484E5A" w:rsidRDefault="00484E5A">
            <w:pPr>
              <w:pStyle w:val="Normlny0"/>
              <w:jc w:val="center"/>
            </w:pPr>
          </w:p>
          <w:p w:rsidR="00484E5A" w:rsidRDefault="00484E5A">
            <w:pPr>
              <w:pStyle w:val="Normlny0"/>
              <w:jc w:val="center"/>
            </w:pPr>
          </w:p>
          <w:p w:rsidR="00484E5A" w:rsidRDefault="00484E5A">
            <w:pPr>
              <w:pStyle w:val="Normlny0"/>
              <w:jc w:val="center"/>
            </w:pPr>
            <w:r>
              <w:t>n.</w:t>
            </w:r>
            <w:r w:rsidR="007104D7">
              <w:t xml:space="preserve"> </w:t>
            </w:r>
            <w:r>
              <w:t>a.</w:t>
            </w:r>
          </w:p>
          <w:p w:rsidR="00484E5A" w:rsidRDefault="00484E5A">
            <w:pPr>
              <w:pStyle w:val="Normlny0"/>
              <w:jc w:val="center"/>
            </w:pPr>
          </w:p>
        </w:tc>
        <w:tc>
          <w:tcPr>
            <w:tcW w:w="846" w:type="dxa"/>
            <w:tcBorders>
              <w:top w:val="single" w:sz="4" w:space="0" w:color="auto"/>
              <w:left w:val="nil"/>
              <w:bottom w:val="single" w:sz="4" w:space="0" w:color="auto"/>
              <w:right w:val="single" w:sz="4" w:space="0" w:color="auto"/>
            </w:tcBorders>
          </w:tcPr>
          <w:p w:rsidR="00B42C45" w:rsidRPr="00AA3F6C" w:rsidRDefault="00B42C45">
            <w:pPr>
              <w:pStyle w:val="Normlny0"/>
              <w:jc w:val="center"/>
            </w:pPr>
          </w:p>
        </w:tc>
        <w:tc>
          <w:tcPr>
            <w:tcW w:w="886" w:type="dxa"/>
            <w:tcBorders>
              <w:top w:val="single" w:sz="4" w:space="0" w:color="auto"/>
              <w:left w:val="single" w:sz="4" w:space="0" w:color="auto"/>
              <w:bottom w:val="single" w:sz="4" w:space="0" w:color="auto"/>
              <w:right w:val="single" w:sz="4" w:space="0" w:color="auto"/>
            </w:tcBorders>
          </w:tcPr>
          <w:p w:rsidR="00B42C45" w:rsidRPr="00AA3F6C" w:rsidRDefault="00B42C45">
            <w:pPr>
              <w:pStyle w:val="Normlny0"/>
              <w:jc w:val="center"/>
            </w:pPr>
          </w:p>
        </w:tc>
        <w:tc>
          <w:tcPr>
            <w:tcW w:w="4961" w:type="dxa"/>
            <w:tcBorders>
              <w:top w:val="single" w:sz="4" w:space="0" w:color="auto"/>
              <w:left w:val="single" w:sz="4" w:space="0" w:color="auto"/>
              <w:bottom w:val="single" w:sz="4" w:space="0" w:color="auto"/>
              <w:right w:val="single" w:sz="4" w:space="0" w:color="auto"/>
            </w:tcBorders>
          </w:tcPr>
          <w:p w:rsidR="00B42C45" w:rsidRPr="00AA3F6C" w:rsidRDefault="00B42C45">
            <w:pPr>
              <w:pStyle w:val="Normlny0"/>
              <w:jc w:val="center"/>
            </w:pPr>
          </w:p>
        </w:tc>
        <w:tc>
          <w:tcPr>
            <w:tcW w:w="709" w:type="dxa"/>
            <w:tcBorders>
              <w:top w:val="single" w:sz="4" w:space="0" w:color="auto"/>
              <w:left w:val="single" w:sz="4" w:space="0" w:color="auto"/>
              <w:bottom w:val="single" w:sz="4" w:space="0" w:color="auto"/>
              <w:right w:val="single" w:sz="4" w:space="0" w:color="auto"/>
            </w:tcBorders>
          </w:tcPr>
          <w:p w:rsidR="00B42C45" w:rsidRPr="00AA3F6C" w:rsidRDefault="00B42C45">
            <w:pPr>
              <w:pStyle w:val="Normlny0"/>
              <w:jc w:val="center"/>
            </w:pPr>
          </w:p>
        </w:tc>
        <w:tc>
          <w:tcPr>
            <w:tcW w:w="995" w:type="dxa"/>
            <w:tcBorders>
              <w:top w:val="single" w:sz="4" w:space="0" w:color="auto"/>
              <w:left w:val="single" w:sz="4" w:space="0" w:color="auto"/>
              <w:bottom w:val="single" w:sz="4" w:space="0" w:color="auto"/>
              <w:right w:val="single" w:sz="12" w:space="0" w:color="auto"/>
            </w:tcBorders>
          </w:tcPr>
          <w:p w:rsidR="00B42C45" w:rsidRDefault="000924C6" w:rsidP="000924C6">
            <w:pPr>
              <w:pStyle w:val="Normlny0"/>
              <w:jc w:val="both"/>
            </w:pPr>
            <w:r>
              <w:t>T</w:t>
            </w:r>
            <w:r w:rsidRPr="000924C6">
              <w:t>ranspozícia tohto  článku bude predmetom samostatného legislatívneho procesu.</w:t>
            </w:r>
          </w:p>
          <w:p w:rsidR="000924C6" w:rsidRPr="00AA3F6C" w:rsidRDefault="000924C6" w:rsidP="000924C6">
            <w:pPr>
              <w:pStyle w:val="Normlny0"/>
              <w:jc w:val="both"/>
            </w:pPr>
            <w:r>
              <w:t>T</w:t>
            </w:r>
            <w:r w:rsidRPr="000924C6">
              <w:t>ranspozícia tohto  článku bude predmetom samostatného legislatívneho procesu.</w:t>
            </w:r>
          </w:p>
        </w:tc>
      </w:tr>
      <w:tr w:rsidR="00A9063F" w:rsidRPr="00AA3F6C" w:rsidTr="000924C6">
        <w:trPr>
          <w:trHeight w:val="1832"/>
        </w:trPr>
        <w:tc>
          <w:tcPr>
            <w:tcW w:w="682" w:type="dxa"/>
            <w:tcBorders>
              <w:top w:val="single" w:sz="4" w:space="0" w:color="auto"/>
              <w:left w:val="single" w:sz="12" w:space="0" w:color="auto"/>
              <w:bottom w:val="single" w:sz="4" w:space="0" w:color="auto"/>
              <w:right w:val="single" w:sz="4" w:space="0" w:color="auto"/>
            </w:tcBorders>
          </w:tcPr>
          <w:p w:rsidR="00A9063F" w:rsidRPr="00AA3F6C" w:rsidRDefault="0078287E" w:rsidP="00C33219">
            <w:pPr>
              <w:autoSpaceDE w:val="0"/>
              <w:autoSpaceDN w:val="0"/>
              <w:spacing w:before="0" w:beforeAutospacing="0" w:after="0" w:afterAutospacing="0"/>
              <w:jc w:val="center"/>
              <w:rPr>
                <w:sz w:val="20"/>
                <w:szCs w:val="20"/>
              </w:rPr>
            </w:pPr>
            <w:r w:rsidRPr="00AA3F6C">
              <w:rPr>
                <w:sz w:val="20"/>
                <w:szCs w:val="20"/>
              </w:rPr>
              <w:t xml:space="preserve">Čl. </w:t>
            </w:r>
            <w:r w:rsidR="00C33219">
              <w:rPr>
                <w:sz w:val="20"/>
                <w:szCs w:val="20"/>
              </w:rPr>
              <w:t>2</w:t>
            </w:r>
            <w:r w:rsidR="0000149A" w:rsidRPr="00AA3F6C">
              <w:rPr>
                <w:sz w:val="20"/>
                <w:szCs w:val="20"/>
              </w:rPr>
              <w:t xml:space="preserve"> </w:t>
            </w:r>
          </w:p>
        </w:tc>
        <w:tc>
          <w:tcPr>
            <w:tcW w:w="5670" w:type="dxa"/>
            <w:gridSpan w:val="2"/>
            <w:tcBorders>
              <w:top w:val="single" w:sz="4" w:space="0" w:color="auto"/>
              <w:left w:val="single" w:sz="4" w:space="0" w:color="auto"/>
              <w:bottom w:val="single" w:sz="4" w:space="0" w:color="auto"/>
              <w:right w:val="single" w:sz="4" w:space="0" w:color="auto"/>
            </w:tcBorders>
          </w:tcPr>
          <w:p w:rsidR="00987CC6" w:rsidRPr="00FB7474" w:rsidRDefault="00987CC6" w:rsidP="0000149A">
            <w:pPr>
              <w:spacing w:before="0" w:beforeAutospacing="0" w:after="0" w:afterAutospacing="0"/>
              <w:rPr>
                <w:sz w:val="20"/>
                <w:szCs w:val="20"/>
              </w:rPr>
            </w:pPr>
            <w:r w:rsidRPr="00FB7474">
              <w:rPr>
                <w:sz w:val="20"/>
                <w:szCs w:val="20"/>
              </w:rPr>
              <w:t>V článku 12 ods. 1 smernice 2008</w:t>
            </w:r>
            <w:r w:rsidR="00255314">
              <w:rPr>
                <w:sz w:val="20"/>
                <w:szCs w:val="20"/>
              </w:rPr>
              <w:t>/118/ES sa vkladá toto písmeno:</w:t>
            </w:r>
          </w:p>
          <w:p w:rsidR="00987CC6" w:rsidRPr="00FB7474" w:rsidRDefault="00987CC6" w:rsidP="00255314">
            <w:pPr>
              <w:spacing w:before="0" w:beforeAutospacing="0" w:after="0" w:afterAutospacing="0"/>
              <w:ind w:right="99"/>
              <w:jc w:val="both"/>
              <w:rPr>
                <w:sz w:val="20"/>
                <w:szCs w:val="20"/>
              </w:rPr>
            </w:pPr>
          </w:p>
          <w:p w:rsidR="002E1D16" w:rsidRPr="00131F60" w:rsidRDefault="00987CC6" w:rsidP="00255314">
            <w:pPr>
              <w:spacing w:before="0" w:beforeAutospacing="0" w:after="0" w:afterAutospacing="0"/>
              <w:ind w:right="99"/>
              <w:jc w:val="both"/>
              <w:rPr>
                <w:vanish/>
                <w:sz w:val="20"/>
                <w:szCs w:val="20"/>
              </w:rPr>
            </w:pPr>
            <w:r w:rsidRPr="00FB7474">
              <w:rPr>
                <w:sz w:val="20"/>
                <w:szCs w:val="20"/>
              </w:rPr>
              <w:t>„ba) ozbrojenými silami akéhokoľvek iného členského štátu, než je členský štát, v ktorom vznikla daňová povinnosť, na použitie týmito ozbrojenými silami, pre civilných zamestnancov, ktorí ich sprevádzajú, alebo na zásobovanie ich bufetov alebo jedální, pokiaľ sa tieto ozbrojené sily podieľajú na obrannom úsilí vynakladanom na účely vykonávania činnosti Únie v rámci spoločnej bezpečnostnej a obrannej politiky;“.</w:t>
            </w:r>
          </w:p>
        </w:tc>
        <w:tc>
          <w:tcPr>
            <w:tcW w:w="1387" w:type="dxa"/>
            <w:tcBorders>
              <w:top w:val="single" w:sz="4" w:space="0" w:color="auto"/>
              <w:left w:val="single" w:sz="4" w:space="0" w:color="auto"/>
              <w:bottom w:val="single" w:sz="4" w:space="0" w:color="auto"/>
              <w:right w:val="single" w:sz="12" w:space="0" w:color="auto"/>
            </w:tcBorders>
          </w:tcPr>
          <w:p w:rsidR="00E030B3" w:rsidRPr="00AA3F6C" w:rsidRDefault="00E030B3">
            <w:pPr>
              <w:autoSpaceDE w:val="0"/>
              <w:autoSpaceDN w:val="0"/>
              <w:spacing w:before="0" w:beforeAutospacing="0" w:after="0" w:afterAutospacing="0"/>
              <w:jc w:val="center"/>
              <w:rPr>
                <w:sz w:val="20"/>
                <w:szCs w:val="20"/>
              </w:rPr>
            </w:pPr>
            <w:r w:rsidRPr="00AA3F6C">
              <w:rPr>
                <w:sz w:val="20"/>
                <w:szCs w:val="20"/>
              </w:rPr>
              <w:t>N</w:t>
            </w:r>
          </w:p>
          <w:p w:rsidR="00E030B3" w:rsidRPr="00AA3F6C" w:rsidRDefault="00E030B3" w:rsidP="00CD4CF2">
            <w:pPr>
              <w:autoSpaceDE w:val="0"/>
              <w:autoSpaceDN w:val="0"/>
              <w:spacing w:before="0" w:beforeAutospacing="0" w:after="0" w:afterAutospacing="0"/>
              <w:jc w:val="center"/>
              <w:rPr>
                <w:sz w:val="20"/>
                <w:szCs w:val="20"/>
              </w:rPr>
            </w:pPr>
          </w:p>
        </w:tc>
        <w:tc>
          <w:tcPr>
            <w:tcW w:w="846" w:type="dxa"/>
            <w:tcBorders>
              <w:top w:val="single" w:sz="4" w:space="0" w:color="auto"/>
              <w:left w:val="nil"/>
              <w:bottom w:val="single" w:sz="4" w:space="0" w:color="auto"/>
              <w:right w:val="single" w:sz="4" w:space="0" w:color="auto"/>
            </w:tcBorders>
          </w:tcPr>
          <w:p w:rsidR="00CD4CF2" w:rsidRDefault="00CD4CF2" w:rsidP="00CD4CF2">
            <w:pPr>
              <w:pStyle w:val="tlArialNarrow10ptPodaokraja"/>
              <w:jc w:val="center"/>
              <w:rPr>
                <w:rFonts w:ascii="Times New Roman" w:hAnsi="Times New Roman"/>
              </w:rPr>
            </w:pPr>
            <w:r>
              <w:rPr>
                <w:rFonts w:ascii="Times New Roman" w:hAnsi="Times New Roman"/>
              </w:rPr>
              <w:t>98/2004</w:t>
            </w:r>
          </w:p>
          <w:p w:rsidR="00CD4CF2" w:rsidRDefault="00CD4CF2" w:rsidP="00CD4CF2">
            <w:pPr>
              <w:pStyle w:val="tlArialNarrow10ptPodaokraja"/>
              <w:jc w:val="center"/>
              <w:rPr>
                <w:rFonts w:ascii="Times New Roman" w:hAnsi="Times New Roman"/>
              </w:rPr>
            </w:pPr>
            <w:r w:rsidRPr="001A508F">
              <w:rPr>
                <w:rFonts w:ascii="Times New Roman" w:hAnsi="Times New Roman"/>
              </w:rPr>
              <w:t>Z.</w:t>
            </w:r>
            <w:r>
              <w:rPr>
                <w:rFonts w:ascii="Times New Roman" w:hAnsi="Times New Roman"/>
              </w:rPr>
              <w:t xml:space="preserve"> </w:t>
            </w:r>
            <w:r w:rsidRPr="001A508F">
              <w:rPr>
                <w:rFonts w:ascii="Times New Roman" w:hAnsi="Times New Roman"/>
              </w:rPr>
              <w:t>z.</w:t>
            </w:r>
            <w:r>
              <w:rPr>
                <w:rFonts w:ascii="Times New Roman" w:hAnsi="Times New Roman"/>
              </w:rPr>
              <w:t xml:space="preserve"> </w:t>
            </w:r>
          </w:p>
          <w:p w:rsidR="00CD4CF2" w:rsidRDefault="00CD4CF2" w:rsidP="00CD4CF2">
            <w:pPr>
              <w:pStyle w:val="tlArialNarrow10ptPodaokraja"/>
              <w:jc w:val="center"/>
              <w:rPr>
                <w:rFonts w:ascii="Times New Roman" w:hAnsi="Times New Roman"/>
              </w:rPr>
            </w:pPr>
            <w:r>
              <w:rPr>
                <w:rFonts w:ascii="Times New Roman" w:hAnsi="Times New Roman"/>
              </w:rPr>
              <w:t>a</w:t>
            </w:r>
          </w:p>
          <w:p w:rsidR="00CD4CF2" w:rsidRDefault="00CD4CF2" w:rsidP="00CD4CF2">
            <w:pPr>
              <w:pStyle w:val="tlArialNarrow10ptPodaokraja"/>
              <w:jc w:val="center"/>
              <w:rPr>
                <w:rFonts w:ascii="Times New Roman" w:hAnsi="Times New Roman"/>
                <w:b/>
              </w:rPr>
            </w:pPr>
            <w:r>
              <w:rPr>
                <w:rFonts w:ascii="Times New Roman" w:hAnsi="Times New Roman"/>
                <w:b/>
              </w:rPr>
              <w:t>X/2020</w:t>
            </w:r>
          </w:p>
          <w:p w:rsidR="00CD4CF2" w:rsidRDefault="00CD4CF2" w:rsidP="00CD4CF2">
            <w:pPr>
              <w:pStyle w:val="tlArialNarrow10ptPodaokraja"/>
              <w:jc w:val="center"/>
              <w:rPr>
                <w:rFonts w:ascii="Times New Roman" w:hAnsi="Times New Roman"/>
                <w:b/>
              </w:rPr>
            </w:pPr>
            <w:r w:rsidRPr="00E15301">
              <w:rPr>
                <w:rFonts w:ascii="Times New Roman" w:hAnsi="Times New Roman"/>
                <w:b/>
              </w:rPr>
              <w:t>Z. z</w:t>
            </w:r>
            <w:r w:rsidRPr="00443E0E">
              <w:rPr>
                <w:rFonts w:ascii="Times New Roman" w:hAnsi="Times New Roman"/>
                <w:b/>
              </w:rPr>
              <w:t>. čl.</w:t>
            </w:r>
            <w:r>
              <w:rPr>
                <w:rFonts w:ascii="Times New Roman" w:hAnsi="Times New Roman"/>
                <w:b/>
              </w:rPr>
              <w:t xml:space="preserve"> </w:t>
            </w:r>
            <w:r w:rsidRPr="00443E0E">
              <w:rPr>
                <w:rFonts w:ascii="Times New Roman" w:hAnsi="Times New Roman"/>
                <w:b/>
              </w:rPr>
              <w:t>I</w:t>
            </w:r>
          </w:p>
          <w:p w:rsidR="0000149A" w:rsidRPr="00AA3F6C" w:rsidRDefault="0000149A">
            <w:pPr>
              <w:autoSpaceDE w:val="0"/>
              <w:autoSpaceDN w:val="0"/>
              <w:spacing w:before="0" w:beforeAutospacing="0" w:after="0" w:afterAutospacing="0"/>
              <w:jc w:val="center"/>
              <w:rPr>
                <w:b/>
                <w:sz w:val="20"/>
                <w:szCs w:val="20"/>
              </w:rPr>
            </w:pPr>
          </w:p>
        </w:tc>
        <w:tc>
          <w:tcPr>
            <w:tcW w:w="886" w:type="dxa"/>
            <w:tcBorders>
              <w:top w:val="single" w:sz="4" w:space="0" w:color="auto"/>
              <w:left w:val="single" w:sz="4" w:space="0" w:color="auto"/>
              <w:bottom w:val="single" w:sz="4" w:space="0" w:color="auto"/>
              <w:right w:val="single" w:sz="4" w:space="0" w:color="auto"/>
            </w:tcBorders>
          </w:tcPr>
          <w:p w:rsidR="00255314" w:rsidRDefault="0000149A" w:rsidP="00C33219">
            <w:pPr>
              <w:pStyle w:val="Normlny0"/>
              <w:jc w:val="center"/>
              <w:rPr>
                <w:b/>
              </w:rPr>
            </w:pPr>
            <w:r w:rsidRPr="00D173B3">
              <w:rPr>
                <w:b/>
              </w:rPr>
              <w:t>§</w:t>
            </w:r>
            <w:r w:rsidR="00CB4F06">
              <w:rPr>
                <w:b/>
              </w:rPr>
              <w:t xml:space="preserve"> 10 </w:t>
            </w:r>
          </w:p>
          <w:p w:rsidR="004808B5" w:rsidRPr="00D173B3" w:rsidRDefault="00CB4F06" w:rsidP="00C33219">
            <w:pPr>
              <w:pStyle w:val="Normlny0"/>
              <w:jc w:val="center"/>
              <w:rPr>
                <w:b/>
              </w:rPr>
            </w:pPr>
            <w:r>
              <w:rPr>
                <w:b/>
              </w:rPr>
              <w:t>ods. 2</w:t>
            </w:r>
          </w:p>
          <w:p w:rsidR="00E030B3" w:rsidRPr="00D173B3" w:rsidRDefault="00987CC6" w:rsidP="00C33219">
            <w:pPr>
              <w:pStyle w:val="Normlny0"/>
              <w:jc w:val="center"/>
              <w:rPr>
                <w:b/>
              </w:rPr>
            </w:pPr>
            <w:r w:rsidRPr="00D173B3">
              <w:rPr>
                <w:b/>
              </w:rPr>
              <w:t xml:space="preserve">písm. </w:t>
            </w:r>
            <w:r w:rsidR="00CB4F06">
              <w:rPr>
                <w:b/>
              </w:rPr>
              <w:t>j</w:t>
            </w:r>
            <w:r w:rsidR="00255314">
              <w:rPr>
                <w:b/>
              </w:rPr>
              <w:t>)</w:t>
            </w:r>
          </w:p>
          <w:p w:rsidR="007F00F4" w:rsidRDefault="007F00F4" w:rsidP="00C33219">
            <w:pPr>
              <w:pStyle w:val="Normlny0"/>
              <w:jc w:val="center"/>
            </w:pPr>
          </w:p>
          <w:p w:rsidR="007F00F4" w:rsidRPr="00AA3F6C" w:rsidRDefault="007F00F4" w:rsidP="007F00F4">
            <w:pPr>
              <w:pStyle w:val="Normlny0"/>
              <w:jc w:val="center"/>
            </w:pPr>
          </w:p>
        </w:tc>
        <w:tc>
          <w:tcPr>
            <w:tcW w:w="4961" w:type="dxa"/>
            <w:tcBorders>
              <w:top w:val="single" w:sz="4" w:space="0" w:color="auto"/>
              <w:left w:val="single" w:sz="4" w:space="0" w:color="auto"/>
              <w:bottom w:val="single" w:sz="4" w:space="0" w:color="auto"/>
              <w:right w:val="single" w:sz="4" w:space="0" w:color="auto"/>
            </w:tcBorders>
          </w:tcPr>
          <w:p w:rsidR="004808B5" w:rsidRPr="00CD4CF2" w:rsidRDefault="00CB4F06" w:rsidP="00D173B3">
            <w:pPr>
              <w:spacing w:before="0" w:beforeAutospacing="0" w:after="0" w:afterAutospacing="0"/>
              <w:ind w:left="137" w:right="180"/>
              <w:jc w:val="both"/>
              <w:rPr>
                <w:b/>
                <w:sz w:val="20"/>
                <w:szCs w:val="20"/>
              </w:rPr>
            </w:pPr>
            <w:r w:rsidRPr="00CD4CF2">
              <w:rPr>
                <w:b/>
                <w:color w:val="000000"/>
                <w:sz w:val="20"/>
                <w:szCs w:val="20"/>
              </w:rPr>
              <w:t xml:space="preserve">j) prepravený na daňové územie z iného členského štátu v pozastavení dane ozbrojenými silami iných členských štátov </w:t>
            </w:r>
            <w:r w:rsidRPr="00CD4CF2">
              <w:rPr>
                <w:b/>
                <w:sz w:val="20"/>
                <w:szCs w:val="20"/>
              </w:rPr>
              <w:t xml:space="preserve">na použitie týmito ozbrojenými silami </w:t>
            </w:r>
            <w:r w:rsidRPr="00CD4CF2">
              <w:rPr>
                <w:b/>
                <w:color w:val="000000"/>
                <w:sz w:val="20"/>
                <w:szCs w:val="20"/>
              </w:rPr>
              <w:t xml:space="preserve">a ich civilnými zamestnancami pri obrannom </w:t>
            </w:r>
            <w:r w:rsidRPr="00CD4CF2">
              <w:rPr>
                <w:b/>
                <w:sz w:val="20"/>
                <w:szCs w:val="20"/>
              </w:rPr>
              <w:t>úsilí v rámci spoloč</w:t>
            </w:r>
            <w:r w:rsidR="00255314" w:rsidRPr="00CD4CF2">
              <w:rPr>
                <w:b/>
                <w:sz w:val="20"/>
                <w:szCs w:val="20"/>
              </w:rPr>
              <w:t>nej bezpečnostnej</w:t>
            </w:r>
            <w:r w:rsidRPr="00CD4CF2">
              <w:rPr>
                <w:b/>
                <w:sz w:val="20"/>
                <w:szCs w:val="20"/>
              </w:rPr>
              <w:t xml:space="preserve"> a obrannej politiky Európskej únie; preprava minerálneho oleja v poza</w:t>
            </w:r>
            <w:r w:rsidR="00F41E8B">
              <w:rPr>
                <w:b/>
                <w:sz w:val="20"/>
                <w:szCs w:val="20"/>
              </w:rPr>
              <w:t>stavení dane sa uskutoční podľa</w:t>
            </w:r>
            <w:r w:rsidR="00CD4CF2">
              <w:rPr>
                <w:b/>
                <w:sz w:val="20"/>
                <w:szCs w:val="20"/>
              </w:rPr>
              <w:t xml:space="preserve"> </w:t>
            </w:r>
            <w:r w:rsidRPr="00CD4CF2">
              <w:rPr>
                <w:b/>
                <w:sz w:val="20"/>
                <w:szCs w:val="20"/>
              </w:rPr>
              <w:t>§ 24 ods. 14.</w:t>
            </w:r>
          </w:p>
        </w:tc>
        <w:tc>
          <w:tcPr>
            <w:tcW w:w="709" w:type="dxa"/>
            <w:tcBorders>
              <w:top w:val="single" w:sz="4" w:space="0" w:color="auto"/>
              <w:left w:val="single" w:sz="4" w:space="0" w:color="auto"/>
              <w:bottom w:val="single" w:sz="4" w:space="0" w:color="auto"/>
              <w:right w:val="single" w:sz="4" w:space="0" w:color="auto"/>
            </w:tcBorders>
          </w:tcPr>
          <w:p w:rsidR="00A9063F" w:rsidRPr="00AA3F6C" w:rsidRDefault="0078287E">
            <w:pPr>
              <w:autoSpaceDE w:val="0"/>
              <w:autoSpaceDN w:val="0"/>
              <w:spacing w:before="0" w:beforeAutospacing="0" w:after="0" w:afterAutospacing="0"/>
              <w:jc w:val="center"/>
              <w:rPr>
                <w:sz w:val="20"/>
                <w:szCs w:val="20"/>
              </w:rPr>
            </w:pPr>
            <w:r w:rsidRPr="00AA3F6C">
              <w:rPr>
                <w:sz w:val="20"/>
                <w:szCs w:val="20"/>
              </w:rPr>
              <w:t>Ú</w:t>
            </w:r>
          </w:p>
        </w:tc>
        <w:tc>
          <w:tcPr>
            <w:tcW w:w="995" w:type="dxa"/>
            <w:tcBorders>
              <w:top w:val="single" w:sz="4" w:space="0" w:color="auto"/>
              <w:left w:val="single" w:sz="4" w:space="0" w:color="auto"/>
              <w:bottom w:val="single" w:sz="4" w:space="0" w:color="auto"/>
              <w:right w:val="single" w:sz="12" w:space="0" w:color="auto"/>
            </w:tcBorders>
          </w:tcPr>
          <w:p w:rsidR="0000149A" w:rsidRPr="00AA3F6C" w:rsidRDefault="0000149A" w:rsidP="000924C6">
            <w:pPr>
              <w:autoSpaceDE w:val="0"/>
              <w:autoSpaceDN w:val="0"/>
              <w:spacing w:before="0" w:beforeAutospacing="0" w:after="0" w:afterAutospacing="0"/>
              <w:jc w:val="both"/>
              <w:rPr>
                <w:sz w:val="20"/>
                <w:szCs w:val="20"/>
              </w:rPr>
            </w:pPr>
          </w:p>
        </w:tc>
      </w:tr>
      <w:tr w:rsidR="0054175A" w:rsidRPr="00AA3F6C" w:rsidTr="000924C6">
        <w:trPr>
          <w:trHeight w:val="416"/>
        </w:trPr>
        <w:tc>
          <w:tcPr>
            <w:tcW w:w="682" w:type="dxa"/>
            <w:tcBorders>
              <w:top w:val="single" w:sz="4" w:space="0" w:color="auto"/>
              <w:left w:val="single" w:sz="12" w:space="0" w:color="auto"/>
              <w:bottom w:val="single" w:sz="4" w:space="0" w:color="auto"/>
              <w:right w:val="single" w:sz="4" w:space="0" w:color="auto"/>
            </w:tcBorders>
          </w:tcPr>
          <w:p w:rsidR="0054175A" w:rsidRPr="00AA3F6C" w:rsidRDefault="0054175A" w:rsidP="00C33219">
            <w:pPr>
              <w:autoSpaceDE w:val="0"/>
              <w:autoSpaceDN w:val="0"/>
              <w:spacing w:before="0" w:beforeAutospacing="0" w:after="0" w:afterAutospacing="0"/>
              <w:jc w:val="center"/>
              <w:rPr>
                <w:sz w:val="20"/>
                <w:szCs w:val="20"/>
              </w:rPr>
            </w:pPr>
            <w:r>
              <w:rPr>
                <w:sz w:val="20"/>
                <w:szCs w:val="20"/>
              </w:rPr>
              <w:t>Čl. 3</w:t>
            </w:r>
          </w:p>
        </w:tc>
        <w:tc>
          <w:tcPr>
            <w:tcW w:w="5670" w:type="dxa"/>
            <w:gridSpan w:val="2"/>
            <w:tcBorders>
              <w:top w:val="single" w:sz="4" w:space="0" w:color="auto"/>
              <w:left w:val="single" w:sz="4" w:space="0" w:color="auto"/>
              <w:bottom w:val="single" w:sz="4" w:space="0" w:color="auto"/>
              <w:right w:val="single" w:sz="4" w:space="0" w:color="auto"/>
            </w:tcBorders>
          </w:tcPr>
          <w:p w:rsidR="00246D20" w:rsidRDefault="00246D20" w:rsidP="00A660D8">
            <w:pPr>
              <w:pStyle w:val="Bezriadkovania"/>
              <w:numPr>
                <w:ilvl w:val="0"/>
                <w:numId w:val="21"/>
              </w:numPr>
              <w:spacing w:beforeAutospacing="0" w:afterAutospacing="0"/>
              <w:ind w:left="241" w:right="99" w:hanging="241"/>
              <w:jc w:val="both"/>
              <w:rPr>
                <w:sz w:val="20"/>
                <w:szCs w:val="20"/>
              </w:rPr>
            </w:pPr>
            <w:r w:rsidRPr="00246D20">
              <w:rPr>
                <w:sz w:val="20"/>
                <w:szCs w:val="20"/>
              </w:rPr>
              <w:t>Členské štáty do 30. júna 2022 prijmú a uverejnia zákony, iné právne predpisy a správne opatrenia potrebné na dosiahnutie súladu s touto smernicou. Bezodkladne oznámia Komisii znenie týchto opatrení.</w:t>
            </w: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941476" w:rsidRDefault="00246D20" w:rsidP="00A660D8">
            <w:pPr>
              <w:pStyle w:val="Bezriadkovania"/>
              <w:spacing w:beforeAutospacing="0" w:afterAutospacing="0"/>
              <w:ind w:left="241" w:right="99"/>
              <w:jc w:val="both"/>
              <w:rPr>
                <w:sz w:val="20"/>
                <w:szCs w:val="20"/>
              </w:rPr>
            </w:pPr>
            <w:r w:rsidRPr="00246D20">
              <w:rPr>
                <w:sz w:val="20"/>
                <w:szCs w:val="20"/>
              </w:rPr>
              <w:t>Uvedené opatrenia uplatňujú od 1. júla 2022.</w:t>
            </w:r>
          </w:p>
          <w:p w:rsidR="00246D20" w:rsidRDefault="00246D20" w:rsidP="00A660D8">
            <w:pPr>
              <w:pStyle w:val="Bezriadkovania"/>
              <w:spacing w:beforeAutospacing="0" w:afterAutospacing="0"/>
              <w:ind w:left="241" w:right="99"/>
              <w:jc w:val="both"/>
              <w:rPr>
                <w:sz w:val="20"/>
                <w:szCs w:val="20"/>
              </w:rPr>
            </w:pPr>
            <w:r w:rsidRPr="00246D20">
              <w:rPr>
                <w:sz w:val="20"/>
                <w:szCs w:val="20"/>
              </w:rPr>
              <w:lastRenderedPageBreak/>
              <w:t xml:space="preserve">Členské štáty uvedú priamo v prijatých opatreniach alebo pri ich úradnom uverejnení odkaz na túto smernicu. Podrobnosti o odkaze upravia členské štáty. </w:t>
            </w:r>
          </w:p>
          <w:p w:rsidR="000924C6" w:rsidRDefault="000924C6"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Default="00A660D8" w:rsidP="00A660D8">
            <w:pPr>
              <w:pStyle w:val="Bezriadkovania"/>
              <w:spacing w:beforeAutospacing="0" w:afterAutospacing="0"/>
              <w:ind w:left="241" w:right="99"/>
              <w:jc w:val="both"/>
              <w:rPr>
                <w:sz w:val="20"/>
                <w:szCs w:val="20"/>
              </w:rPr>
            </w:pPr>
          </w:p>
          <w:p w:rsidR="00A660D8" w:rsidRPr="000924C6" w:rsidRDefault="00A660D8" w:rsidP="00A660D8">
            <w:pPr>
              <w:pStyle w:val="Bezriadkovania"/>
              <w:spacing w:beforeAutospacing="0" w:afterAutospacing="0"/>
              <w:ind w:left="241" w:right="99"/>
              <w:jc w:val="both"/>
              <w:rPr>
                <w:sz w:val="20"/>
                <w:szCs w:val="20"/>
              </w:rPr>
            </w:pPr>
          </w:p>
          <w:p w:rsidR="0054175A" w:rsidRPr="00065891" w:rsidRDefault="00246D20" w:rsidP="00A660D8">
            <w:pPr>
              <w:pStyle w:val="Bezriadkovania"/>
              <w:numPr>
                <w:ilvl w:val="0"/>
                <w:numId w:val="21"/>
              </w:numPr>
              <w:spacing w:beforeAutospacing="0" w:afterAutospacing="0"/>
              <w:ind w:left="241" w:right="99" w:hanging="241"/>
              <w:jc w:val="both"/>
              <w:rPr>
                <w:sz w:val="20"/>
                <w:szCs w:val="20"/>
              </w:rPr>
            </w:pPr>
            <w:r w:rsidRPr="00246D20">
              <w:rPr>
                <w:sz w:val="20"/>
                <w:szCs w:val="20"/>
              </w:rPr>
              <w:t>Členské štáty oznámia Komisii znenie hlavných ustanovení vnútroštátnych právnych predpisov, ktoré prijmú v oblasti pôsobnosti tejto smernice.</w:t>
            </w:r>
          </w:p>
        </w:tc>
        <w:tc>
          <w:tcPr>
            <w:tcW w:w="1387" w:type="dxa"/>
            <w:tcBorders>
              <w:top w:val="single" w:sz="4" w:space="0" w:color="auto"/>
              <w:left w:val="single" w:sz="4" w:space="0" w:color="auto"/>
              <w:bottom w:val="single" w:sz="4" w:space="0" w:color="auto"/>
              <w:right w:val="single" w:sz="12" w:space="0" w:color="auto"/>
            </w:tcBorders>
          </w:tcPr>
          <w:p w:rsidR="0054175A" w:rsidRPr="00065891" w:rsidRDefault="0054175A">
            <w:pPr>
              <w:autoSpaceDE w:val="0"/>
              <w:autoSpaceDN w:val="0"/>
              <w:spacing w:before="0" w:beforeAutospacing="0" w:after="0" w:afterAutospacing="0"/>
              <w:jc w:val="center"/>
              <w:rPr>
                <w:sz w:val="20"/>
                <w:szCs w:val="20"/>
              </w:rPr>
            </w:pPr>
            <w:r w:rsidRPr="00065891">
              <w:rPr>
                <w:sz w:val="20"/>
                <w:szCs w:val="20"/>
              </w:rPr>
              <w:lastRenderedPageBreak/>
              <w:t>N</w:t>
            </w:r>
          </w:p>
        </w:tc>
        <w:tc>
          <w:tcPr>
            <w:tcW w:w="846" w:type="dxa"/>
            <w:tcBorders>
              <w:top w:val="single" w:sz="4" w:space="0" w:color="auto"/>
              <w:left w:val="nil"/>
              <w:bottom w:val="single" w:sz="4" w:space="0" w:color="auto"/>
              <w:right w:val="single" w:sz="4" w:space="0" w:color="auto"/>
            </w:tcBorders>
          </w:tcPr>
          <w:p w:rsidR="00CD4CF2" w:rsidRDefault="00CD4CF2" w:rsidP="00CD4CF2">
            <w:pPr>
              <w:pStyle w:val="tlArialNarrow10ptPodaokraja"/>
              <w:jc w:val="center"/>
              <w:rPr>
                <w:rFonts w:ascii="Times New Roman" w:hAnsi="Times New Roman"/>
              </w:rPr>
            </w:pPr>
            <w:r>
              <w:rPr>
                <w:rFonts w:ascii="Times New Roman" w:hAnsi="Times New Roman"/>
              </w:rPr>
              <w:t>98/2004</w:t>
            </w:r>
          </w:p>
          <w:p w:rsidR="00CD4CF2" w:rsidRDefault="00CD4CF2" w:rsidP="00CD4CF2">
            <w:pPr>
              <w:pStyle w:val="tlArialNarrow10ptPodaokraja"/>
              <w:jc w:val="center"/>
              <w:rPr>
                <w:rFonts w:ascii="Times New Roman" w:hAnsi="Times New Roman"/>
              </w:rPr>
            </w:pPr>
            <w:r w:rsidRPr="001A508F">
              <w:rPr>
                <w:rFonts w:ascii="Times New Roman" w:hAnsi="Times New Roman"/>
              </w:rPr>
              <w:t>Z.</w:t>
            </w:r>
            <w:r>
              <w:rPr>
                <w:rFonts w:ascii="Times New Roman" w:hAnsi="Times New Roman"/>
              </w:rPr>
              <w:t xml:space="preserve"> </w:t>
            </w:r>
            <w:r w:rsidRPr="001A508F">
              <w:rPr>
                <w:rFonts w:ascii="Times New Roman" w:hAnsi="Times New Roman"/>
              </w:rPr>
              <w:t>z.</w:t>
            </w:r>
            <w:r>
              <w:rPr>
                <w:rFonts w:ascii="Times New Roman" w:hAnsi="Times New Roman"/>
              </w:rPr>
              <w:t xml:space="preserve"> </w:t>
            </w:r>
          </w:p>
          <w:p w:rsidR="00CD4CF2" w:rsidRDefault="00CD4CF2" w:rsidP="00CD4CF2">
            <w:pPr>
              <w:pStyle w:val="tlArialNarrow10ptPodaokraja"/>
              <w:jc w:val="center"/>
              <w:rPr>
                <w:rFonts w:ascii="Times New Roman" w:hAnsi="Times New Roman"/>
              </w:rPr>
            </w:pPr>
            <w:r>
              <w:rPr>
                <w:rFonts w:ascii="Times New Roman" w:hAnsi="Times New Roman"/>
              </w:rPr>
              <w:t>a</w:t>
            </w:r>
          </w:p>
          <w:p w:rsidR="00CD4CF2" w:rsidRDefault="00CD4CF2" w:rsidP="00CD4CF2">
            <w:pPr>
              <w:pStyle w:val="tlArialNarrow10ptPodaokraja"/>
              <w:jc w:val="center"/>
              <w:rPr>
                <w:rFonts w:ascii="Times New Roman" w:hAnsi="Times New Roman"/>
                <w:b/>
              </w:rPr>
            </w:pPr>
            <w:r>
              <w:rPr>
                <w:rFonts w:ascii="Times New Roman" w:hAnsi="Times New Roman"/>
                <w:b/>
              </w:rPr>
              <w:t>X/2020</w:t>
            </w:r>
          </w:p>
          <w:p w:rsidR="00CD4CF2" w:rsidRDefault="00CD4CF2" w:rsidP="00CD4CF2">
            <w:pPr>
              <w:pStyle w:val="tlArialNarrow10ptPodaokraja"/>
              <w:jc w:val="center"/>
              <w:rPr>
                <w:rFonts w:ascii="Times New Roman" w:hAnsi="Times New Roman"/>
                <w:b/>
              </w:rPr>
            </w:pPr>
            <w:r w:rsidRPr="00E15301">
              <w:rPr>
                <w:rFonts w:ascii="Times New Roman" w:hAnsi="Times New Roman"/>
                <w:b/>
              </w:rPr>
              <w:t>Z. z</w:t>
            </w:r>
            <w:r w:rsidRPr="00443E0E">
              <w:rPr>
                <w:rFonts w:ascii="Times New Roman" w:hAnsi="Times New Roman"/>
                <w:b/>
              </w:rPr>
              <w:t>. čl.</w:t>
            </w:r>
            <w:r>
              <w:rPr>
                <w:rFonts w:ascii="Times New Roman" w:hAnsi="Times New Roman"/>
                <w:b/>
              </w:rPr>
              <w:t xml:space="preserve"> </w:t>
            </w:r>
            <w:r w:rsidRPr="00443E0E">
              <w:rPr>
                <w:rFonts w:ascii="Times New Roman" w:hAnsi="Times New Roman"/>
                <w:b/>
              </w:rPr>
              <w:t>I</w:t>
            </w: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Default="000924C6" w:rsidP="00CD4CF2">
            <w:pPr>
              <w:pStyle w:val="tlArialNarrow10ptPodaokraja"/>
              <w:jc w:val="center"/>
              <w:rPr>
                <w:rFonts w:ascii="Times New Roman" w:hAnsi="Times New Roman"/>
                <w:b/>
              </w:rPr>
            </w:pPr>
          </w:p>
          <w:p w:rsidR="000924C6" w:rsidRPr="000924C6" w:rsidRDefault="000924C6" w:rsidP="00CD4CF2">
            <w:pPr>
              <w:pStyle w:val="tlArialNarrow10ptPodaokraja"/>
              <w:jc w:val="center"/>
              <w:rPr>
                <w:rFonts w:ascii="Times New Roman" w:hAnsi="Times New Roman"/>
              </w:rPr>
            </w:pPr>
          </w:p>
          <w:p w:rsidR="000924C6" w:rsidRPr="000924C6" w:rsidRDefault="000924C6" w:rsidP="00CD4CF2">
            <w:pPr>
              <w:pStyle w:val="tlArialNarrow10ptPodaokraja"/>
              <w:jc w:val="center"/>
              <w:rPr>
                <w:rFonts w:ascii="Times New Roman" w:hAnsi="Times New Roman"/>
              </w:rPr>
            </w:pPr>
            <w:r w:rsidRPr="000924C6">
              <w:rPr>
                <w:rFonts w:ascii="Times New Roman" w:hAnsi="Times New Roman"/>
              </w:rPr>
              <w:t>575/2001</w:t>
            </w:r>
          </w:p>
          <w:p w:rsidR="005936B4" w:rsidRPr="00065891" w:rsidRDefault="005936B4" w:rsidP="001373DA">
            <w:pPr>
              <w:autoSpaceDE w:val="0"/>
              <w:autoSpaceDN w:val="0"/>
              <w:spacing w:before="0" w:beforeAutospacing="0" w:after="0" w:afterAutospacing="0"/>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4808B5" w:rsidRDefault="005936B4" w:rsidP="00C33219">
            <w:pPr>
              <w:pStyle w:val="Normlny0"/>
              <w:jc w:val="center"/>
            </w:pPr>
            <w:r w:rsidRPr="00065891">
              <w:lastRenderedPageBreak/>
              <w:t xml:space="preserve">Príloha </w:t>
            </w:r>
          </w:p>
          <w:p w:rsidR="00FB7474" w:rsidRPr="00941476" w:rsidRDefault="001565A7" w:rsidP="00941476">
            <w:pPr>
              <w:pStyle w:val="Normlny0"/>
              <w:jc w:val="center"/>
            </w:pPr>
            <w:r>
              <w:t xml:space="preserve">č. </w:t>
            </w:r>
            <w:r w:rsidR="002E1B98">
              <w:t>1</w:t>
            </w:r>
          </w:p>
          <w:p w:rsidR="005936B4" w:rsidRPr="00683E8D" w:rsidRDefault="001565A7" w:rsidP="00C33219">
            <w:pPr>
              <w:pStyle w:val="Normlny0"/>
              <w:jc w:val="center"/>
              <w:rPr>
                <w:b/>
              </w:rPr>
            </w:pPr>
            <w:r>
              <w:rPr>
                <w:b/>
              </w:rPr>
              <w:t xml:space="preserve">Bod </w:t>
            </w:r>
            <w:r w:rsidR="002E1B98">
              <w:rPr>
                <w:b/>
              </w:rPr>
              <w:t>7</w:t>
            </w:r>
          </w:p>
          <w:p w:rsidR="00316EFA" w:rsidRDefault="00316EFA" w:rsidP="00C33219">
            <w:pPr>
              <w:pStyle w:val="Normlny0"/>
              <w:jc w:val="center"/>
            </w:pPr>
          </w:p>
          <w:p w:rsidR="00316EFA" w:rsidRDefault="00316EFA" w:rsidP="00C33219">
            <w:pPr>
              <w:pStyle w:val="Normlny0"/>
              <w:jc w:val="center"/>
            </w:pPr>
          </w:p>
          <w:p w:rsidR="00316EFA" w:rsidRDefault="00316EFA" w:rsidP="00255314">
            <w:pPr>
              <w:pStyle w:val="Normlny0"/>
              <w:jc w:val="center"/>
            </w:pPr>
          </w:p>
          <w:p w:rsidR="00A660D8" w:rsidRDefault="00A660D8" w:rsidP="00255314">
            <w:pPr>
              <w:pStyle w:val="Normlny0"/>
              <w:jc w:val="center"/>
            </w:pPr>
          </w:p>
          <w:p w:rsidR="00FB7474" w:rsidRPr="00255314" w:rsidRDefault="00FB7474" w:rsidP="00C33219">
            <w:pPr>
              <w:pStyle w:val="Normlny0"/>
              <w:jc w:val="center"/>
            </w:pPr>
          </w:p>
          <w:p w:rsidR="002E1B98" w:rsidRPr="00255314" w:rsidRDefault="002E1B98" w:rsidP="00C33219">
            <w:pPr>
              <w:pStyle w:val="Normlny0"/>
              <w:jc w:val="center"/>
            </w:pPr>
          </w:p>
          <w:p w:rsidR="00316EFA" w:rsidRPr="00683E8D" w:rsidRDefault="00316EFA" w:rsidP="00C33219">
            <w:pPr>
              <w:pStyle w:val="Normlny0"/>
              <w:jc w:val="center"/>
              <w:rPr>
                <w:b/>
              </w:rPr>
            </w:pPr>
            <w:r w:rsidRPr="00683E8D">
              <w:rPr>
                <w:b/>
              </w:rPr>
              <w:t>Čl. II</w:t>
            </w:r>
            <w:r w:rsidR="00CB4F06">
              <w:rPr>
                <w:b/>
              </w:rPr>
              <w:t>I</w:t>
            </w:r>
            <w:r w:rsidRPr="00683E8D">
              <w:rPr>
                <w:b/>
              </w:rPr>
              <w:t>.</w:t>
            </w:r>
          </w:p>
          <w:p w:rsidR="00316EFA" w:rsidRDefault="00683E8D" w:rsidP="000924C6">
            <w:pPr>
              <w:pStyle w:val="Normlny0"/>
              <w:jc w:val="center"/>
              <w:rPr>
                <w:b/>
              </w:rPr>
            </w:pPr>
            <w:r w:rsidRPr="00683E8D">
              <w:rPr>
                <w:b/>
              </w:rPr>
              <w:t>n</w:t>
            </w:r>
            <w:r w:rsidR="00316EFA" w:rsidRPr="00683E8D">
              <w:rPr>
                <w:b/>
              </w:rPr>
              <w:t>ávrhu zákona</w:t>
            </w:r>
          </w:p>
          <w:p w:rsidR="000924C6" w:rsidRDefault="000924C6" w:rsidP="000924C6">
            <w:pPr>
              <w:pStyle w:val="Normlny0"/>
              <w:jc w:val="center"/>
              <w:rPr>
                <w:b/>
              </w:rPr>
            </w:pPr>
          </w:p>
          <w:p w:rsidR="000924C6" w:rsidRDefault="000924C6" w:rsidP="000924C6">
            <w:pPr>
              <w:pStyle w:val="Normlny0"/>
              <w:jc w:val="center"/>
              <w:rPr>
                <w:b/>
              </w:rPr>
            </w:pPr>
          </w:p>
          <w:p w:rsidR="000924C6" w:rsidRDefault="000924C6" w:rsidP="000924C6">
            <w:pPr>
              <w:pStyle w:val="Normlny0"/>
              <w:jc w:val="center"/>
              <w:rPr>
                <w:b/>
              </w:rPr>
            </w:pPr>
          </w:p>
          <w:p w:rsidR="000924C6" w:rsidRDefault="000924C6" w:rsidP="000924C6">
            <w:pPr>
              <w:pStyle w:val="Normlny0"/>
              <w:jc w:val="center"/>
              <w:rPr>
                <w:b/>
              </w:rPr>
            </w:pPr>
          </w:p>
          <w:p w:rsidR="000924C6" w:rsidRDefault="000924C6" w:rsidP="000924C6">
            <w:pPr>
              <w:pStyle w:val="Normlny0"/>
              <w:jc w:val="center"/>
              <w:rPr>
                <w:b/>
              </w:rPr>
            </w:pPr>
          </w:p>
          <w:p w:rsidR="000924C6" w:rsidRDefault="000924C6" w:rsidP="000924C6">
            <w:pPr>
              <w:pStyle w:val="Normlny0"/>
              <w:jc w:val="center"/>
              <w:rPr>
                <w:b/>
              </w:rPr>
            </w:pPr>
          </w:p>
          <w:p w:rsidR="000924C6" w:rsidRDefault="000924C6" w:rsidP="000924C6">
            <w:pPr>
              <w:pStyle w:val="Normlny0"/>
              <w:jc w:val="center"/>
              <w:rPr>
                <w:b/>
              </w:rPr>
            </w:pPr>
          </w:p>
          <w:p w:rsidR="000924C6" w:rsidRDefault="000924C6" w:rsidP="000924C6">
            <w:pPr>
              <w:pStyle w:val="Normlny0"/>
              <w:jc w:val="center"/>
              <w:rPr>
                <w:b/>
              </w:rPr>
            </w:pPr>
          </w:p>
          <w:p w:rsidR="000924C6" w:rsidRPr="000924C6" w:rsidRDefault="00A660D8" w:rsidP="000924C6">
            <w:pPr>
              <w:pStyle w:val="Normlny0"/>
              <w:jc w:val="center"/>
              <w:rPr>
                <w:b/>
              </w:rPr>
            </w:pPr>
            <w:r w:rsidRPr="00BB4FDF">
              <w:t>§ 35 ods.7</w:t>
            </w:r>
          </w:p>
        </w:tc>
        <w:tc>
          <w:tcPr>
            <w:tcW w:w="4961" w:type="dxa"/>
            <w:tcBorders>
              <w:top w:val="single" w:sz="4" w:space="0" w:color="auto"/>
              <w:left w:val="single" w:sz="4" w:space="0" w:color="auto"/>
              <w:bottom w:val="single" w:sz="4" w:space="0" w:color="auto"/>
              <w:right w:val="single" w:sz="4" w:space="0" w:color="auto"/>
            </w:tcBorders>
          </w:tcPr>
          <w:p w:rsidR="005936B4" w:rsidRDefault="002E1B98" w:rsidP="004808B5">
            <w:pPr>
              <w:spacing w:before="0" w:beforeAutospacing="0" w:after="0" w:afterAutospacing="0"/>
              <w:ind w:left="137" w:right="180"/>
              <w:jc w:val="both"/>
              <w:rPr>
                <w:color w:val="000000"/>
                <w:sz w:val="20"/>
                <w:szCs w:val="20"/>
              </w:rPr>
            </w:pPr>
            <w:r>
              <w:rPr>
                <w:color w:val="000000"/>
                <w:sz w:val="20"/>
                <w:szCs w:val="20"/>
              </w:rPr>
              <w:lastRenderedPageBreak/>
              <w:t>Príloha č. 1 k zákonu č. 98/2004 Z. z. v znení zákona č. 667/2004 Z. z.</w:t>
            </w:r>
          </w:p>
          <w:p w:rsidR="00316EFA" w:rsidRPr="00941476" w:rsidRDefault="002E1B98" w:rsidP="00316EFA">
            <w:pPr>
              <w:spacing w:before="0" w:beforeAutospacing="0" w:after="0" w:afterAutospacing="0"/>
              <w:ind w:left="137" w:right="180"/>
              <w:jc w:val="both"/>
              <w:rPr>
                <w:b/>
                <w:iCs/>
                <w:sz w:val="20"/>
                <w:szCs w:val="20"/>
              </w:rPr>
            </w:pPr>
            <w:r>
              <w:rPr>
                <w:b/>
                <w:sz w:val="20"/>
                <w:szCs w:val="20"/>
              </w:rPr>
              <w:t>7</w:t>
            </w:r>
            <w:r w:rsidR="005936B4" w:rsidRPr="00065891">
              <w:rPr>
                <w:b/>
                <w:sz w:val="20"/>
                <w:szCs w:val="20"/>
              </w:rPr>
              <w:t xml:space="preserve">. </w:t>
            </w:r>
            <w:r w:rsidR="00BE35DE" w:rsidRPr="00BE35DE">
              <w:rPr>
                <w:b/>
                <w:sz w:val="20"/>
                <w:szCs w:val="20"/>
              </w:rPr>
              <w:t xml:space="preserve">Smernica Rady (EÚ) 2019/2235 zo 16. decembra 2019, ktorou sa mení smernica 2006/112/ES </w:t>
            </w:r>
            <w:r w:rsidR="005B0C1F">
              <w:rPr>
                <w:b/>
                <w:sz w:val="20"/>
                <w:szCs w:val="20"/>
              </w:rPr>
              <w:t xml:space="preserve">                           </w:t>
            </w:r>
            <w:r w:rsidR="00BE35DE" w:rsidRPr="00BE35DE">
              <w:rPr>
                <w:b/>
                <w:sz w:val="20"/>
                <w:szCs w:val="20"/>
              </w:rPr>
              <w:t xml:space="preserve">o spoločnom systéme dane z pridanej hodnoty </w:t>
            </w:r>
            <w:r w:rsidR="00F41E8B">
              <w:rPr>
                <w:b/>
                <w:sz w:val="20"/>
                <w:szCs w:val="20"/>
              </w:rPr>
              <w:t xml:space="preserve">            </w:t>
            </w:r>
            <w:r w:rsidR="005B0C1F">
              <w:rPr>
                <w:b/>
                <w:sz w:val="20"/>
                <w:szCs w:val="20"/>
              </w:rPr>
              <w:t xml:space="preserve">             </w:t>
            </w:r>
            <w:r w:rsidR="00BE35DE" w:rsidRPr="00BE35DE">
              <w:rPr>
                <w:b/>
                <w:sz w:val="20"/>
                <w:szCs w:val="20"/>
              </w:rPr>
              <w:t xml:space="preserve">a smernica 2008/118/ES o všeobecnom systéme spotrebných daní, pokiaľ ide o obranné úsilie </w:t>
            </w:r>
            <w:r w:rsidR="00F41E8B">
              <w:rPr>
                <w:b/>
                <w:sz w:val="20"/>
                <w:szCs w:val="20"/>
              </w:rPr>
              <w:t xml:space="preserve">           </w:t>
            </w:r>
            <w:r w:rsidR="005B0C1F">
              <w:rPr>
                <w:b/>
                <w:sz w:val="20"/>
                <w:szCs w:val="20"/>
              </w:rPr>
              <w:t xml:space="preserve">            </w:t>
            </w:r>
            <w:r w:rsidR="00BE35DE" w:rsidRPr="00BE35DE">
              <w:rPr>
                <w:b/>
                <w:sz w:val="20"/>
                <w:szCs w:val="20"/>
              </w:rPr>
              <w:t xml:space="preserve">v rámci Únie </w:t>
            </w:r>
            <w:r w:rsidR="005936B4" w:rsidRPr="00065891">
              <w:rPr>
                <w:b/>
                <w:sz w:val="20"/>
                <w:szCs w:val="20"/>
              </w:rPr>
              <w:t>(</w:t>
            </w:r>
            <w:r w:rsidR="005936B4" w:rsidRPr="00065891">
              <w:rPr>
                <w:b/>
                <w:iCs/>
                <w:sz w:val="20"/>
                <w:szCs w:val="20"/>
              </w:rPr>
              <w:t xml:space="preserve">Ú. v. EÚ L </w:t>
            </w:r>
            <w:r w:rsidR="00BE35DE">
              <w:rPr>
                <w:b/>
                <w:iCs/>
                <w:sz w:val="20"/>
                <w:szCs w:val="20"/>
              </w:rPr>
              <w:t>336, 30</w:t>
            </w:r>
            <w:r w:rsidR="005936B4" w:rsidRPr="00065891">
              <w:rPr>
                <w:b/>
                <w:iCs/>
                <w:sz w:val="20"/>
                <w:szCs w:val="20"/>
              </w:rPr>
              <w:t>.</w:t>
            </w:r>
            <w:r w:rsidR="00BE35DE">
              <w:rPr>
                <w:b/>
                <w:iCs/>
                <w:sz w:val="20"/>
                <w:szCs w:val="20"/>
              </w:rPr>
              <w:t>12</w:t>
            </w:r>
            <w:r w:rsidR="005936B4" w:rsidRPr="00065891">
              <w:rPr>
                <w:b/>
                <w:iCs/>
                <w:sz w:val="20"/>
                <w:szCs w:val="20"/>
              </w:rPr>
              <w:t>.2019).</w:t>
            </w:r>
          </w:p>
          <w:p w:rsidR="006574B5" w:rsidRPr="00255314" w:rsidRDefault="006574B5" w:rsidP="007104D7">
            <w:pPr>
              <w:pStyle w:val="Zkladntext"/>
              <w:ind w:firstLine="98"/>
              <w:jc w:val="both"/>
              <w:rPr>
                <w:sz w:val="20"/>
                <w:szCs w:val="20"/>
              </w:rPr>
            </w:pPr>
          </w:p>
          <w:p w:rsidR="007104D7" w:rsidRPr="00914E05" w:rsidRDefault="007104D7" w:rsidP="007104D7">
            <w:pPr>
              <w:pStyle w:val="Zkladntext"/>
              <w:ind w:left="98" w:right="180"/>
              <w:jc w:val="both"/>
              <w:rPr>
                <w:b/>
                <w:sz w:val="20"/>
                <w:szCs w:val="20"/>
              </w:rPr>
            </w:pPr>
            <w:r w:rsidRPr="00914E05">
              <w:rPr>
                <w:b/>
                <w:sz w:val="20"/>
                <w:szCs w:val="20"/>
              </w:rPr>
              <w:t xml:space="preserve">Tento zákon nadobúda účinnosť 1. januára 2021 okrem čl. I bodov 3, 7 až 9, 14, 16, 20, 25, 26, 37, 41, 44, 47, 56 až 63, 65, 67, 76, 83, 93, 94, 96, 97, 99, 101, </w:t>
            </w:r>
            <w:bookmarkStart w:id="0" w:name="_GoBack"/>
            <w:bookmarkEnd w:id="0"/>
            <w:r w:rsidRPr="00914E05">
              <w:rPr>
                <w:b/>
                <w:sz w:val="20"/>
                <w:szCs w:val="20"/>
              </w:rPr>
              <w:t xml:space="preserve">§ 42 </w:t>
            </w:r>
            <w:r w:rsidRPr="00914E05">
              <w:rPr>
                <w:b/>
                <w:sz w:val="20"/>
                <w:szCs w:val="20"/>
              </w:rPr>
              <w:lastRenderedPageBreak/>
              <w:t>ods. 1 písmená a) až o) v bode 103, 108, 109 a 111, ktoré nadobúdajú účinnosť 1. júla 2021, čl. I bodov 13, 15, 19, 31 až 33, 49, 51 a 52, ktoré nadobúdajú účinnosť 1. júla 2022 a čl. I bodov 17, 18, 21 až 23, 28, 55, 71, 74, 75, 85 až 89, 91, 92, 95, 98, 100, § 42 ods. 1 písmeno p) v bode 103, 104, 106 a 112, ktoré nadobúdajú účinnosť 13. februára 2023.</w:t>
            </w:r>
          </w:p>
          <w:p w:rsidR="004A3A2A" w:rsidRDefault="004A3A2A" w:rsidP="004A3A2A">
            <w:pPr>
              <w:pStyle w:val="Zkladntext"/>
              <w:ind w:left="98" w:right="180"/>
              <w:jc w:val="both"/>
              <w:rPr>
                <w:b/>
                <w:sz w:val="20"/>
                <w:szCs w:val="20"/>
              </w:rPr>
            </w:pPr>
          </w:p>
          <w:p w:rsidR="00316EFA" w:rsidRDefault="000924C6" w:rsidP="007104D7">
            <w:pPr>
              <w:pStyle w:val="Zkladntext"/>
              <w:ind w:left="98" w:right="241"/>
              <w:jc w:val="both"/>
              <w:rPr>
                <w:sz w:val="20"/>
                <w:szCs w:val="20"/>
              </w:rPr>
            </w:pPr>
            <w:r w:rsidRPr="00BB4FDF">
              <w:rPr>
                <w:sz w:val="20"/>
                <w:szCs w:val="20"/>
              </w:rPr>
              <w:t xml:space="preserve">Ministerstvá a ostatné ústredné orgány štátnej správy </w:t>
            </w:r>
            <w:r w:rsidR="007104D7">
              <w:rPr>
                <w:sz w:val="20"/>
                <w:szCs w:val="20"/>
              </w:rPr>
              <w:t xml:space="preserve">        </w:t>
            </w:r>
            <w:r w:rsidRPr="00BB4FDF">
              <w:rPr>
                <w:sz w:val="20"/>
                <w:szCs w:val="20"/>
              </w:rPr>
              <w:t>v rozsahu vymedzenej pôsobnosti plnia voči orgánom Európskej únie informačnú a oznamovaciu povinnosť, ktorá im vyplýva z právne záväzných aktov týchto orgánov.</w:t>
            </w:r>
          </w:p>
          <w:p w:rsidR="007104D7" w:rsidRPr="00BE7275" w:rsidRDefault="007104D7" w:rsidP="007104D7">
            <w:pPr>
              <w:pStyle w:val="Zkladntext"/>
              <w:ind w:left="98" w:right="241"/>
              <w:jc w:val="both"/>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75A" w:rsidRPr="00AA3F6C" w:rsidRDefault="005936B4">
            <w:pPr>
              <w:autoSpaceDE w:val="0"/>
              <w:autoSpaceDN w:val="0"/>
              <w:spacing w:before="0" w:beforeAutospacing="0" w:after="0" w:afterAutospacing="0"/>
              <w:jc w:val="center"/>
              <w:rPr>
                <w:sz w:val="20"/>
                <w:szCs w:val="20"/>
              </w:rPr>
            </w:pPr>
            <w:r>
              <w:rPr>
                <w:sz w:val="20"/>
                <w:szCs w:val="20"/>
              </w:rPr>
              <w:lastRenderedPageBreak/>
              <w:t>Ú</w:t>
            </w:r>
          </w:p>
        </w:tc>
        <w:tc>
          <w:tcPr>
            <w:tcW w:w="995" w:type="dxa"/>
            <w:tcBorders>
              <w:top w:val="single" w:sz="4" w:space="0" w:color="auto"/>
              <w:left w:val="single" w:sz="4" w:space="0" w:color="auto"/>
              <w:bottom w:val="single" w:sz="4" w:space="0" w:color="auto"/>
              <w:right w:val="single" w:sz="12" w:space="0" w:color="auto"/>
            </w:tcBorders>
          </w:tcPr>
          <w:p w:rsidR="0054175A" w:rsidRPr="00AA3F6C" w:rsidRDefault="0054175A">
            <w:pPr>
              <w:pStyle w:val="Nadpis1"/>
              <w:rPr>
                <w:b w:val="0"/>
                <w:bCs w:val="0"/>
                <w:sz w:val="20"/>
                <w:szCs w:val="20"/>
              </w:rPr>
            </w:pPr>
          </w:p>
        </w:tc>
      </w:tr>
    </w:tbl>
    <w:p w:rsidR="008C54C3" w:rsidRPr="00AA3F6C" w:rsidRDefault="008C54C3" w:rsidP="006574B5">
      <w:pPr>
        <w:pStyle w:val="Hlavika"/>
        <w:tabs>
          <w:tab w:val="clear" w:pos="4536"/>
          <w:tab w:val="clear" w:pos="9072"/>
        </w:tabs>
        <w:autoSpaceDE/>
        <w:autoSpaceDN/>
        <w:rPr>
          <w:sz w:val="20"/>
          <w:szCs w:val="20"/>
        </w:rPr>
      </w:pPr>
    </w:p>
    <w:sectPr w:rsidR="008C54C3" w:rsidRPr="00AA3F6C">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B6" w:rsidRDefault="00802BB6">
      <w:pPr>
        <w:autoSpaceDE w:val="0"/>
        <w:autoSpaceDN w:val="0"/>
        <w:spacing w:before="0" w:beforeAutospacing="0" w:after="0" w:afterAutospacing="0"/>
      </w:pPr>
      <w:r>
        <w:separator/>
      </w:r>
    </w:p>
  </w:endnote>
  <w:endnote w:type="continuationSeparator" w:id="0">
    <w:p w:rsidR="00802BB6" w:rsidRDefault="00802BB6">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D" w:rsidRDefault="00CB2E5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B6" w:rsidRDefault="00802BB6">
      <w:pPr>
        <w:autoSpaceDE w:val="0"/>
        <w:autoSpaceDN w:val="0"/>
        <w:spacing w:before="0" w:beforeAutospacing="0" w:after="0" w:afterAutospacing="0"/>
      </w:pPr>
      <w:r>
        <w:separator/>
      </w:r>
    </w:p>
  </w:footnote>
  <w:footnote w:type="continuationSeparator" w:id="0">
    <w:p w:rsidR="00802BB6" w:rsidRDefault="00802BB6">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49E218A"/>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6" w15:restartNumberingAfterBreak="0">
    <w:nsid w:val="21642A41"/>
    <w:multiLevelType w:val="hybridMultilevel"/>
    <w:tmpl w:val="882C7C3E"/>
    <w:lvl w:ilvl="0" w:tplc="041B000F">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7" w15:restartNumberingAfterBreak="0">
    <w:nsid w:val="2C707C06"/>
    <w:multiLevelType w:val="hybridMultilevel"/>
    <w:tmpl w:val="2F342A28"/>
    <w:lvl w:ilvl="0" w:tplc="37D670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1FC57F2"/>
    <w:multiLevelType w:val="hybridMultilevel"/>
    <w:tmpl w:val="58BA2A7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2"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2683"/>
    <w:multiLevelType w:val="singleLevel"/>
    <w:tmpl w:val="768E8086"/>
    <w:lvl w:ilvl="0">
      <w:start w:val="1"/>
      <w:numFmt w:val="bullet"/>
      <w:lvlText w:val="-"/>
      <w:lvlJc w:val="left"/>
      <w:pPr>
        <w:tabs>
          <w:tab w:val="num" w:pos="644"/>
        </w:tabs>
        <w:ind w:left="644" w:hanging="360"/>
      </w:pPr>
      <w:rPr>
        <w:rFonts w:hint="default"/>
      </w:rPr>
    </w:lvl>
  </w:abstractNum>
  <w:abstractNum w:abstractNumId="17" w15:restartNumberingAfterBreak="0">
    <w:nsid w:val="762E22A7"/>
    <w:multiLevelType w:val="hybridMultilevel"/>
    <w:tmpl w:val="FDB236F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8646370"/>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3"/>
    <w:lvlOverride w:ilvl="0">
      <w:startOverride w:val="3"/>
    </w:lvlOverride>
  </w:num>
  <w:num w:numId="3">
    <w:abstractNumId w:val="11"/>
  </w:num>
  <w:num w:numId="4">
    <w:abstractNumId w:val="11"/>
    <w:lvlOverride w:ilvl="0">
      <w:startOverride w:val="2"/>
    </w:lvlOverride>
  </w:num>
  <w:num w:numId="5">
    <w:abstractNumId w:val="5"/>
  </w:num>
  <w:num w:numId="6">
    <w:abstractNumId w:val="5"/>
    <w:lvlOverride w:ilvl="0">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5"/>
  </w:num>
  <w:num w:numId="12">
    <w:abstractNumId w:val="2"/>
  </w:num>
  <w:num w:numId="13">
    <w:abstractNumId w:val="14"/>
  </w:num>
  <w:num w:numId="14">
    <w:abstractNumId w:val="1"/>
  </w:num>
  <w:num w:numId="15">
    <w:abstractNumId w:val="13"/>
  </w:num>
  <w:num w:numId="16">
    <w:abstractNumId w:val="10"/>
  </w:num>
  <w:num w:numId="17">
    <w:abstractNumId w:val="18"/>
  </w:num>
  <w:num w:numId="18">
    <w:abstractNumId w:val="4"/>
  </w:num>
  <w:num w:numId="19">
    <w:abstractNumId w:val="16"/>
  </w:num>
  <w:num w:numId="20">
    <w:abstractNumId w:val="7"/>
  </w:num>
  <w:num w:numId="21">
    <w:abstractNumId w:val="8"/>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149A"/>
    <w:rsid w:val="00024F4E"/>
    <w:rsid w:val="00026C86"/>
    <w:rsid w:val="00065891"/>
    <w:rsid w:val="000924C6"/>
    <w:rsid w:val="000B20F3"/>
    <w:rsid w:val="000C2E53"/>
    <w:rsid w:val="000D14DB"/>
    <w:rsid w:val="000F1284"/>
    <w:rsid w:val="000F513B"/>
    <w:rsid w:val="00106321"/>
    <w:rsid w:val="00117BEE"/>
    <w:rsid w:val="00127033"/>
    <w:rsid w:val="00131F60"/>
    <w:rsid w:val="001373DA"/>
    <w:rsid w:val="00153B33"/>
    <w:rsid w:val="0015634A"/>
    <w:rsid w:val="001565A7"/>
    <w:rsid w:val="001A508F"/>
    <w:rsid w:val="001B1ED9"/>
    <w:rsid w:val="001B3447"/>
    <w:rsid w:val="001C1328"/>
    <w:rsid w:val="001D4917"/>
    <w:rsid w:val="001F1382"/>
    <w:rsid w:val="00217BF4"/>
    <w:rsid w:val="00246D20"/>
    <w:rsid w:val="00255314"/>
    <w:rsid w:val="00263DFB"/>
    <w:rsid w:val="00270E65"/>
    <w:rsid w:val="002A1564"/>
    <w:rsid w:val="002C50BB"/>
    <w:rsid w:val="002E1B98"/>
    <w:rsid w:val="002E1D16"/>
    <w:rsid w:val="002E5559"/>
    <w:rsid w:val="00316EFA"/>
    <w:rsid w:val="00331C8B"/>
    <w:rsid w:val="00376B39"/>
    <w:rsid w:val="00391DC5"/>
    <w:rsid w:val="00393339"/>
    <w:rsid w:val="003E7B78"/>
    <w:rsid w:val="0040478B"/>
    <w:rsid w:val="00424270"/>
    <w:rsid w:val="00434FC2"/>
    <w:rsid w:val="00440A2A"/>
    <w:rsid w:val="00443E0E"/>
    <w:rsid w:val="004577EC"/>
    <w:rsid w:val="004808B5"/>
    <w:rsid w:val="00484E5A"/>
    <w:rsid w:val="004A3A2A"/>
    <w:rsid w:val="004C4771"/>
    <w:rsid w:val="005170A9"/>
    <w:rsid w:val="0052520A"/>
    <w:rsid w:val="0054175A"/>
    <w:rsid w:val="00545DD6"/>
    <w:rsid w:val="005936B4"/>
    <w:rsid w:val="005947B8"/>
    <w:rsid w:val="00595B48"/>
    <w:rsid w:val="00597A60"/>
    <w:rsid w:val="005A6375"/>
    <w:rsid w:val="005B0C1F"/>
    <w:rsid w:val="005D4EF6"/>
    <w:rsid w:val="005D546C"/>
    <w:rsid w:val="005E0477"/>
    <w:rsid w:val="005E147F"/>
    <w:rsid w:val="005F50F1"/>
    <w:rsid w:val="0064397E"/>
    <w:rsid w:val="00650F0D"/>
    <w:rsid w:val="00656B18"/>
    <w:rsid w:val="006574B5"/>
    <w:rsid w:val="00662F46"/>
    <w:rsid w:val="006718A1"/>
    <w:rsid w:val="006724DD"/>
    <w:rsid w:val="00683A6B"/>
    <w:rsid w:val="00683E8D"/>
    <w:rsid w:val="006A12E8"/>
    <w:rsid w:val="006D38BD"/>
    <w:rsid w:val="006E4825"/>
    <w:rsid w:val="006E689D"/>
    <w:rsid w:val="007104D7"/>
    <w:rsid w:val="00750FD1"/>
    <w:rsid w:val="00763B56"/>
    <w:rsid w:val="0078287E"/>
    <w:rsid w:val="007C0866"/>
    <w:rsid w:val="007F00F4"/>
    <w:rsid w:val="00802BB6"/>
    <w:rsid w:val="0086257B"/>
    <w:rsid w:val="00863627"/>
    <w:rsid w:val="00881156"/>
    <w:rsid w:val="008841A7"/>
    <w:rsid w:val="008A0B4B"/>
    <w:rsid w:val="008A5161"/>
    <w:rsid w:val="008C54C3"/>
    <w:rsid w:val="00914E05"/>
    <w:rsid w:val="0091636B"/>
    <w:rsid w:val="00933D2C"/>
    <w:rsid w:val="00941476"/>
    <w:rsid w:val="009612CE"/>
    <w:rsid w:val="009719C2"/>
    <w:rsid w:val="009826E3"/>
    <w:rsid w:val="00987CC6"/>
    <w:rsid w:val="00993F3D"/>
    <w:rsid w:val="009A7417"/>
    <w:rsid w:val="009C2F3F"/>
    <w:rsid w:val="009C5E2D"/>
    <w:rsid w:val="00A02F9A"/>
    <w:rsid w:val="00A47BED"/>
    <w:rsid w:val="00A60D7D"/>
    <w:rsid w:val="00A6309B"/>
    <w:rsid w:val="00A660D8"/>
    <w:rsid w:val="00A705EB"/>
    <w:rsid w:val="00A77A87"/>
    <w:rsid w:val="00A81866"/>
    <w:rsid w:val="00A877DD"/>
    <w:rsid w:val="00A9063F"/>
    <w:rsid w:val="00A91B17"/>
    <w:rsid w:val="00AA3B31"/>
    <w:rsid w:val="00AA3F6C"/>
    <w:rsid w:val="00AA55DA"/>
    <w:rsid w:val="00AB7D27"/>
    <w:rsid w:val="00AD282C"/>
    <w:rsid w:val="00AE5B92"/>
    <w:rsid w:val="00B151C6"/>
    <w:rsid w:val="00B302D3"/>
    <w:rsid w:val="00B42C45"/>
    <w:rsid w:val="00B64B09"/>
    <w:rsid w:val="00B725BD"/>
    <w:rsid w:val="00BA7A1E"/>
    <w:rsid w:val="00BA7AF7"/>
    <w:rsid w:val="00BB4FDF"/>
    <w:rsid w:val="00BE35DE"/>
    <w:rsid w:val="00BE7275"/>
    <w:rsid w:val="00BF4F38"/>
    <w:rsid w:val="00C10F6F"/>
    <w:rsid w:val="00C139A5"/>
    <w:rsid w:val="00C203B6"/>
    <w:rsid w:val="00C21CEF"/>
    <w:rsid w:val="00C33219"/>
    <w:rsid w:val="00C34EF5"/>
    <w:rsid w:val="00C93F62"/>
    <w:rsid w:val="00CB2E5D"/>
    <w:rsid w:val="00CB4F06"/>
    <w:rsid w:val="00CD0A86"/>
    <w:rsid w:val="00CD4CF2"/>
    <w:rsid w:val="00D0412E"/>
    <w:rsid w:val="00D173B3"/>
    <w:rsid w:val="00D22A7B"/>
    <w:rsid w:val="00D2728C"/>
    <w:rsid w:val="00D42D70"/>
    <w:rsid w:val="00D56640"/>
    <w:rsid w:val="00D81C08"/>
    <w:rsid w:val="00DA0F6C"/>
    <w:rsid w:val="00DA53FA"/>
    <w:rsid w:val="00DE0F85"/>
    <w:rsid w:val="00DE5A8F"/>
    <w:rsid w:val="00E030B3"/>
    <w:rsid w:val="00E15301"/>
    <w:rsid w:val="00E21A72"/>
    <w:rsid w:val="00E819B2"/>
    <w:rsid w:val="00EE1B88"/>
    <w:rsid w:val="00EE7DD6"/>
    <w:rsid w:val="00EF3EFD"/>
    <w:rsid w:val="00F047A8"/>
    <w:rsid w:val="00F259D9"/>
    <w:rsid w:val="00F4080C"/>
    <w:rsid w:val="00F41E8B"/>
    <w:rsid w:val="00F42F97"/>
    <w:rsid w:val="00F66E90"/>
    <w:rsid w:val="00F83D92"/>
    <w:rsid w:val="00FA70AD"/>
    <w:rsid w:val="00FB0F26"/>
    <w:rsid w:val="00FB7474"/>
    <w:rsid w:val="00FD78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531785-8465-4ED9-AF08-CA473E99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00149A"/>
    <w:pPr>
      <w:spacing w:before="100" w:beforeAutospacing="1" w:after="100" w:afterAutospacing="1"/>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E030B3"/>
    <w:pPr>
      <w:spacing w:before="0" w:beforeAutospacing="0" w:after="0" w:afterAutospacing="0"/>
      <w:ind w:left="720"/>
      <w:contextualSpacing/>
    </w:pPr>
  </w:style>
  <w:style w:type="paragraph" w:customStyle="1" w:styleId="doc-ti">
    <w:name w:val="doc-ti"/>
    <w:basedOn w:val="Normlny"/>
    <w:rsid w:val="001B1ED9"/>
  </w:style>
  <w:style w:type="paragraph" w:customStyle="1" w:styleId="normal1">
    <w:name w:val="normal1"/>
    <w:basedOn w:val="Normlny"/>
    <w:rsid w:val="0054175A"/>
    <w:pPr>
      <w:spacing w:before="120" w:beforeAutospacing="0" w:after="0" w:afterAutospacing="0" w:line="312" w:lineRule="atLeast"/>
      <w:jc w:val="both"/>
    </w:pPr>
  </w:style>
  <w:style w:type="paragraph" w:styleId="Bezriadkovania">
    <w:name w:val="No Spacing"/>
    <w:uiPriority w:val="1"/>
    <w:qFormat/>
    <w:rsid w:val="00863627"/>
    <w:pPr>
      <w:spacing w:beforeAutospacing="1" w:afterAutospacing="1"/>
    </w:pPr>
    <w:rPr>
      <w:sz w:val="24"/>
      <w:szCs w:val="24"/>
    </w:rPr>
  </w:style>
  <w:style w:type="paragraph" w:styleId="Nzov">
    <w:name w:val="Title"/>
    <w:aliases w:val="Char Char Char Char,Char Char Char"/>
    <w:basedOn w:val="Normlny"/>
    <w:link w:val="NzovChar"/>
    <w:uiPriority w:val="99"/>
    <w:rsid w:val="00CB4F06"/>
    <w:pPr>
      <w:spacing w:before="0" w:beforeAutospacing="0" w:after="160" w:afterAutospacing="0" w:line="240" w:lineRule="exact"/>
    </w:pPr>
    <w:rPr>
      <w:rFonts w:ascii="Tahoma" w:hAnsi="Tahoma" w:cs="Tahoma"/>
      <w:sz w:val="20"/>
      <w:szCs w:val="20"/>
      <w:lang w:val="en-US" w:eastAsia="en-US"/>
    </w:rPr>
  </w:style>
  <w:style w:type="character" w:customStyle="1" w:styleId="NzovChar">
    <w:name w:val="Názov Char"/>
    <w:aliases w:val="Char Char Char Char Char,Char Char Char Char1"/>
    <w:link w:val="Nzov"/>
    <w:uiPriority w:val="99"/>
    <w:locked/>
    <w:rsid w:val="00CB4F06"/>
    <w:rPr>
      <w:rFonts w:ascii="Tahoma" w:hAnsi="Tahoma" w:cs="Tahoma"/>
      <w:sz w:val="20"/>
      <w:szCs w:val="20"/>
      <w:lang w:val="en-US" w:eastAsia="en-US"/>
    </w:rPr>
  </w:style>
  <w:style w:type="paragraph" w:styleId="Textbubliny">
    <w:name w:val="Balloon Text"/>
    <w:basedOn w:val="Normlny"/>
    <w:link w:val="TextbublinyChar"/>
    <w:uiPriority w:val="99"/>
    <w:rsid w:val="00CD4CF2"/>
    <w:pPr>
      <w:spacing w:before="0" w:after="0"/>
    </w:pPr>
    <w:rPr>
      <w:rFonts w:ascii="Segoe UI" w:hAnsi="Segoe UI" w:cs="Segoe UI"/>
      <w:sz w:val="18"/>
      <w:szCs w:val="18"/>
    </w:rPr>
  </w:style>
  <w:style w:type="character" w:customStyle="1" w:styleId="TextbublinyChar">
    <w:name w:val="Text bubliny Char"/>
    <w:link w:val="Textbubliny"/>
    <w:uiPriority w:val="99"/>
    <w:locked/>
    <w:rsid w:val="00CD4CF2"/>
    <w:rPr>
      <w:rFonts w:ascii="Segoe UI" w:hAnsi="Segoe UI" w:cs="Segoe UI"/>
      <w:sz w:val="18"/>
      <w:szCs w:val="18"/>
    </w:rPr>
  </w:style>
  <w:style w:type="paragraph" w:customStyle="1" w:styleId="tlArialNarrow10ptPodaokraja">
    <w:name w:val="Štýl Arial Narrow 10 pt Podľa okraja"/>
    <w:basedOn w:val="Normlny"/>
    <w:rsid w:val="00CD4CF2"/>
    <w:pPr>
      <w:autoSpaceDE w:val="0"/>
      <w:autoSpaceDN w:val="0"/>
      <w:spacing w:before="0" w:beforeAutospacing="0" w:after="0" w:afterAutospacing="0"/>
      <w:jc w:val="both"/>
    </w:pPr>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28055">
      <w:marLeft w:val="0"/>
      <w:marRight w:val="0"/>
      <w:marTop w:val="0"/>
      <w:marBottom w:val="0"/>
      <w:divBdr>
        <w:top w:val="none" w:sz="0" w:space="0" w:color="auto"/>
        <w:left w:val="none" w:sz="0" w:space="0" w:color="auto"/>
        <w:bottom w:val="none" w:sz="0" w:space="0" w:color="auto"/>
        <w:right w:val="none" w:sz="0" w:space="0" w:color="auto"/>
      </w:divBdr>
      <w:divsChild>
        <w:div w:id="359628049">
          <w:marLeft w:val="0"/>
          <w:marRight w:val="0"/>
          <w:marTop w:val="0"/>
          <w:marBottom w:val="0"/>
          <w:divBdr>
            <w:top w:val="none" w:sz="0" w:space="0" w:color="auto"/>
            <w:left w:val="none" w:sz="0" w:space="0" w:color="auto"/>
            <w:bottom w:val="none" w:sz="0" w:space="0" w:color="auto"/>
            <w:right w:val="none" w:sz="0" w:space="0" w:color="auto"/>
          </w:divBdr>
          <w:divsChild>
            <w:div w:id="359628100">
              <w:marLeft w:val="0"/>
              <w:marRight w:val="0"/>
              <w:marTop w:val="0"/>
              <w:marBottom w:val="0"/>
              <w:divBdr>
                <w:top w:val="none" w:sz="0" w:space="0" w:color="auto"/>
                <w:left w:val="none" w:sz="0" w:space="0" w:color="auto"/>
                <w:bottom w:val="none" w:sz="0" w:space="0" w:color="auto"/>
                <w:right w:val="none" w:sz="0" w:space="0" w:color="auto"/>
              </w:divBdr>
              <w:divsChild>
                <w:div w:id="359628094">
                  <w:marLeft w:val="0"/>
                  <w:marRight w:val="0"/>
                  <w:marTop w:val="0"/>
                  <w:marBottom w:val="0"/>
                  <w:divBdr>
                    <w:top w:val="none" w:sz="0" w:space="0" w:color="auto"/>
                    <w:left w:val="none" w:sz="0" w:space="0" w:color="auto"/>
                    <w:bottom w:val="none" w:sz="0" w:space="0" w:color="auto"/>
                    <w:right w:val="none" w:sz="0" w:space="0" w:color="auto"/>
                  </w:divBdr>
                  <w:divsChild>
                    <w:div w:id="359628054">
                      <w:marLeft w:val="-150"/>
                      <w:marRight w:val="-150"/>
                      <w:marTop w:val="0"/>
                      <w:marBottom w:val="0"/>
                      <w:divBdr>
                        <w:top w:val="none" w:sz="0" w:space="0" w:color="auto"/>
                        <w:left w:val="none" w:sz="0" w:space="0" w:color="auto"/>
                        <w:bottom w:val="none" w:sz="0" w:space="0" w:color="auto"/>
                        <w:right w:val="none" w:sz="0" w:space="0" w:color="auto"/>
                      </w:divBdr>
                      <w:divsChild>
                        <w:div w:id="359628053">
                          <w:marLeft w:val="0"/>
                          <w:marRight w:val="0"/>
                          <w:marTop w:val="0"/>
                          <w:marBottom w:val="0"/>
                          <w:divBdr>
                            <w:top w:val="none" w:sz="0" w:space="0" w:color="auto"/>
                            <w:left w:val="none" w:sz="0" w:space="0" w:color="auto"/>
                            <w:bottom w:val="none" w:sz="0" w:space="0" w:color="auto"/>
                            <w:right w:val="none" w:sz="0" w:space="0" w:color="auto"/>
                          </w:divBdr>
                          <w:divsChild>
                            <w:div w:id="359628058">
                              <w:marLeft w:val="0"/>
                              <w:marRight w:val="0"/>
                              <w:marTop w:val="0"/>
                              <w:marBottom w:val="0"/>
                              <w:divBdr>
                                <w:top w:val="none" w:sz="0" w:space="0" w:color="auto"/>
                                <w:left w:val="none" w:sz="0" w:space="0" w:color="auto"/>
                                <w:bottom w:val="none" w:sz="0" w:space="0" w:color="auto"/>
                                <w:right w:val="none" w:sz="0" w:space="0" w:color="auto"/>
                              </w:divBdr>
                              <w:divsChild>
                                <w:div w:id="359628056">
                                  <w:marLeft w:val="0"/>
                                  <w:marRight w:val="0"/>
                                  <w:marTop w:val="0"/>
                                  <w:marBottom w:val="300"/>
                                  <w:divBdr>
                                    <w:top w:val="none" w:sz="0" w:space="0" w:color="auto"/>
                                    <w:left w:val="none" w:sz="0" w:space="0" w:color="auto"/>
                                    <w:bottom w:val="none" w:sz="0" w:space="0" w:color="auto"/>
                                    <w:right w:val="none" w:sz="0" w:space="0" w:color="auto"/>
                                  </w:divBdr>
                                  <w:divsChild>
                                    <w:div w:id="359628096">
                                      <w:marLeft w:val="0"/>
                                      <w:marRight w:val="0"/>
                                      <w:marTop w:val="0"/>
                                      <w:marBottom w:val="0"/>
                                      <w:divBdr>
                                        <w:top w:val="none" w:sz="0" w:space="0" w:color="auto"/>
                                        <w:left w:val="none" w:sz="0" w:space="0" w:color="auto"/>
                                        <w:bottom w:val="none" w:sz="0" w:space="0" w:color="auto"/>
                                        <w:right w:val="none" w:sz="0" w:space="0" w:color="auto"/>
                                      </w:divBdr>
                                      <w:divsChild>
                                        <w:div w:id="359628047">
                                          <w:marLeft w:val="0"/>
                                          <w:marRight w:val="0"/>
                                          <w:marTop w:val="0"/>
                                          <w:marBottom w:val="0"/>
                                          <w:divBdr>
                                            <w:top w:val="none" w:sz="0" w:space="0" w:color="auto"/>
                                            <w:left w:val="none" w:sz="0" w:space="0" w:color="auto"/>
                                            <w:bottom w:val="none" w:sz="0" w:space="0" w:color="auto"/>
                                            <w:right w:val="none" w:sz="0" w:space="0" w:color="auto"/>
                                          </w:divBdr>
                                          <w:divsChild>
                                            <w:div w:id="359628095">
                                              <w:marLeft w:val="0"/>
                                              <w:marRight w:val="0"/>
                                              <w:marTop w:val="0"/>
                                              <w:marBottom w:val="0"/>
                                              <w:divBdr>
                                                <w:top w:val="none" w:sz="0" w:space="0" w:color="auto"/>
                                                <w:left w:val="none" w:sz="0" w:space="0" w:color="auto"/>
                                                <w:bottom w:val="none" w:sz="0" w:space="0" w:color="auto"/>
                                                <w:right w:val="none" w:sz="0" w:space="0" w:color="auto"/>
                                              </w:divBdr>
                                              <w:divsChild>
                                                <w:div w:id="359628051">
                                                  <w:marLeft w:val="0"/>
                                                  <w:marRight w:val="0"/>
                                                  <w:marTop w:val="0"/>
                                                  <w:marBottom w:val="0"/>
                                                  <w:divBdr>
                                                    <w:top w:val="none" w:sz="0" w:space="0" w:color="auto"/>
                                                    <w:left w:val="none" w:sz="0" w:space="0" w:color="auto"/>
                                                    <w:bottom w:val="none" w:sz="0" w:space="0" w:color="auto"/>
                                                    <w:right w:val="none" w:sz="0" w:space="0" w:color="auto"/>
                                                  </w:divBdr>
                                                  <w:divsChild>
                                                    <w:div w:id="359628048">
                                                      <w:marLeft w:val="0"/>
                                                      <w:marRight w:val="0"/>
                                                      <w:marTop w:val="0"/>
                                                      <w:marBottom w:val="0"/>
                                                      <w:divBdr>
                                                        <w:top w:val="none" w:sz="0" w:space="0" w:color="auto"/>
                                                        <w:left w:val="none" w:sz="0" w:space="0" w:color="auto"/>
                                                        <w:bottom w:val="none" w:sz="0" w:space="0" w:color="auto"/>
                                                        <w:right w:val="none" w:sz="0" w:space="0" w:color="auto"/>
                                                      </w:divBdr>
                                                      <w:divsChild>
                                                        <w:div w:id="359628099">
                                                          <w:marLeft w:val="0"/>
                                                          <w:marRight w:val="0"/>
                                                          <w:marTop w:val="0"/>
                                                          <w:marBottom w:val="0"/>
                                                          <w:divBdr>
                                                            <w:top w:val="none" w:sz="0" w:space="0" w:color="auto"/>
                                                            <w:left w:val="none" w:sz="0" w:space="0" w:color="auto"/>
                                                            <w:bottom w:val="none" w:sz="0" w:space="0" w:color="auto"/>
                                                            <w:right w:val="none" w:sz="0" w:space="0" w:color="auto"/>
                                                          </w:divBdr>
                                                          <w:divsChild>
                                                            <w:div w:id="359628050">
                                                              <w:marLeft w:val="0"/>
                                                              <w:marRight w:val="0"/>
                                                              <w:marTop w:val="0"/>
                                                              <w:marBottom w:val="0"/>
                                                              <w:divBdr>
                                                                <w:top w:val="none" w:sz="0" w:space="0" w:color="auto"/>
                                                                <w:left w:val="none" w:sz="0" w:space="0" w:color="auto"/>
                                                                <w:bottom w:val="none" w:sz="0" w:space="0" w:color="auto"/>
                                                                <w:right w:val="none" w:sz="0" w:space="0" w:color="auto"/>
                                                              </w:divBdr>
                                                              <w:divsChild>
                                                                <w:div w:id="359628057">
                                                                  <w:marLeft w:val="0"/>
                                                                  <w:marRight w:val="0"/>
                                                                  <w:marTop w:val="0"/>
                                                                  <w:marBottom w:val="0"/>
                                                                  <w:divBdr>
                                                                    <w:top w:val="none" w:sz="0" w:space="0" w:color="auto"/>
                                                                    <w:left w:val="none" w:sz="0" w:space="0" w:color="auto"/>
                                                                    <w:bottom w:val="none" w:sz="0" w:space="0" w:color="auto"/>
                                                                    <w:right w:val="none" w:sz="0" w:space="0" w:color="auto"/>
                                                                  </w:divBdr>
                                                                  <w:divsChild>
                                                                    <w:div w:id="359628098">
                                                                      <w:marLeft w:val="0"/>
                                                                      <w:marRight w:val="0"/>
                                                                      <w:marTop w:val="0"/>
                                                                      <w:marBottom w:val="0"/>
                                                                      <w:divBdr>
                                                                        <w:top w:val="none" w:sz="0" w:space="0" w:color="auto"/>
                                                                        <w:left w:val="none" w:sz="0" w:space="0" w:color="auto"/>
                                                                        <w:bottom w:val="none" w:sz="0" w:space="0" w:color="auto"/>
                                                                        <w:right w:val="none" w:sz="0" w:space="0" w:color="auto"/>
                                                                      </w:divBdr>
                                                                      <w:divsChild>
                                                                        <w:div w:id="359628052">
                                                                          <w:marLeft w:val="0"/>
                                                                          <w:marRight w:val="0"/>
                                                                          <w:marTop w:val="0"/>
                                                                          <w:marBottom w:val="0"/>
                                                                          <w:divBdr>
                                                                            <w:top w:val="none" w:sz="0" w:space="0" w:color="auto"/>
                                                                            <w:left w:val="none" w:sz="0" w:space="0" w:color="auto"/>
                                                                            <w:bottom w:val="none" w:sz="0" w:space="0" w:color="auto"/>
                                                                            <w:right w:val="none" w:sz="0" w:space="0" w:color="auto"/>
                                                                          </w:divBdr>
                                                                        </w:div>
                                                                        <w:div w:id="3596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628076">
      <w:marLeft w:val="0"/>
      <w:marRight w:val="0"/>
      <w:marTop w:val="0"/>
      <w:marBottom w:val="0"/>
      <w:divBdr>
        <w:top w:val="none" w:sz="0" w:space="0" w:color="auto"/>
        <w:left w:val="none" w:sz="0" w:space="0" w:color="auto"/>
        <w:bottom w:val="none" w:sz="0" w:space="0" w:color="auto"/>
        <w:right w:val="none" w:sz="0" w:space="0" w:color="auto"/>
      </w:divBdr>
    </w:div>
    <w:div w:id="359628077">
      <w:marLeft w:val="0"/>
      <w:marRight w:val="0"/>
      <w:marTop w:val="0"/>
      <w:marBottom w:val="0"/>
      <w:divBdr>
        <w:top w:val="none" w:sz="0" w:space="0" w:color="auto"/>
        <w:left w:val="none" w:sz="0" w:space="0" w:color="auto"/>
        <w:bottom w:val="none" w:sz="0" w:space="0" w:color="auto"/>
        <w:right w:val="none" w:sz="0" w:space="0" w:color="auto"/>
      </w:divBdr>
    </w:div>
    <w:div w:id="359628078">
      <w:marLeft w:val="0"/>
      <w:marRight w:val="0"/>
      <w:marTop w:val="0"/>
      <w:marBottom w:val="0"/>
      <w:divBdr>
        <w:top w:val="none" w:sz="0" w:space="0" w:color="auto"/>
        <w:left w:val="none" w:sz="0" w:space="0" w:color="auto"/>
        <w:bottom w:val="none" w:sz="0" w:space="0" w:color="auto"/>
        <w:right w:val="none" w:sz="0" w:space="0" w:color="auto"/>
      </w:divBdr>
      <w:divsChild>
        <w:div w:id="359628079">
          <w:marLeft w:val="480"/>
          <w:marRight w:val="0"/>
          <w:marTop w:val="0"/>
          <w:marBottom w:val="0"/>
          <w:divBdr>
            <w:top w:val="none" w:sz="0" w:space="0" w:color="auto"/>
            <w:left w:val="none" w:sz="0" w:space="0" w:color="auto"/>
            <w:bottom w:val="none" w:sz="0" w:space="0" w:color="auto"/>
            <w:right w:val="none" w:sz="0" w:space="0" w:color="auto"/>
          </w:divBdr>
        </w:div>
        <w:div w:id="359628082">
          <w:marLeft w:val="480"/>
          <w:marRight w:val="0"/>
          <w:marTop w:val="0"/>
          <w:marBottom w:val="0"/>
          <w:divBdr>
            <w:top w:val="none" w:sz="0" w:space="0" w:color="auto"/>
            <w:left w:val="none" w:sz="0" w:space="0" w:color="auto"/>
            <w:bottom w:val="none" w:sz="0" w:space="0" w:color="auto"/>
            <w:right w:val="none" w:sz="0" w:space="0" w:color="auto"/>
          </w:divBdr>
        </w:div>
      </w:divsChild>
    </w:div>
    <w:div w:id="359628083">
      <w:marLeft w:val="0"/>
      <w:marRight w:val="0"/>
      <w:marTop w:val="0"/>
      <w:marBottom w:val="0"/>
      <w:divBdr>
        <w:top w:val="none" w:sz="0" w:space="0" w:color="auto"/>
        <w:left w:val="none" w:sz="0" w:space="0" w:color="auto"/>
        <w:bottom w:val="none" w:sz="0" w:space="0" w:color="auto"/>
        <w:right w:val="none" w:sz="0" w:space="0" w:color="auto"/>
      </w:divBdr>
      <w:divsChild>
        <w:div w:id="359628080">
          <w:marLeft w:val="480"/>
          <w:marRight w:val="0"/>
          <w:marTop w:val="0"/>
          <w:marBottom w:val="0"/>
          <w:divBdr>
            <w:top w:val="none" w:sz="0" w:space="0" w:color="auto"/>
            <w:left w:val="none" w:sz="0" w:space="0" w:color="auto"/>
            <w:bottom w:val="none" w:sz="0" w:space="0" w:color="auto"/>
            <w:right w:val="none" w:sz="0" w:space="0" w:color="auto"/>
          </w:divBdr>
        </w:div>
        <w:div w:id="359628081">
          <w:marLeft w:val="480"/>
          <w:marRight w:val="0"/>
          <w:marTop w:val="0"/>
          <w:marBottom w:val="0"/>
          <w:divBdr>
            <w:top w:val="none" w:sz="0" w:space="0" w:color="auto"/>
            <w:left w:val="none" w:sz="0" w:space="0" w:color="auto"/>
            <w:bottom w:val="none" w:sz="0" w:space="0" w:color="auto"/>
            <w:right w:val="none" w:sz="0" w:space="0" w:color="auto"/>
          </w:divBdr>
        </w:div>
      </w:divsChild>
    </w:div>
    <w:div w:id="359628084">
      <w:marLeft w:val="0"/>
      <w:marRight w:val="0"/>
      <w:marTop w:val="0"/>
      <w:marBottom w:val="0"/>
      <w:divBdr>
        <w:top w:val="none" w:sz="0" w:space="0" w:color="auto"/>
        <w:left w:val="none" w:sz="0" w:space="0" w:color="auto"/>
        <w:bottom w:val="none" w:sz="0" w:space="0" w:color="auto"/>
        <w:right w:val="none" w:sz="0" w:space="0" w:color="auto"/>
      </w:divBdr>
    </w:div>
    <w:div w:id="359628085">
      <w:marLeft w:val="0"/>
      <w:marRight w:val="0"/>
      <w:marTop w:val="0"/>
      <w:marBottom w:val="0"/>
      <w:divBdr>
        <w:top w:val="none" w:sz="0" w:space="0" w:color="auto"/>
        <w:left w:val="none" w:sz="0" w:space="0" w:color="auto"/>
        <w:bottom w:val="none" w:sz="0" w:space="0" w:color="auto"/>
        <w:right w:val="none" w:sz="0" w:space="0" w:color="auto"/>
      </w:divBdr>
    </w:div>
    <w:div w:id="359628091">
      <w:marLeft w:val="0"/>
      <w:marRight w:val="0"/>
      <w:marTop w:val="0"/>
      <w:marBottom w:val="0"/>
      <w:divBdr>
        <w:top w:val="none" w:sz="0" w:space="0" w:color="auto"/>
        <w:left w:val="none" w:sz="0" w:space="0" w:color="auto"/>
        <w:bottom w:val="none" w:sz="0" w:space="0" w:color="auto"/>
        <w:right w:val="none" w:sz="0" w:space="0" w:color="auto"/>
      </w:divBdr>
      <w:divsChild>
        <w:div w:id="359628088">
          <w:marLeft w:val="0"/>
          <w:marRight w:val="0"/>
          <w:marTop w:val="100"/>
          <w:marBottom w:val="100"/>
          <w:divBdr>
            <w:top w:val="none" w:sz="0" w:space="0" w:color="auto"/>
            <w:left w:val="none" w:sz="0" w:space="0" w:color="auto"/>
            <w:bottom w:val="none" w:sz="0" w:space="0" w:color="auto"/>
            <w:right w:val="none" w:sz="0" w:space="0" w:color="auto"/>
          </w:divBdr>
          <w:divsChild>
            <w:div w:id="359628090">
              <w:marLeft w:val="0"/>
              <w:marRight w:val="0"/>
              <w:marTop w:val="225"/>
              <w:marBottom w:val="750"/>
              <w:divBdr>
                <w:top w:val="none" w:sz="0" w:space="0" w:color="auto"/>
                <w:left w:val="none" w:sz="0" w:space="0" w:color="auto"/>
                <w:bottom w:val="none" w:sz="0" w:space="0" w:color="auto"/>
                <w:right w:val="none" w:sz="0" w:space="0" w:color="auto"/>
              </w:divBdr>
              <w:divsChild>
                <w:div w:id="359628092">
                  <w:marLeft w:val="0"/>
                  <w:marRight w:val="0"/>
                  <w:marTop w:val="0"/>
                  <w:marBottom w:val="0"/>
                  <w:divBdr>
                    <w:top w:val="none" w:sz="0" w:space="0" w:color="auto"/>
                    <w:left w:val="none" w:sz="0" w:space="0" w:color="auto"/>
                    <w:bottom w:val="none" w:sz="0" w:space="0" w:color="auto"/>
                    <w:right w:val="none" w:sz="0" w:space="0" w:color="auto"/>
                  </w:divBdr>
                  <w:divsChild>
                    <w:div w:id="359628067">
                      <w:marLeft w:val="0"/>
                      <w:marRight w:val="0"/>
                      <w:marTop w:val="0"/>
                      <w:marBottom w:val="0"/>
                      <w:divBdr>
                        <w:top w:val="none" w:sz="0" w:space="0" w:color="auto"/>
                        <w:left w:val="none" w:sz="0" w:space="0" w:color="auto"/>
                        <w:bottom w:val="none" w:sz="0" w:space="0" w:color="auto"/>
                        <w:right w:val="none" w:sz="0" w:space="0" w:color="auto"/>
                      </w:divBdr>
                      <w:divsChild>
                        <w:div w:id="359628086">
                          <w:marLeft w:val="0"/>
                          <w:marRight w:val="0"/>
                          <w:marTop w:val="0"/>
                          <w:marBottom w:val="0"/>
                          <w:divBdr>
                            <w:top w:val="none" w:sz="0" w:space="0" w:color="auto"/>
                            <w:left w:val="none" w:sz="0" w:space="0" w:color="auto"/>
                            <w:bottom w:val="none" w:sz="0" w:space="0" w:color="auto"/>
                            <w:right w:val="none" w:sz="0" w:space="0" w:color="auto"/>
                          </w:divBdr>
                          <w:divsChild>
                            <w:div w:id="359628064">
                              <w:marLeft w:val="0"/>
                              <w:marRight w:val="0"/>
                              <w:marTop w:val="0"/>
                              <w:marBottom w:val="0"/>
                              <w:divBdr>
                                <w:top w:val="none" w:sz="0" w:space="0" w:color="auto"/>
                                <w:left w:val="none" w:sz="0" w:space="0" w:color="auto"/>
                                <w:bottom w:val="none" w:sz="0" w:space="0" w:color="auto"/>
                                <w:right w:val="none" w:sz="0" w:space="0" w:color="auto"/>
                              </w:divBdr>
                              <w:divsChild>
                                <w:div w:id="359628071">
                                  <w:marLeft w:val="0"/>
                                  <w:marRight w:val="0"/>
                                  <w:marTop w:val="0"/>
                                  <w:marBottom w:val="0"/>
                                  <w:divBdr>
                                    <w:top w:val="none" w:sz="0" w:space="0" w:color="auto"/>
                                    <w:left w:val="none" w:sz="0" w:space="0" w:color="auto"/>
                                    <w:bottom w:val="none" w:sz="0" w:space="0" w:color="auto"/>
                                    <w:right w:val="none" w:sz="0" w:space="0" w:color="auto"/>
                                  </w:divBdr>
                                  <w:divsChild>
                                    <w:div w:id="359628063">
                                      <w:marLeft w:val="0"/>
                                      <w:marRight w:val="0"/>
                                      <w:marTop w:val="0"/>
                                      <w:marBottom w:val="0"/>
                                      <w:divBdr>
                                        <w:top w:val="none" w:sz="0" w:space="0" w:color="auto"/>
                                        <w:left w:val="none" w:sz="0" w:space="0" w:color="auto"/>
                                        <w:bottom w:val="none" w:sz="0" w:space="0" w:color="auto"/>
                                        <w:right w:val="none" w:sz="0" w:space="0" w:color="auto"/>
                                      </w:divBdr>
                                      <w:divsChild>
                                        <w:div w:id="359628072">
                                          <w:marLeft w:val="0"/>
                                          <w:marRight w:val="0"/>
                                          <w:marTop w:val="0"/>
                                          <w:marBottom w:val="0"/>
                                          <w:divBdr>
                                            <w:top w:val="none" w:sz="0" w:space="0" w:color="auto"/>
                                            <w:left w:val="none" w:sz="0" w:space="0" w:color="auto"/>
                                            <w:bottom w:val="none" w:sz="0" w:space="0" w:color="auto"/>
                                            <w:right w:val="none" w:sz="0" w:space="0" w:color="auto"/>
                                          </w:divBdr>
                                          <w:divsChild>
                                            <w:div w:id="359628089">
                                              <w:marLeft w:val="0"/>
                                              <w:marRight w:val="0"/>
                                              <w:marTop w:val="0"/>
                                              <w:marBottom w:val="0"/>
                                              <w:divBdr>
                                                <w:top w:val="none" w:sz="0" w:space="0" w:color="auto"/>
                                                <w:left w:val="none" w:sz="0" w:space="0" w:color="auto"/>
                                                <w:bottom w:val="none" w:sz="0" w:space="0" w:color="auto"/>
                                                <w:right w:val="none" w:sz="0" w:space="0" w:color="auto"/>
                                              </w:divBdr>
                                              <w:divsChild>
                                                <w:div w:id="359628061">
                                                  <w:marLeft w:val="0"/>
                                                  <w:marRight w:val="0"/>
                                                  <w:marTop w:val="0"/>
                                                  <w:marBottom w:val="0"/>
                                                  <w:divBdr>
                                                    <w:top w:val="none" w:sz="0" w:space="0" w:color="auto"/>
                                                    <w:left w:val="none" w:sz="0" w:space="0" w:color="auto"/>
                                                    <w:bottom w:val="none" w:sz="0" w:space="0" w:color="auto"/>
                                                    <w:right w:val="none" w:sz="0" w:space="0" w:color="auto"/>
                                                  </w:divBdr>
                                                  <w:divsChild>
                                                    <w:div w:id="359628070">
                                                      <w:marLeft w:val="0"/>
                                                      <w:marRight w:val="0"/>
                                                      <w:marTop w:val="0"/>
                                                      <w:marBottom w:val="0"/>
                                                      <w:divBdr>
                                                        <w:top w:val="none" w:sz="0" w:space="0" w:color="auto"/>
                                                        <w:left w:val="none" w:sz="0" w:space="0" w:color="auto"/>
                                                        <w:bottom w:val="none" w:sz="0" w:space="0" w:color="auto"/>
                                                        <w:right w:val="none" w:sz="0" w:space="0" w:color="auto"/>
                                                      </w:divBdr>
                                                      <w:divsChild>
                                                        <w:div w:id="359628059">
                                                          <w:marLeft w:val="0"/>
                                                          <w:marRight w:val="0"/>
                                                          <w:marTop w:val="0"/>
                                                          <w:marBottom w:val="0"/>
                                                          <w:divBdr>
                                                            <w:top w:val="none" w:sz="0" w:space="0" w:color="auto"/>
                                                            <w:left w:val="none" w:sz="0" w:space="0" w:color="auto"/>
                                                            <w:bottom w:val="none" w:sz="0" w:space="0" w:color="auto"/>
                                                            <w:right w:val="none" w:sz="0" w:space="0" w:color="auto"/>
                                                          </w:divBdr>
                                                          <w:divsChild>
                                                            <w:div w:id="359628060">
                                                              <w:marLeft w:val="0"/>
                                                              <w:marRight w:val="0"/>
                                                              <w:marTop w:val="0"/>
                                                              <w:marBottom w:val="0"/>
                                                              <w:divBdr>
                                                                <w:top w:val="none" w:sz="0" w:space="0" w:color="auto"/>
                                                                <w:left w:val="none" w:sz="0" w:space="0" w:color="auto"/>
                                                                <w:bottom w:val="none" w:sz="0" w:space="0" w:color="auto"/>
                                                                <w:right w:val="none" w:sz="0" w:space="0" w:color="auto"/>
                                                              </w:divBdr>
                                                            </w:div>
                                                            <w:div w:id="359628066">
                                                              <w:marLeft w:val="0"/>
                                                              <w:marRight w:val="0"/>
                                                              <w:marTop w:val="0"/>
                                                              <w:marBottom w:val="0"/>
                                                              <w:divBdr>
                                                                <w:top w:val="none" w:sz="0" w:space="0" w:color="auto"/>
                                                                <w:left w:val="none" w:sz="0" w:space="0" w:color="auto"/>
                                                                <w:bottom w:val="none" w:sz="0" w:space="0" w:color="auto"/>
                                                                <w:right w:val="none" w:sz="0" w:space="0" w:color="auto"/>
                                                              </w:divBdr>
                                                            </w:div>
                                                            <w:div w:id="359628068">
                                                              <w:marLeft w:val="0"/>
                                                              <w:marRight w:val="0"/>
                                                              <w:marTop w:val="0"/>
                                                              <w:marBottom w:val="0"/>
                                                              <w:divBdr>
                                                                <w:top w:val="none" w:sz="0" w:space="0" w:color="auto"/>
                                                                <w:left w:val="none" w:sz="0" w:space="0" w:color="auto"/>
                                                                <w:bottom w:val="none" w:sz="0" w:space="0" w:color="auto"/>
                                                                <w:right w:val="none" w:sz="0" w:space="0" w:color="auto"/>
                                                              </w:divBdr>
                                                              <w:divsChild>
                                                                <w:div w:id="359628065">
                                                                  <w:marLeft w:val="0"/>
                                                                  <w:marRight w:val="0"/>
                                                                  <w:marTop w:val="0"/>
                                                                  <w:marBottom w:val="0"/>
                                                                  <w:divBdr>
                                                                    <w:top w:val="none" w:sz="0" w:space="0" w:color="auto"/>
                                                                    <w:left w:val="none" w:sz="0" w:space="0" w:color="auto"/>
                                                                    <w:bottom w:val="none" w:sz="0" w:space="0" w:color="auto"/>
                                                                    <w:right w:val="none" w:sz="0" w:space="0" w:color="auto"/>
                                                                  </w:divBdr>
                                                                </w:div>
                                                                <w:div w:id="359628087">
                                                                  <w:marLeft w:val="0"/>
                                                                  <w:marRight w:val="0"/>
                                                                  <w:marTop w:val="0"/>
                                                                  <w:marBottom w:val="0"/>
                                                                  <w:divBdr>
                                                                    <w:top w:val="none" w:sz="0" w:space="0" w:color="auto"/>
                                                                    <w:left w:val="none" w:sz="0" w:space="0" w:color="auto"/>
                                                                    <w:bottom w:val="none" w:sz="0" w:space="0" w:color="auto"/>
                                                                    <w:right w:val="none" w:sz="0" w:space="0" w:color="auto"/>
                                                                  </w:divBdr>
                                                                </w:div>
                                                              </w:divsChild>
                                                            </w:div>
                                                            <w:div w:id="359628075">
                                                              <w:marLeft w:val="0"/>
                                                              <w:marRight w:val="0"/>
                                                              <w:marTop w:val="0"/>
                                                              <w:marBottom w:val="0"/>
                                                              <w:divBdr>
                                                                <w:top w:val="none" w:sz="0" w:space="0" w:color="auto"/>
                                                                <w:left w:val="none" w:sz="0" w:space="0" w:color="auto"/>
                                                                <w:bottom w:val="none" w:sz="0" w:space="0" w:color="auto"/>
                                                                <w:right w:val="none" w:sz="0" w:space="0" w:color="auto"/>
                                                              </w:divBdr>
                                                              <w:divsChild>
                                                                <w:div w:id="359628073">
                                                                  <w:marLeft w:val="0"/>
                                                                  <w:marRight w:val="0"/>
                                                                  <w:marTop w:val="0"/>
                                                                  <w:marBottom w:val="0"/>
                                                                  <w:divBdr>
                                                                    <w:top w:val="none" w:sz="0" w:space="0" w:color="auto"/>
                                                                    <w:left w:val="none" w:sz="0" w:space="0" w:color="auto"/>
                                                                    <w:bottom w:val="none" w:sz="0" w:space="0" w:color="auto"/>
                                                                    <w:right w:val="none" w:sz="0" w:space="0" w:color="auto"/>
                                                                  </w:divBdr>
                                                                </w:div>
                                                                <w:div w:id="3596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8062">
                                                          <w:marLeft w:val="0"/>
                                                          <w:marRight w:val="0"/>
                                                          <w:marTop w:val="0"/>
                                                          <w:marBottom w:val="0"/>
                                                          <w:divBdr>
                                                            <w:top w:val="none" w:sz="0" w:space="0" w:color="auto"/>
                                                            <w:left w:val="none" w:sz="0" w:space="0" w:color="auto"/>
                                                            <w:bottom w:val="none" w:sz="0" w:space="0" w:color="auto"/>
                                                            <w:right w:val="none" w:sz="0" w:space="0" w:color="auto"/>
                                                          </w:divBdr>
                                                        </w:div>
                                                        <w:div w:id="3596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628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5729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Danisovic Milan</cp:lastModifiedBy>
  <cp:revision>4</cp:revision>
  <cp:lastPrinted>2020-07-27T07:55:00Z</cp:lastPrinted>
  <dcterms:created xsi:type="dcterms:W3CDTF">2020-10-01T07:26:00Z</dcterms:created>
  <dcterms:modified xsi:type="dcterms:W3CDTF">2020-10-01T07:27:00Z</dcterms:modified>
</cp:coreProperties>
</file>