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696" w:rsidRPr="00A422CF" w:rsidRDefault="001B1696" w:rsidP="001B1696">
      <w:pPr>
        <w:jc w:val="center"/>
        <w:rPr>
          <w:b/>
          <w:caps/>
          <w:color w:val="000000"/>
          <w:spacing w:val="30"/>
        </w:rPr>
      </w:pPr>
      <w:r w:rsidRPr="00A422CF">
        <w:rPr>
          <w:b/>
          <w:caps/>
          <w:color w:val="000000"/>
          <w:spacing w:val="30"/>
        </w:rPr>
        <w:t>Dôvodová správa</w:t>
      </w:r>
    </w:p>
    <w:p w:rsidR="001B1696" w:rsidRPr="00A422CF" w:rsidRDefault="001B1696" w:rsidP="001B1696">
      <w:pPr>
        <w:jc w:val="both"/>
        <w:rPr>
          <w:color w:val="000000"/>
        </w:rPr>
      </w:pPr>
    </w:p>
    <w:p w:rsidR="001B1696" w:rsidRPr="00A422CF" w:rsidRDefault="001B1696" w:rsidP="001B1696">
      <w:pPr>
        <w:jc w:val="both"/>
        <w:rPr>
          <w:color w:val="000000"/>
        </w:rPr>
      </w:pPr>
    </w:p>
    <w:p w:rsidR="001B1696" w:rsidRPr="00A422CF" w:rsidRDefault="001B1696" w:rsidP="001B1696">
      <w:pPr>
        <w:jc w:val="both"/>
        <w:rPr>
          <w:b/>
          <w:color w:val="000000"/>
        </w:rPr>
      </w:pPr>
      <w:r w:rsidRPr="00A422CF">
        <w:rPr>
          <w:b/>
          <w:color w:val="000000"/>
        </w:rPr>
        <w:t>A. Všeobecná časť</w:t>
      </w:r>
    </w:p>
    <w:p w:rsidR="001B1696" w:rsidRDefault="001B1696" w:rsidP="001B1696">
      <w:pPr>
        <w:rPr>
          <w:bCs/>
        </w:rPr>
      </w:pPr>
    </w:p>
    <w:p w:rsidR="00E836BF" w:rsidRPr="0041536D" w:rsidRDefault="00E836BF" w:rsidP="00F007C5">
      <w:pPr>
        <w:pStyle w:val="Zkladntext0"/>
        <w:ind w:firstLine="567"/>
        <w:jc w:val="both"/>
        <w:rPr>
          <w:rFonts w:ascii="Times New Roman" w:hAnsi="Times New Roman" w:cs="Times New Roman"/>
          <w:bCs/>
        </w:rPr>
      </w:pPr>
      <w:r w:rsidRPr="0041536D">
        <w:rPr>
          <w:rFonts w:ascii="Times New Roman" w:hAnsi="Times New Roman" w:cs="Times New Roman"/>
        </w:rPr>
        <w:t xml:space="preserve">Ministerstvo financií Slovenskej republiky predkladá na rokovanie vlády Slovenskej republiky iniciatívny návrh zákona, ktorým sa mení a dopĺňa zákon č. </w:t>
      </w:r>
      <w:r w:rsidR="006A2D1A">
        <w:rPr>
          <w:rFonts w:ascii="Times New Roman" w:hAnsi="Times New Roman" w:cs="Times New Roman"/>
        </w:rPr>
        <w:t xml:space="preserve">98/2004 Z. z. </w:t>
      </w:r>
      <w:r w:rsidR="00F45B35">
        <w:rPr>
          <w:rFonts w:ascii="Times New Roman" w:hAnsi="Times New Roman" w:cs="Times New Roman"/>
        </w:rPr>
        <w:t xml:space="preserve">                          </w:t>
      </w:r>
      <w:r w:rsidRPr="0041536D">
        <w:rPr>
          <w:rFonts w:ascii="Times New Roman" w:hAnsi="Times New Roman" w:cs="Times New Roman"/>
        </w:rPr>
        <w:t>o spotrebnej dani z minerálneho oleja v znení neskorších predpisov</w:t>
      </w:r>
      <w:r w:rsidR="002C58F9">
        <w:rPr>
          <w:rFonts w:ascii="Times New Roman" w:hAnsi="Times New Roman" w:cs="Times New Roman"/>
        </w:rPr>
        <w:t xml:space="preserve"> </w:t>
      </w:r>
      <w:r w:rsidR="002C58F9" w:rsidRPr="002C58F9">
        <w:rPr>
          <w:rFonts w:ascii="Times New Roman" w:hAnsi="Times New Roman" w:cs="Times New Roman"/>
        </w:rPr>
        <w:t xml:space="preserve">a ktorým sa </w:t>
      </w:r>
      <w:r w:rsidR="002C58F9">
        <w:rPr>
          <w:rFonts w:ascii="Times New Roman" w:hAnsi="Times New Roman" w:cs="Times New Roman"/>
        </w:rPr>
        <w:t xml:space="preserve">mení zákon </w:t>
      </w:r>
      <w:r w:rsidR="00DB66E2">
        <w:rPr>
          <w:rFonts w:ascii="Times New Roman" w:hAnsi="Times New Roman" w:cs="Times New Roman"/>
        </w:rPr>
        <w:t xml:space="preserve"> </w:t>
      </w:r>
      <w:r w:rsidR="00F45B35">
        <w:rPr>
          <w:rFonts w:ascii="Times New Roman" w:hAnsi="Times New Roman" w:cs="Times New Roman"/>
        </w:rPr>
        <w:t xml:space="preserve">       </w:t>
      </w:r>
      <w:r w:rsidR="002C58F9" w:rsidRPr="002C58F9">
        <w:rPr>
          <w:rFonts w:ascii="Times New Roman" w:hAnsi="Times New Roman" w:cs="Times New Roman"/>
        </w:rPr>
        <w:t>č. 218/2013 Z. z. o núdzových zásobách ropy a ropných výrobkov a o riešení stavu ropnej núdze a o zmene a doplnení niektorých zákonov v znení neskorších predpisov</w:t>
      </w:r>
      <w:r w:rsidR="0041536D" w:rsidRPr="0041536D">
        <w:rPr>
          <w:rFonts w:ascii="Times New Roman" w:hAnsi="Times New Roman" w:cs="Times New Roman"/>
        </w:rPr>
        <w:t xml:space="preserve"> </w:t>
      </w:r>
      <w:r w:rsidRPr="0041536D">
        <w:rPr>
          <w:rFonts w:ascii="Times New Roman" w:hAnsi="Times New Roman" w:cs="Times New Roman"/>
        </w:rPr>
        <w:t>(ďalej len „návrh zákona“).</w:t>
      </w:r>
    </w:p>
    <w:p w:rsidR="00E836BF" w:rsidRDefault="00E836BF" w:rsidP="00E836BF">
      <w:pPr>
        <w:jc w:val="both"/>
      </w:pPr>
    </w:p>
    <w:p w:rsidR="00633FBD" w:rsidRDefault="00633FBD" w:rsidP="00633FBD">
      <w:pPr>
        <w:pStyle w:val="Zkladntext0"/>
        <w:ind w:firstLine="567"/>
        <w:jc w:val="both"/>
        <w:rPr>
          <w:rFonts w:ascii="Times New Roman" w:hAnsi="Times New Roman" w:cs="Times New Roman"/>
        </w:rPr>
      </w:pPr>
      <w:r>
        <w:rPr>
          <w:rFonts w:ascii="Times New Roman" w:hAnsi="Times New Roman" w:cs="Times New Roman"/>
        </w:rPr>
        <w:t>Cieľom návrhu zákona je:</w:t>
      </w:r>
    </w:p>
    <w:p w:rsidR="00633FBD" w:rsidRDefault="00633FBD" w:rsidP="00633FBD">
      <w:pPr>
        <w:pStyle w:val="Bezriadkovania"/>
        <w:numPr>
          <w:ilvl w:val="0"/>
          <w:numId w:val="4"/>
        </w:numPr>
        <w:ind w:left="567" w:hanging="567"/>
        <w:jc w:val="both"/>
        <w:rPr>
          <w:rFonts w:ascii="Times New Roman" w:hAnsi="Times New Roman"/>
          <w:sz w:val="24"/>
          <w:szCs w:val="24"/>
        </w:rPr>
      </w:pPr>
      <w:r>
        <w:rPr>
          <w:rFonts w:ascii="Times New Roman" w:hAnsi="Times New Roman"/>
          <w:sz w:val="24"/>
          <w:szCs w:val="24"/>
        </w:rPr>
        <w:t>transpozícia smernice Rady (EÚ) 2020/262 z 19. decembra 2019, ktorou sa stanovuje všeobecný systém spotrebných daní (ďalej len „smernica“) do legislatívy Slovenskej republiky,</w:t>
      </w:r>
    </w:p>
    <w:p w:rsidR="00633FBD" w:rsidRPr="007D2883" w:rsidRDefault="00633FBD" w:rsidP="00633FBD">
      <w:pPr>
        <w:pStyle w:val="Odsekzoznamu"/>
        <w:numPr>
          <w:ilvl w:val="0"/>
          <w:numId w:val="4"/>
        </w:numPr>
        <w:spacing w:after="0" w:line="240" w:lineRule="auto"/>
        <w:ind w:left="567" w:hanging="567"/>
        <w:jc w:val="both"/>
        <w:rPr>
          <w:rFonts w:ascii="Times New Roman" w:hAnsi="Times New Roman"/>
          <w:sz w:val="24"/>
          <w:szCs w:val="24"/>
        </w:rPr>
      </w:pPr>
      <w:r w:rsidRPr="005C259E">
        <w:rPr>
          <w:rFonts w:ascii="Times New Roman" w:hAnsi="Times New Roman"/>
          <w:bCs/>
          <w:sz w:val="24"/>
          <w:szCs w:val="24"/>
        </w:rPr>
        <w:t>úprava zákona v súlade s vykonávacím nariadením Komisie (EÚ) 2019/1776 z 9. októbra 2019, kt</w:t>
      </w:r>
      <w:r>
        <w:rPr>
          <w:rFonts w:ascii="Times New Roman" w:hAnsi="Times New Roman"/>
          <w:bCs/>
          <w:sz w:val="24"/>
          <w:szCs w:val="24"/>
        </w:rPr>
        <w:t>orým sa mení príloha I k nariad</w:t>
      </w:r>
      <w:r w:rsidRPr="005C259E">
        <w:rPr>
          <w:rFonts w:ascii="Times New Roman" w:hAnsi="Times New Roman"/>
          <w:bCs/>
          <w:sz w:val="24"/>
          <w:szCs w:val="24"/>
        </w:rPr>
        <w:t>eniu Rady (EHS) č. 2658/87 o colnej a štatistickej nomenklatúre a o Spoločnom colnom sadzobníku</w:t>
      </w:r>
      <w:r>
        <w:rPr>
          <w:rFonts w:ascii="Times New Roman" w:hAnsi="Times New Roman"/>
          <w:bCs/>
          <w:sz w:val="24"/>
          <w:szCs w:val="24"/>
        </w:rPr>
        <w:t>,</w:t>
      </w:r>
    </w:p>
    <w:p w:rsidR="00633FBD" w:rsidRPr="007D2883" w:rsidRDefault="00633FBD" w:rsidP="00633FBD">
      <w:pPr>
        <w:pStyle w:val="Odsekzoznamu"/>
        <w:numPr>
          <w:ilvl w:val="0"/>
          <w:numId w:val="4"/>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nové znenie ustanovenia o užívateľskom podniku zavádzajúce </w:t>
      </w:r>
      <w:r w:rsidRPr="007D2883">
        <w:rPr>
          <w:rFonts w:ascii="Times New Roman" w:hAnsi="Times New Roman"/>
          <w:sz w:val="24"/>
          <w:szCs w:val="24"/>
        </w:rPr>
        <w:t xml:space="preserve">administratívne jednoduchší systém </w:t>
      </w:r>
      <w:r>
        <w:rPr>
          <w:rFonts w:ascii="Times New Roman" w:hAnsi="Times New Roman"/>
          <w:sz w:val="24"/>
          <w:szCs w:val="24"/>
        </w:rPr>
        <w:t xml:space="preserve">vydávania povolenia a </w:t>
      </w:r>
      <w:r w:rsidRPr="007D2883">
        <w:rPr>
          <w:rFonts w:ascii="Times New Roman" w:hAnsi="Times New Roman"/>
          <w:sz w:val="24"/>
          <w:szCs w:val="24"/>
        </w:rPr>
        <w:t>evidencie spotreby daňovo zvýhodneného minerálneho oleja užívateľským podnikom</w:t>
      </w:r>
      <w:r>
        <w:rPr>
          <w:rFonts w:ascii="Times New Roman" w:hAnsi="Times New Roman"/>
          <w:sz w:val="24"/>
          <w:szCs w:val="24"/>
        </w:rPr>
        <w:t>,</w:t>
      </w:r>
    </w:p>
    <w:p w:rsidR="00633FBD" w:rsidRDefault="00633FBD" w:rsidP="00633FBD">
      <w:pPr>
        <w:pStyle w:val="Bezriadkovania"/>
        <w:numPr>
          <w:ilvl w:val="0"/>
          <w:numId w:val="4"/>
        </w:numPr>
        <w:ind w:left="567" w:hanging="567"/>
        <w:jc w:val="both"/>
        <w:rPr>
          <w:rFonts w:ascii="Times New Roman" w:hAnsi="Times New Roman"/>
          <w:sz w:val="24"/>
          <w:szCs w:val="24"/>
        </w:rPr>
      </w:pPr>
      <w:r>
        <w:rPr>
          <w:rFonts w:ascii="Times New Roman" w:hAnsi="Times New Roman"/>
          <w:sz w:val="24"/>
          <w:szCs w:val="24"/>
        </w:rPr>
        <w:t>legislatívno-technické úpravy vyplývajúce z poznatkov aplikačnej praxe.</w:t>
      </w:r>
    </w:p>
    <w:p w:rsidR="00E836BF" w:rsidRDefault="00E836BF" w:rsidP="00E836BF">
      <w:pPr>
        <w:jc w:val="both"/>
      </w:pPr>
    </w:p>
    <w:p w:rsidR="006C09AC" w:rsidRPr="006C09AC" w:rsidRDefault="00E836BF" w:rsidP="006C09AC">
      <w:pPr>
        <w:ind w:firstLine="567"/>
        <w:jc w:val="both"/>
        <w:rPr>
          <w:color w:val="000000"/>
        </w:rPr>
      </w:pPr>
      <w:r w:rsidRPr="00A422CF">
        <w:rPr>
          <w:rStyle w:val="Zstupntext"/>
          <w:color w:val="000000"/>
        </w:rPr>
        <w:t xml:space="preserve">Účinnosť </w:t>
      </w:r>
      <w:r w:rsidR="007A730A">
        <w:rPr>
          <w:rStyle w:val="Zstupntext"/>
          <w:color w:val="000000"/>
        </w:rPr>
        <w:t xml:space="preserve">návrhu </w:t>
      </w:r>
      <w:r w:rsidRPr="00A422CF">
        <w:rPr>
          <w:rStyle w:val="Zstupntext"/>
          <w:color w:val="000000"/>
        </w:rPr>
        <w:t>zákona</w:t>
      </w:r>
      <w:r w:rsidR="00486429">
        <w:rPr>
          <w:rStyle w:val="Zstupntext"/>
          <w:color w:val="000000"/>
        </w:rPr>
        <w:t xml:space="preserve"> sa navrhuje od 1. januára 2021</w:t>
      </w:r>
      <w:r>
        <w:rPr>
          <w:rStyle w:val="Zstupntext"/>
          <w:color w:val="000000"/>
        </w:rPr>
        <w:t xml:space="preserve"> s výnimkou ustanovení</w:t>
      </w:r>
      <w:r w:rsidR="00EF5366">
        <w:rPr>
          <w:rStyle w:val="Zstupntext"/>
          <w:color w:val="000000"/>
        </w:rPr>
        <w:t xml:space="preserve"> upravujúcich odber a použitie daňovo zvýhodneného minerálneho oleja užívateľským podnikom</w:t>
      </w:r>
      <w:r w:rsidR="00B41057">
        <w:rPr>
          <w:rStyle w:val="Zstupntext"/>
          <w:color w:val="000000"/>
        </w:rPr>
        <w:t xml:space="preserve"> a nadobudnutie vybraného minerálneho oleja obchodníkom s vybraným minerálnym olejom</w:t>
      </w:r>
      <w:r w:rsidR="00EF5366">
        <w:rPr>
          <w:rStyle w:val="Zstupntext"/>
          <w:color w:val="000000"/>
        </w:rPr>
        <w:t>, ktorých účinnosť sa navrhuje 1. júla 2021 a ustanovení</w:t>
      </w:r>
      <w:r>
        <w:rPr>
          <w:rStyle w:val="Zstupntext"/>
          <w:color w:val="000000"/>
        </w:rPr>
        <w:t xml:space="preserve"> </w:t>
      </w:r>
      <w:r w:rsidR="00431A58">
        <w:rPr>
          <w:rStyle w:val="Zstupntext"/>
          <w:color w:val="000000"/>
        </w:rPr>
        <w:t xml:space="preserve">transponujúcich smernicu </w:t>
      </w:r>
      <w:r w:rsidR="00431A58">
        <w:t>Rady (EÚ) 2020/262</w:t>
      </w:r>
      <w:r>
        <w:t>, ktor</w:t>
      </w:r>
      <w:r w:rsidR="00486429">
        <w:t xml:space="preserve">ých </w:t>
      </w:r>
      <w:r w:rsidR="00B41057">
        <w:t>časť sa navrhuje s s</w:t>
      </w:r>
      <w:r w:rsidR="00486429">
        <w:t>účinnosť</w:t>
      </w:r>
      <w:r w:rsidR="00B41057">
        <w:t>ou od 1. júla 2022 a časť</w:t>
      </w:r>
      <w:r w:rsidR="00486429">
        <w:t xml:space="preserve"> </w:t>
      </w:r>
      <w:r w:rsidR="00B41057">
        <w:t>s účinnosťou</w:t>
      </w:r>
      <w:r w:rsidR="00486429">
        <w:t xml:space="preserve"> od</w:t>
      </w:r>
      <w:r w:rsidR="00794FA9">
        <w:t xml:space="preserve"> </w:t>
      </w:r>
      <w:r w:rsidR="00204318">
        <w:t>1</w:t>
      </w:r>
      <w:r w:rsidR="00794FA9">
        <w:t>3</w:t>
      </w:r>
      <w:r w:rsidR="00204318">
        <w:t xml:space="preserve">. </w:t>
      </w:r>
      <w:r w:rsidR="00794FA9">
        <w:t>februára</w:t>
      </w:r>
      <w:r w:rsidR="00204318">
        <w:t xml:space="preserve"> 2023</w:t>
      </w:r>
      <w:r>
        <w:t>.</w:t>
      </w:r>
      <w:r w:rsidR="006C09AC">
        <w:rPr>
          <w:rStyle w:val="Zstupntext"/>
          <w:color w:val="000000"/>
        </w:rPr>
        <w:t xml:space="preserve"> </w:t>
      </w:r>
      <w:r w:rsidR="006C09AC">
        <w:t xml:space="preserve">Dĺžka </w:t>
      </w:r>
      <w:proofErr w:type="spellStart"/>
      <w:r w:rsidR="006C09AC">
        <w:t>legisvakancie</w:t>
      </w:r>
      <w:proofErr w:type="spellEnd"/>
      <w:r w:rsidR="006C09AC" w:rsidRPr="006C09AC">
        <w:t xml:space="preserve"> </w:t>
      </w:r>
      <w:r w:rsidR="006C09AC">
        <w:t xml:space="preserve">ustanovení upravujúcich </w:t>
      </w:r>
      <w:r w:rsidR="006C09AC">
        <w:rPr>
          <w:rStyle w:val="Zstupntext"/>
          <w:color w:val="000000"/>
        </w:rPr>
        <w:t xml:space="preserve">použitie daňovo zvýhodneného minerálneho oleja užívateľským podnikom a nadobudnutie vybraného minerálneho oleja obchodníkom s vybraným minerálnym olejom a ustanovení transponujúcich smernicu </w:t>
      </w:r>
      <w:r w:rsidR="006C09AC">
        <w:t>Rady (EÚ) 2020/262</w:t>
      </w:r>
      <w:r w:rsidR="006C09AC" w:rsidRPr="006C09AC">
        <w:t>, je dostat</w:t>
      </w:r>
      <w:r w:rsidR="006A2D1A">
        <w:t>očná na to, aby sa podnikatelia</w:t>
      </w:r>
      <w:r w:rsidR="006C09AC">
        <w:t xml:space="preserve"> </w:t>
      </w:r>
      <w:r w:rsidR="006C09AC" w:rsidRPr="006C09AC">
        <w:t>a finančná správa mohli zodpovedne pripraviť na ich uplatňovanie.</w:t>
      </w:r>
    </w:p>
    <w:p w:rsidR="006C09AC" w:rsidRDefault="006C09AC" w:rsidP="00E836BF">
      <w:pPr>
        <w:jc w:val="both"/>
      </w:pPr>
    </w:p>
    <w:p w:rsidR="00296933" w:rsidRPr="001B0AFE" w:rsidRDefault="00296933" w:rsidP="00296933">
      <w:pPr>
        <w:ind w:firstLine="567"/>
        <w:jc w:val="both"/>
        <w:rPr>
          <w:rStyle w:val="Zstupntext"/>
          <w:color w:val="000000"/>
        </w:rPr>
      </w:pPr>
      <w:r>
        <w:rPr>
          <w:rStyle w:val="Nadpis1Char"/>
          <w:color w:val="000000"/>
        </w:rPr>
        <w:t xml:space="preserve">Vplyv návrhu zákona na rozpočet verejnej správy, na podnikateľské prostredie a na informatizáciu spoločnosti, </w:t>
      </w:r>
      <w:r>
        <w:rPr>
          <w:rStyle w:val="Zstupntext"/>
          <w:color w:val="000000"/>
        </w:rPr>
        <w:t>je podrobne uvedený v doložke vybraných vplyvov</w:t>
      </w:r>
      <w:r>
        <w:rPr>
          <w:rStyle w:val="Nadpis1Char"/>
          <w:color w:val="000000"/>
        </w:rPr>
        <w:t xml:space="preserve">. Návrh zákona nepredpokladá žiadne vplyvy </w:t>
      </w:r>
      <w:r>
        <w:t>na sociálne prostredie</w:t>
      </w:r>
      <w:r>
        <w:rPr>
          <w:rStyle w:val="Nadpis1Char"/>
          <w:color w:val="000000"/>
        </w:rPr>
        <w:t xml:space="preserve">, na životné prostredie, </w:t>
      </w:r>
      <w:r>
        <w:t>na služby verejnej správy pre občana a na manželstvo, rodičovstvo a rodinu</w:t>
      </w:r>
      <w:r>
        <w:rPr>
          <w:rStyle w:val="Zstupntext"/>
          <w:color w:val="000000"/>
        </w:rPr>
        <w:t>. Predkladaný návrh zákona nebude mať vplyv na rozpočty obcí a rozpočty vyšších územných celkov.</w:t>
      </w:r>
    </w:p>
    <w:p w:rsidR="00E836BF" w:rsidRDefault="00E836BF" w:rsidP="00E836BF">
      <w:pPr>
        <w:jc w:val="both"/>
        <w:rPr>
          <w:strike/>
        </w:rPr>
      </w:pPr>
    </w:p>
    <w:p w:rsidR="00E836BF" w:rsidRDefault="00E836BF" w:rsidP="00E836BF">
      <w:pPr>
        <w:ind w:firstLine="567"/>
        <w:jc w:val="both"/>
        <w:rPr>
          <w:color w:val="000000"/>
        </w:rPr>
      </w:pPr>
      <w:r>
        <w:rPr>
          <w:rStyle w:val="Zstupntext"/>
          <w:color w:val="000000"/>
        </w:rPr>
        <w:t xml:space="preserve">Návrh zákona nie je predmetom </w:t>
      </w:r>
      <w:proofErr w:type="spellStart"/>
      <w:r>
        <w:rPr>
          <w:rStyle w:val="Zstupntext"/>
          <w:color w:val="000000"/>
        </w:rPr>
        <w:t>vnútrokomunitárneho</w:t>
      </w:r>
      <w:proofErr w:type="spellEnd"/>
      <w:r>
        <w:rPr>
          <w:rStyle w:val="Zstupntext"/>
          <w:color w:val="000000"/>
        </w:rPr>
        <w:t xml:space="preserve"> pripomienkového konania.</w:t>
      </w:r>
    </w:p>
    <w:p w:rsidR="00E836BF" w:rsidRDefault="00E836BF" w:rsidP="00E836BF"/>
    <w:p w:rsidR="00E836BF" w:rsidRDefault="00E836BF" w:rsidP="00E836BF">
      <w:pPr>
        <w:autoSpaceDE w:val="0"/>
        <w:autoSpaceDN w:val="0"/>
        <w:adjustRightInd w:val="0"/>
        <w:ind w:firstLine="567"/>
        <w:jc w:val="both"/>
        <w:rPr>
          <w:color w:val="000000"/>
        </w:rPr>
      </w:pPr>
      <w:r>
        <w:t>Predkladaný návrh zákona je v súlade s Ústavou Slovenskej republiky</w:t>
      </w:r>
      <w:r>
        <w:rPr>
          <w:color w:val="000000"/>
        </w:rPr>
        <w:t>, s ústavnými zákonmi, s nálezmi Ústavného súdu Slovenskej republiky a s medzinárodnými zmluvami               a inými medzinárodnými dokumentmi, ktorými je Slovenská republika viazaná, ako aj v súlade s právom Európskej únie.</w:t>
      </w:r>
    </w:p>
    <w:p w:rsidR="00E836BF" w:rsidRDefault="00E836BF" w:rsidP="00E836BF">
      <w:pPr>
        <w:jc w:val="both"/>
      </w:pPr>
    </w:p>
    <w:p w:rsidR="00E836BF" w:rsidRDefault="00E836BF" w:rsidP="001B1696">
      <w:pPr>
        <w:rPr>
          <w:bCs/>
        </w:rPr>
      </w:pPr>
    </w:p>
    <w:p w:rsidR="00727D26" w:rsidRDefault="00727D26" w:rsidP="001B1696">
      <w:pPr>
        <w:rPr>
          <w:bCs/>
        </w:rPr>
      </w:pPr>
    </w:p>
    <w:p w:rsidR="00727D26" w:rsidRDefault="00727D26" w:rsidP="001B1696">
      <w:pPr>
        <w:rPr>
          <w:bCs/>
        </w:rPr>
      </w:pPr>
    </w:p>
    <w:p w:rsidR="00727D26" w:rsidRDefault="00727D26" w:rsidP="001B1696">
      <w:pPr>
        <w:rPr>
          <w:bCs/>
        </w:rPr>
      </w:pPr>
    </w:p>
    <w:p w:rsidR="00727D26" w:rsidRPr="003C289B" w:rsidRDefault="00727D26" w:rsidP="00727D26">
      <w:pPr>
        <w:spacing w:after="120"/>
        <w:jc w:val="center"/>
        <w:rPr>
          <w:b/>
        </w:rPr>
      </w:pPr>
      <w:r w:rsidRPr="003C289B">
        <w:rPr>
          <w:b/>
          <w:bCs/>
          <w:sz w:val="28"/>
          <w:szCs w:val="28"/>
        </w:rPr>
        <w:lastRenderedPageBreak/>
        <w:t>Doložka vybraných vplyvov</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727D26" w:rsidRPr="003C289B" w:rsidTr="00524381">
        <w:tc>
          <w:tcPr>
            <w:tcW w:w="9180" w:type="dxa"/>
            <w:gridSpan w:val="10"/>
            <w:tcBorders>
              <w:bottom w:val="single" w:sz="4" w:space="0" w:color="FFFFFF"/>
            </w:tcBorders>
            <w:shd w:val="clear" w:color="auto" w:fill="E2E2E2"/>
          </w:tcPr>
          <w:p w:rsidR="00727D26" w:rsidRPr="00524381" w:rsidRDefault="00727D26" w:rsidP="00524381">
            <w:pPr>
              <w:pStyle w:val="Odsekzoznamu"/>
              <w:numPr>
                <w:ilvl w:val="0"/>
                <w:numId w:val="11"/>
              </w:numPr>
              <w:spacing w:after="0" w:line="240" w:lineRule="auto"/>
              <w:ind w:left="426"/>
              <w:rPr>
                <w:rFonts w:ascii="Times New Roman" w:hAnsi="Times New Roman"/>
                <w:b/>
              </w:rPr>
            </w:pPr>
            <w:r w:rsidRPr="00524381">
              <w:rPr>
                <w:rFonts w:ascii="Times New Roman" w:hAnsi="Times New Roman"/>
                <w:b/>
              </w:rPr>
              <w:t>Základné údaje</w:t>
            </w:r>
          </w:p>
        </w:tc>
      </w:tr>
      <w:tr w:rsidR="00727D26" w:rsidRPr="003C289B" w:rsidTr="00524381">
        <w:tc>
          <w:tcPr>
            <w:tcW w:w="9180" w:type="dxa"/>
            <w:gridSpan w:val="10"/>
            <w:tcBorders>
              <w:bottom w:val="single" w:sz="4" w:space="0" w:color="FFFFFF"/>
            </w:tcBorders>
            <w:shd w:val="clear" w:color="auto" w:fill="E2E2E2"/>
          </w:tcPr>
          <w:p w:rsidR="00727D26" w:rsidRPr="00524381" w:rsidRDefault="00727D26" w:rsidP="00524381">
            <w:pPr>
              <w:pStyle w:val="Odsekzoznamu"/>
              <w:ind w:left="142"/>
              <w:rPr>
                <w:rFonts w:ascii="Times New Roman" w:hAnsi="Times New Roman"/>
                <w:b/>
              </w:rPr>
            </w:pPr>
            <w:r w:rsidRPr="00524381">
              <w:rPr>
                <w:rFonts w:ascii="Times New Roman" w:hAnsi="Times New Roman"/>
                <w:b/>
              </w:rPr>
              <w:t>Názov materiálu</w:t>
            </w:r>
          </w:p>
        </w:tc>
      </w:tr>
      <w:tr w:rsidR="00727D26" w:rsidRPr="003C289B" w:rsidTr="00524381">
        <w:tc>
          <w:tcPr>
            <w:tcW w:w="9180" w:type="dxa"/>
            <w:gridSpan w:val="10"/>
            <w:tcBorders>
              <w:top w:val="single" w:sz="4" w:space="0" w:color="FFFFFF"/>
            </w:tcBorders>
            <w:shd w:val="clear" w:color="auto" w:fill="auto"/>
          </w:tcPr>
          <w:p w:rsidR="00727D26" w:rsidRPr="00524381" w:rsidRDefault="00727D26" w:rsidP="00524381">
            <w:pPr>
              <w:pStyle w:val="Zkladntext0"/>
              <w:jc w:val="both"/>
              <w:rPr>
                <w:rFonts w:ascii="Times New Roman" w:hAnsi="Times New Roman" w:cs="Times New Roman"/>
                <w:sz w:val="20"/>
                <w:szCs w:val="20"/>
                <w:lang w:eastAsia="en-US"/>
              </w:rPr>
            </w:pPr>
            <w:r w:rsidRPr="00524381">
              <w:rPr>
                <w:rFonts w:ascii="Times New Roman" w:hAnsi="Times New Roman" w:cs="Times New Roman"/>
                <w:bCs/>
                <w:sz w:val="20"/>
                <w:szCs w:val="20"/>
                <w:lang w:eastAsia="en-US"/>
              </w:rPr>
              <w:t xml:space="preserve">Návrh </w:t>
            </w:r>
            <w:r w:rsidRPr="00524381">
              <w:rPr>
                <w:rFonts w:ascii="Times New Roman" w:hAnsi="Times New Roman" w:cs="Times New Roman"/>
                <w:sz w:val="20"/>
                <w:szCs w:val="20"/>
                <w:lang w:eastAsia="en-US"/>
              </w:rPr>
              <w:t>zákona, ktorým sa mení a dopĺňa zákon č. 98/2004 Z. z. o spotrebnej dani z minerálneho oleja v znení neskorších predpisov a ktorým sa mení zákon č. 218/2013 Z. z. o núdzových zásobách ropy a ropných výrobkov a o riešení stavu ropnej núdze a o zmene a doplnení niektorých zákonov v znení neskorších predpisov</w:t>
            </w:r>
          </w:p>
          <w:p w:rsidR="00727D26" w:rsidRPr="00524381" w:rsidRDefault="00727D26" w:rsidP="00524381">
            <w:pPr>
              <w:pStyle w:val="Zkladntext0"/>
              <w:jc w:val="both"/>
              <w:rPr>
                <w:bCs/>
                <w:sz w:val="20"/>
                <w:szCs w:val="20"/>
                <w:lang w:eastAsia="en-US"/>
              </w:rPr>
            </w:pPr>
          </w:p>
        </w:tc>
      </w:tr>
      <w:tr w:rsidR="00727D26" w:rsidRPr="003C289B" w:rsidTr="00524381">
        <w:tc>
          <w:tcPr>
            <w:tcW w:w="9180" w:type="dxa"/>
            <w:gridSpan w:val="10"/>
            <w:tcBorders>
              <w:bottom w:val="single" w:sz="4" w:space="0" w:color="FFFFFF"/>
            </w:tcBorders>
            <w:shd w:val="clear" w:color="auto" w:fill="E2E2E2"/>
          </w:tcPr>
          <w:p w:rsidR="00727D26" w:rsidRPr="00524381" w:rsidRDefault="00727D26" w:rsidP="00524381">
            <w:pPr>
              <w:pStyle w:val="Odsekzoznamu"/>
              <w:ind w:left="142"/>
              <w:rPr>
                <w:rFonts w:ascii="Times New Roman" w:hAnsi="Times New Roman"/>
                <w:b/>
              </w:rPr>
            </w:pPr>
            <w:r w:rsidRPr="00524381">
              <w:rPr>
                <w:rFonts w:ascii="Times New Roman" w:hAnsi="Times New Roman"/>
                <w:b/>
              </w:rPr>
              <w:t>Predkladateľ (a spolupredkladateľ)</w:t>
            </w:r>
          </w:p>
        </w:tc>
      </w:tr>
      <w:tr w:rsidR="00727D26" w:rsidRPr="003C289B" w:rsidTr="00524381">
        <w:tc>
          <w:tcPr>
            <w:tcW w:w="9180" w:type="dxa"/>
            <w:gridSpan w:val="10"/>
            <w:tcBorders>
              <w:top w:val="single" w:sz="4" w:space="0" w:color="FFFFFF"/>
            </w:tcBorders>
            <w:shd w:val="clear" w:color="auto" w:fill="FFFFFF"/>
          </w:tcPr>
          <w:p w:rsidR="00727D26" w:rsidRPr="00524381" w:rsidRDefault="00727D26" w:rsidP="00A70D48">
            <w:pPr>
              <w:rPr>
                <w:sz w:val="22"/>
                <w:szCs w:val="22"/>
                <w:lang w:eastAsia="en-US"/>
              </w:rPr>
            </w:pPr>
          </w:p>
          <w:p w:rsidR="00727D26" w:rsidRPr="00524381" w:rsidRDefault="00727D26" w:rsidP="00A70D48">
            <w:pPr>
              <w:rPr>
                <w:sz w:val="22"/>
                <w:szCs w:val="22"/>
                <w:lang w:eastAsia="en-US"/>
              </w:rPr>
            </w:pPr>
            <w:r w:rsidRPr="00524381">
              <w:rPr>
                <w:sz w:val="22"/>
                <w:szCs w:val="22"/>
                <w:lang w:eastAsia="en-US"/>
              </w:rPr>
              <w:t>Ministerstvo financií Slovenskej republiky</w:t>
            </w:r>
          </w:p>
          <w:p w:rsidR="00727D26" w:rsidRPr="00524381" w:rsidRDefault="00727D26" w:rsidP="00A70D48">
            <w:pPr>
              <w:rPr>
                <w:sz w:val="22"/>
                <w:szCs w:val="22"/>
                <w:lang w:eastAsia="en-US"/>
              </w:rPr>
            </w:pPr>
          </w:p>
        </w:tc>
      </w:tr>
      <w:tr w:rsidR="00524381" w:rsidRPr="003C289B" w:rsidTr="00524381">
        <w:tc>
          <w:tcPr>
            <w:tcW w:w="4212" w:type="dxa"/>
            <w:gridSpan w:val="2"/>
            <w:vMerge w:val="restart"/>
            <w:tcBorders>
              <w:bottom w:val="single" w:sz="4" w:space="0" w:color="FFFFFF"/>
            </w:tcBorders>
            <w:shd w:val="clear" w:color="auto" w:fill="E2E2E2"/>
            <w:vAlign w:val="center"/>
          </w:tcPr>
          <w:p w:rsidR="00727D26" w:rsidRPr="00524381" w:rsidRDefault="00727D26" w:rsidP="00524381">
            <w:pPr>
              <w:pStyle w:val="Odsekzoznamu"/>
              <w:ind w:left="142"/>
              <w:rPr>
                <w:rFonts w:ascii="Times New Roman" w:hAnsi="Times New Roman"/>
                <w:b/>
              </w:rPr>
            </w:pPr>
            <w:r w:rsidRPr="00524381">
              <w:rPr>
                <w:rFonts w:ascii="Times New Roman" w:hAnsi="Times New Roman"/>
                <w:b/>
              </w:rPr>
              <w:t>Charakter predkladaného materiálu</w:t>
            </w:r>
          </w:p>
        </w:tc>
        <w:tc>
          <w:tcPr>
            <w:tcW w:w="705" w:type="dxa"/>
            <w:gridSpan w:val="2"/>
            <w:tcBorders>
              <w:right w:val="nil"/>
            </w:tcBorders>
            <w:shd w:val="clear" w:color="auto" w:fill="FFFFFF"/>
          </w:tcPr>
          <w:p w:rsidR="00727D26" w:rsidRPr="00524381" w:rsidRDefault="00727D26" w:rsidP="00524381">
            <w:pPr>
              <w:jc w:val="center"/>
              <w:rPr>
                <w:sz w:val="22"/>
                <w:szCs w:val="22"/>
                <w:lang w:eastAsia="en-US"/>
              </w:rPr>
            </w:pPr>
            <w:r w:rsidRPr="00524381">
              <w:rPr>
                <w:rFonts w:ascii="Segoe UI Symbol" w:eastAsia="MS Mincho" w:hAnsi="Segoe UI Symbol" w:cs="Segoe UI Symbol"/>
                <w:sz w:val="22"/>
                <w:szCs w:val="22"/>
                <w:lang w:eastAsia="en-US"/>
              </w:rPr>
              <w:t>☐</w:t>
            </w:r>
          </w:p>
        </w:tc>
        <w:tc>
          <w:tcPr>
            <w:tcW w:w="4263" w:type="dxa"/>
            <w:gridSpan w:val="6"/>
            <w:tcBorders>
              <w:left w:val="nil"/>
            </w:tcBorders>
            <w:shd w:val="clear" w:color="auto" w:fill="FFFFFF"/>
          </w:tcPr>
          <w:p w:rsidR="00727D26" w:rsidRPr="00524381" w:rsidRDefault="00727D26" w:rsidP="00A70D48">
            <w:pPr>
              <w:rPr>
                <w:sz w:val="22"/>
                <w:szCs w:val="22"/>
                <w:lang w:eastAsia="en-US"/>
              </w:rPr>
            </w:pPr>
            <w:r w:rsidRPr="00524381">
              <w:rPr>
                <w:sz w:val="22"/>
                <w:szCs w:val="22"/>
                <w:lang w:eastAsia="en-US"/>
              </w:rPr>
              <w:t>Materiál nelegislatívnej povahy</w:t>
            </w:r>
          </w:p>
        </w:tc>
      </w:tr>
      <w:tr w:rsidR="00524381" w:rsidRPr="003C289B" w:rsidTr="00524381">
        <w:tc>
          <w:tcPr>
            <w:tcW w:w="4212" w:type="dxa"/>
            <w:gridSpan w:val="2"/>
            <w:vMerge/>
            <w:tcBorders>
              <w:top w:val="nil"/>
              <w:bottom w:val="single" w:sz="4" w:space="0" w:color="FFFFFF"/>
            </w:tcBorders>
            <w:shd w:val="clear" w:color="auto" w:fill="E2E2E2"/>
          </w:tcPr>
          <w:p w:rsidR="00727D26" w:rsidRPr="00524381" w:rsidRDefault="00727D26" w:rsidP="00A70D48">
            <w:pPr>
              <w:rPr>
                <w:sz w:val="22"/>
                <w:szCs w:val="22"/>
                <w:lang w:eastAsia="en-US"/>
              </w:rPr>
            </w:pPr>
          </w:p>
        </w:tc>
        <w:tc>
          <w:tcPr>
            <w:tcW w:w="705" w:type="dxa"/>
            <w:gridSpan w:val="2"/>
            <w:tcBorders>
              <w:right w:val="nil"/>
            </w:tcBorders>
            <w:shd w:val="clear" w:color="auto" w:fill="FFFFFF"/>
          </w:tcPr>
          <w:p w:rsidR="00727D26" w:rsidRPr="00524381" w:rsidRDefault="00727D26" w:rsidP="00524381">
            <w:pPr>
              <w:jc w:val="center"/>
              <w:rPr>
                <w:sz w:val="22"/>
                <w:szCs w:val="22"/>
                <w:lang w:eastAsia="en-US"/>
              </w:rPr>
            </w:pPr>
            <w:r w:rsidRPr="00524381">
              <w:rPr>
                <w:rFonts w:ascii="Segoe UI Symbol" w:eastAsia="MS Mincho" w:hAnsi="Segoe UI Symbol" w:cs="Segoe UI Symbol"/>
                <w:sz w:val="22"/>
                <w:szCs w:val="22"/>
                <w:lang w:eastAsia="en-US"/>
              </w:rPr>
              <w:t>☒</w:t>
            </w:r>
          </w:p>
        </w:tc>
        <w:tc>
          <w:tcPr>
            <w:tcW w:w="4263" w:type="dxa"/>
            <w:gridSpan w:val="6"/>
            <w:tcBorders>
              <w:left w:val="nil"/>
            </w:tcBorders>
            <w:shd w:val="clear" w:color="auto" w:fill="FFFFFF"/>
          </w:tcPr>
          <w:p w:rsidR="00727D26" w:rsidRPr="00524381" w:rsidRDefault="00727D26" w:rsidP="00524381">
            <w:pPr>
              <w:ind w:left="175" w:hanging="175"/>
              <w:rPr>
                <w:sz w:val="22"/>
                <w:szCs w:val="22"/>
                <w:lang w:eastAsia="en-US"/>
              </w:rPr>
            </w:pPr>
            <w:r w:rsidRPr="00524381">
              <w:rPr>
                <w:sz w:val="22"/>
                <w:szCs w:val="22"/>
                <w:lang w:eastAsia="en-US"/>
              </w:rPr>
              <w:t>Materiál legislatívnej povahy</w:t>
            </w:r>
          </w:p>
        </w:tc>
      </w:tr>
      <w:tr w:rsidR="00727D26" w:rsidRPr="003C289B" w:rsidTr="00524381">
        <w:tc>
          <w:tcPr>
            <w:tcW w:w="4212" w:type="dxa"/>
            <w:gridSpan w:val="2"/>
            <w:vMerge/>
            <w:tcBorders>
              <w:top w:val="nil"/>
            </w:tcBorders>
            <w:shd w:val="clear" w:color="auto" w:fill="E2E2E2"/>
          </w:tcPr>
          <w:p w:rsidR="00727D26" w:rsidRPr="00524381" w:rsidRDefault="00727D26" w:rsidP="00A70D48">
            <w:pPr>
              <w:rPr>
                <w:sz w:val="22"/>
                <w:szCs w:val="22"/>
                <w:lang w:eastAsia="en-US"/>
              </w:rPr>
            </w:pPr>
          </w:p>
        </w:tc>
        <w:tc>
          <w:tcPr>
            <w:tcW w:w="705" w:type="dxa"/>
            <w:gridSpan w:val="2"/>
            <w:tcBorders>
              <w:right w:val="nil"/>
            </w:tcBorders>
            <w:shd w:val="clear" w:color="auto" w:fill="FFFFFF"/>
          </w:tcPr>
          <w:p w:rsidR="00727D26" w:rsidRPr="00524381" w:rsidRDefault="00727D26" w:rsidP="00524381">
            <w:pPr>
              <w:jc w:val="center"/>
              <w:rPr>
                <w:sz w:val="22"/>
                <w:szCs w:val="22"/>
                <w:lang w:eastAsia="en-US"/>
              </w:rPr>
            </w:pPr>
            <w:r w:rsidRPr="00524381">
              <w:rPr>
                <w:rFonts w:ascii="Segoe UI Symbol" w:eastAsia="MS Mincho" w:hAnsi="Segoe UI Symbol" w:cs="Segoe UI Symbol"/>
                <w:sz w:val="22"/>
                <w:szCs w:val="22"/>
                <w:lang w:eastAsia="en-US"/>
              </w:rPr>
              <w:t>☒</w:t>
            </w:r>
          </w:p>
        </w:tc>
        <w:tc>
          <w:tcPr>
            <w:tcW w:w="4263" w:type="dxa"/>
            <w:gridSpan w:val="6"/>
            <w:tcBorders>
              <w:left w:val="nil"/>
            </w:tcBorders>
            <w:shd w:val="clear" w:color="auto" w:fill="FFFFFF"/>
          </w:tcPr>
          <w:p w:rsidR="00727D26" w:rsidRPr="00524381" w:rsidRDefault="00727D26" w:rsidP="00A70D48">
            <w:pPr>
              <w:rPr>
                <w:sz w:val="22"/>
                <w:szCs w:val="22"/>
                <w:lang w:eastAsia="en-US"/>
              </w:rPr>
            </w:pPr>
            <w:r w:rsidRPr="00524381">
              <w:rPr>
                <w:sz w:val="22"/>
                <w:szCs w:val="22"/>
                <w:lang w:eastAsia="en-US"/>
              </w:rPr>
              <w:t>Transpozícia práva EÚ</w:t>
            </w:r>
          </w:p>
        </w:tc>
      </w:tr>
      <w:tr w:rsidR="00727D26" w:rsidRPr="003C289B" w:rsidTr="00524381">
        <w:tc>
          <w:tcPr>
            <w:tcW w:w="9180" w:type="dxa"/>
            <w:gridSpan w:val="10"/>
            <w:tcBorders>
              <w:bottom w:val="single" w:sz="4" w:space="0" w:color="FFFFFF"/>
            </w:tcBorders>
            <w:shd w:val="clear" w:color="auto" w:fill="FFFFFF"/>
          </w:tcPr>
          <w:p w:rsidR="00727D26" w:rsidRPr="00524381" w:rsidRDefault="00727D26" w:rsidP="00A70D48">
            <w:pPr>
              <w:rPr>
                <w:i/>
                <w:sz w:val="22"/>
                <w:szCs w:val="22"/>
                <w:lang w:eastAsia="en-US"/>
              </w:rPr>
            </w:pPr>
            <w:r w:rsidRPr="00524381">
              <w:rPr>
                <w:i/>
                <w:sz w:val="22"/>
                <w:szCs w:val="22"/>
                <w:lang w:eastAsia="en-US"/>
              </w:rPr>
              <w:t>V prípade transpozície uveďte zoznam transponovaných predpisov:</w:t>
            </w:r>
          </w:p>
          <w:p w:rsidR="00727D26" w:rsidRPr="00524381" w:rsidRDefault="00727D26" w:rsidP="00A70D48">
            <w:pPr>
              <w:rPr>
                <w:sz w:val="22"/>
                <w:szCs w:val="22"/>
                <w:lang w:eastAsia="en-US"/>
              </w:rPr>
            </w:pPr>
            <w:r w:rsidRPr="00524381">
              <w:rPr>
                <w:sz w:val="20"/>
                <w:szCs w:val="20"/>
                <w:lang w:eastAsia="en-US"/>
              </w:rPr>
              <w:t>Zákon č. 98/2004 Z. z. o spotrebnej dani z minerálneho oleja v znení neskorších predpisov</w:t>
            </w:r>
          </w:p>
        </w:tc>
      </w:tr>
      <w:tr w:rsidR="00727D26" w:rsidRPr="003C289B" w:rsidTr="00524381">
        <w:tc>
          <w:tcPr>
            <w:tcW w:w="5634" w:type="dxa"/>
            <w:gridSpan w:val="5"/>
            <w:tcBorders>
              <w:top w:val="single" w:sz="4" w:space="0" w:color="000000"/>
              <w:bottom w:val="single" w:sz="4" w:space="0" w:color="FFFFFF"/>
            </w:tcBorders>
            <w:shd w:val="clear" w:color="auto" w:fill="E2E2E2"/>
          </w:tcPr>
          <w:p w:rsidR="00727D26" w:rsidRPr="00524381" w:rsidRDefault="00727D26" w:rsidP="00524381">
            <w:pPr>
              <w:pStyle w:val="Odsekzoznamu"/>
              <w:ind w:left="142"/>
              <w:rPr>
                <w:rFonts w:ascii="Times New Roman" w:hAnsi="Times New Roman"/>
                <w:b/>
              </w:rPr>
            </w:pPr>
            <w:r w:rsidRPr="00524381">
              <w:rPr>
                <w:rFonts w:ascii="Times New Roman" w:hAnsi="Times New Roman"/>
                <w:b/>
              </w:rPr>
              <w:t>Termín začiatku a ukončenia PPK</w:t>
            </w:r>
          </w:p>
        </w:tc>
        <w:tc>
          <w:tcPr>
            <w:tcW w:w="3546" w:type="dxa"/>
            <w:gridSpan w:val="5"/>
            <w:tcBorders>
              <w:top w:val="single" w:sz="4" w:space="0" w:color="000000"/>
            </w:tcBorders>
            <w:shd w:val="clear" w:color="auto" w:fill="auto"/>
            <w:vAlign w:val="center"/>
          </w:tcPr>
          <w:p w:rsidR="00727D26" w:rsidRPr="00524381" w:rsidRDefault="00727D26" w:rsidP="00A70D48">
            <w:pPr>
              <w:rPr>
                <w:sz w:val="20"/>
                <w:szCs w:val="20"/>
                <w:lang w:eastAsia="en-US"/>
              </w:rPr>
            </w:pPr>
            <w:r w:rsidRPr="00524381">
              <w:rPr>
                <w:sz w:val="20"/>
                <w:szCs w:val="20"/>
                <w:lang w:eastAsia="en-US"/>
              </w:rPr>
              <w:t>júl 2020</w:t>
            </w:r>
          </w:p>
        </w:tc>
      </w:tr>
      <w:tr w:rsidR="00727D26" w:rsidRPr="003C289B" w:rsidTr="00524381">
        <w:tc>
          <w:tcPr>
            <w:tcW w:w="5634" w:type="dxa"/>
            <w:gridSpan w:val="5"/>
            <w:tcBorders>
              <w:bottom w:val="single" w:sz="4" w:space="0" w:color="FFFFFF"/>
            </w:tcBorders>
            <w:shd w:val="clear" w:color="auto" w:fill="E2E2E2"/>
          </w:tcPr>
          <w:p w:rsidR="00727D26" w:rsidRPr="00524381" w:rsidRDefault="00727D26" w:rsidP="00524381">
            <w:pPr>
              <w:pStyle w:val="Odsekzoznamu"/>
              <w:ind w:left="142"/>
              <w:rPr>
                <w:rFonts w:ascii="Times New Roman" w:hAnsi="Times New Roman"/>
                <w:b/>
              </w:rPr>
            </w:pPr>
            <w:r w:rsidRPr="00524381">
              <w:rPr>
                <w:rFonts w:ascii="Times New Roman" w:hAnsi="Times New Roman"/>
                <w:b/>
              </w:rPr>
              <w:t>Predpokladaný termín predloženia na MPK*</w:t>
            </w:r>
          </w:p>
        </w:tc>
        <w:tc>
          <w:tcPr>
            <w:tcW w:w="3546" w:type="dxa"/>
            <w:gridSpan w:val="5"/>
            <w:shd w:val="clear" w:color="auto" w:fill="auto"/>
            <w:vAlign w:val="center"/>
          </w:tcPr>
          <w:p w:rsidR="00727D26" w:rsidRPr="00524381" w:rsidRDefault="00727D26" w:rsidP="00A70D48">
            <w:pPr>
              <w:rPr>
                <w:sz w:val="20"/>
                <w:szCs w:val="20"/>
                <w:lang w:eastAsia="en-US"/>
              </w:rPr>
            </w:pPr>
            <w:r w:rsidRPr="00524381">
              <w:rPr>
                <w:sz w:val="20"/>
                <w:szCs w:val="20"/>
                <w:lang w:eastAsia="en-US"/>
              </w:rPr>
              <w:t>júl 2020</w:t>
            </w:r>
          </w:p>
        </w:tc>
      </w:tr>
      <w:tr w:rsidR="00727D26" w:rsidRPr="003C289B" w:rsidTr="00524381">
        <w:tc>
          <w:tcPr>
            <w:tcW w:w="5634" w:type="dxa"/>
            <w:gridSpan w:val="5"/>
            <w:tcBorders>
              <w:bottom w:val="single" w:sz="4" w:space="0" w:color="FFFFFF"/>
            </w:tcBorders>
            <w:shd w:val="clear" w:color="auto" w:fill="E2E2E2"/>
          </w:tcPr>
          <w:p w:rsidR="00727D26" w:rsidRPr="00524381" w:rsidRDefault="00727D26" w:rsidP="00524381">
            <w:pPr>
              <w:pStyle w:val="Odsekzoznamu"/>
              <w:ind w:left="142"/>
              <w:rPr>
                <w:rFonts w:ascii="Times New Roman" w:hAnsi="Times New Roman"/>
                <w:b/>
              </w:rPr>
            </w:pPr>
            <w:r w:rsidRPr="00524381">
              <w:rPr>
                <w:rFonts w:ascii="Times New Roman" w:hAnsi="Times New Roman"/>
                <w:b/>
              </w:rPr>
              <w:t>Predpokladaný termín predloženia na Rokovanie vlády SR*</w:t>
            </w:r>
          </w:p>
        </w:tc>
        <w:tc>
          <w:tcPr>
            <w:tcW w:w="3546" w:type="dxa"/>
            <w:gridSpan w:val="5"/>
            <w:shd w:val="clear" w:color="auto" w:fill="auto"/>
            <w:vAlign w:val="center"/>
          </w:tcPr>
          <w:p w:rsidR="00727D26" w:rsidRPr="00524381" w:rsidRDefault="00727D26" w:rsidP="00A70D48">
            <w:pPr>
              <w:rPr>
                <w:sz w:val="20"/>
                <w:szCs w:val="20"/>
                <w:lang w:eastAsia="en-US"/>
              </w:rPr>
            </w:pPr>
            <w:r w:rsidRPr="00524381">
              <w:rPr>
                <w:sz w:val="20"/>
                <w:szCs w:val="20"/>
                <w:lang w:eastAsia="en-US"/>
              </w:rPr>
              <w:t>september 2020</w:t>
            </w:r>
          </w:p>
        </w:tc>
      </w:tr>
      <w:tr w:rsidR="00727D26" w:rsidRPr="003C289B" w:rsidTr="00524381">
        <w:tc>
          <w:tcPr>
            <w:tcW w:w="9180" w:type="dxa"/>
            <w:gridSpan w:val="10"/>
            <w:tcBorders>
              <w:left w:val="nil"/>
              <w:right w:val="nil"/>
            </w:tcBorders>
            <w:shd w:val="clear" w:color="auto" w:fill="FFFFFF"/>
          </w:tcPr>
          <w:p w:rsidR="00727D26" w:rsidRPr="00524381" w:rsidRDefault="00727D26" w:rsidP="00A70D48">
            <w:pPr>
              <w:rPr>
                <w:sz w:val="22"/>
                <w:szCs w:val="22"/>
                <w:lang w:eastAsia="en-US"/>
              </w:rPr>
            </w:pPr>
          </w:p>
        </w:tc>
      </w:tr>
      <w:tr w:rsidR="00727D26" w:rsidRPr="003C289B" w:rsidTr="00524381">
        <w:trPr>
          <w:trHeight w:val="286"/>
        </w:trPr>
        <w:tc>
          <w:tcPr>
            <w:tcW w:w="9180" w:type="dxa"/>
            <w:gridSpan w:val="10"/>
            <w:tcBorders>
              <w:bottom w:val="single" w:sz="4" w:space="0" w:color="FFFFFF"/>
            </w:tcBorders>
            <w:shd w:val="clear" w:color="auto" w:fill="E2E2E2"/>
          </w:tcPr>
          <w:p w:rsidR="00727D26" w:rsidRPr="00524381" w:rsidRDefault="00727D26" w:rsidP="00524381">
            <w:pPr>
              <w:pStyle w:val="Odsekzoznamu"/>
              <w:numPr>
                <w:ilvl w:val="0"/>
                <w:numId w:val="11"/>
              </w:numPr>
              <w:spacing w:after="0" w:line="240" w:lineRule="auto"/>
              <w:ind w:left="426"/>
              <w:rPr>
                <w:rFonts w:ascii="Times New Roman" w:hAnsi="Times New Roman"/>
                <w:b/>
              </w:rPr>
            </w:pPr>
            <w:r w:rsidRPr="00524381">
              <w:rPr>
                <w:rFonts w:ascii="Times New Roman" w:hAnsi="Times New Roman"/>
                <w:b/>
              </w:rPr>
              <w:t>Definovanie problému</w:t>
            </w:r>
          </w:p>
        </w:tc>
      </w:tr>
      <w:tr w:rsidR="00727D26" w:rsidRPr="003C289B" w:rsidTr="00524381">
        <w:trPr>
          <w:trHeight w:val="850"/>
        </w:trPr>
        <w:tc>
          <w:tcPr>
            <w:tcW w:w="9180" w:type="dxa"/>
            <w:gridSpan w:val="10"/>
            <w:tcBorders>
              <w:top w:val="single" w:sz="4" w:space="0" w:color="FFFFFF"/>
            </w:tcBorders>
            <w:shd w:val="clear" w:color="auto" w:fill="FFFFFF"/>
            <w:vAlign w:val="center"/>
          </w:tcPr>
          <w:p w:rsidR="00727D26" w:rsidRPr="00524381" w:rsidRDefault="00727D26" w:rsidP="00524381">
            <w:pPr>
              <w:pStyle w:val="Bezriadkovania"/>
              <w:numPr>
                <w:ilvl w:val="0"/>
                <w:numId w:val="24"/>
              </w:numPr>
              <w:ind w:left="284" w:hanging="284"/>
              <w:jc w:val="both"/>
              <w:rPr>
                <w:rFonts w:ascii="Times New Roman" w:hAnsi="Times New Roman"/>
                <w:sz w:val="20"/>
                <w:szCs w:val="20"/>
              </w:rPr>
            </w:pPr>
            <w:r w:rsidRPr="00524381">
              <w:rPr>
                <w:rFonts w:ascii="Times New Roman" w:hAnsi="Times New Roman"/>
                <w:sz w:val="20"/>
                <w:szCs w:val="20"/>
              </w:rPr>
              <w:t>transpozícia smernice Rady (EÚ) 2020/262 z 19. decembra 2019, ktorou sa stanovuje všeobecný systém spotrebných daní do legislatívy Slovenskej republiky,</w:t>
            </w:r>
          </w:p>
          <w:p w:rsidR="00727D26" w:rsidRPr="00524381" w:rsidRDefault="00727D26" w:rsidP="00524381">
            <w:pPr>
              <w:pStyle w:val="Odsekzoznamu"/>
              <w:numPr>
                <w:ilvl w:val="0"/>
                <w:numId w:val="24"/>
              </w:numPr>
              <w:spacing w:after="0" w:line="240" w:lineRule="auto"/>
              <w:ind w:left="284" w:hanging="284"/>
              <w:jc w:val="both"/>
              <w:rPr>
                <w:rFonts w:ascii="Times New Roman" w:hAnsi="Times New Roman"/>
                <w:sz w:val="20"/>
                <w:szCs w:val="20"/>
              </w:rPr>
            </w:pPr>
            <w:r w:rsidRPr="00524381">
              <w:rPr>
                <w:rFonts w:ascii="Times New Roman" w:hAnsi="Times New Roman"/>
                <w:bCs/>
                <w:sz w:val="20"/>
                <w:szCs w:val="20"/>
              </w:rPr>
              <w:t>úprava zákona v súlade s vykonávacím nariadením Komisie (EÚ) 2019/1776 z 9. októbra 2019, ktorým sa mení príloha I k nariad</w:t>
            </w:r>
            <w:r w:rsidRPr="00524381">
              <w:rPr>
                <w:rFonts w:ascii="Times New Roman" w:hAnsi="Times New Roman"/>
                <w:bCs/>
                <w:sz w:val="20"/>
                <w:szCs w:val="20"/>
              </w:rPr>
              <w:softHyphen/>
              <w:t>eniu Rady (EHS) č. 2658/87 o colnej a štatistickej nomenklatúre a o Spoločnom colnom sadzobníku,</w:t>
            </w:r>
          </w:p>
          <w:p w:rsidR="00727D26" w:rsidRPr="00524381" w:rsidRDefault="00727D26" w:rsidP="00524381">
            <w:pPr>
              <w:pStyle w:val="Odsekzoznamu"/>
              <w:numPr>
                <w:ilvl w:val="0"/>
                <w:numId w:val="24"/>
              </w:numPr>
              <w:spacing w:after="0" w:line="240" w:lineRule="auto"/>
              <w:ind w:left="284" w:hanging="284"/>
              <w:jc w:val="both"/>
              <w:rPr>
                <w:rFonts w:ascii="Times New Roman" w:hAnsi="Times New Roman"/>
                <w:sz w:val="20"/>
                <w:szCs w:val="20"/>
              </w:rPr>
            </w:pPr>
            <w:r w:rsidRPr="00524381">
              <w:rPr>
                <w:rFonts w:ascii="Times New Roman" w:hAnsi="Times New Roman"/>
                <w:sz w:val="20"/>
                <w:szCs w:val="20"/>
              </w:rPr>
              <w:t>legislatívno-technické úpravy zákona č. 98/2004 Z. z. o spotrebnej dani z minerálneho oleja v znení neskorších predpisov (ďalej len „zákon č. 98/2004 Z. z.“) vyplývajúce z poznatkov aplikačnej praxe.</w:t>
            </w:r>
          </w:p>
          <w:p w:rsidR="00727D26" w:rsidRPr="00524381" w:rsidRDefault="00727D26" w:rsidP="00A70D48">
            <w:pPr>
              <w:rPr>
                <w:color w:val="000000"/>
                <w:sz w:val="20"/>
                <w:szCs w:val="20"/>
                <w:lang w:eastAsia="en-US"/>
              </w:rPr>
            </w:pPr>
          </w:p>
        </w:tc>
      </w:tr>
      <w:tr w:rsidR="00727D26" w:rsidRPr="003C289B" w:rsidTr="00524381">
        <w:tc>
          <w:tcPr>
            <w:tcW w:w="9180" w:type="dxa"/>
            <w:gridSpan w:val="10"/>
            <w:tcBorders>
              <w:bottom w:val="nil"/>
            </w:tcBorders>
            <w:shd w:val="clear" w:color="auto" w:fill="E2E2E2"/>
          </w:tcPr>
          <w:p w:rsidR="00727D26" w:rsidRPr="00524381" w:rsidRDefault="00727D26" w:rsidP="00524381">
            <w:pPr>
              <w:pStyle w:val="Odsekzoznamu"/>
              <w:numPr>
                <w:ilvl w:val="0"/>
                <w:numId w:val="11"/>
              </w:numPr>
              <w:spacing w:after="0" w:line="240" w:lineRule="auto"/>
              <w:ind w:left="426"/>
              <w:rPr>
                <w:rFonts w:ascii="Times New Roman" w:hAnsi="Times New Roman"/>
                <w:b/>
              </w:rPr>
            </w:pPr>
            <w:r w:rsidRPr="00524381">
              <w:rPr>
                <w:rFonts w:ascii="Times New Roman" w:hAnsi="Times New Roman"/>
                <w:b/>
              </w:rPr>
              <w:t>Ciele a výsledný stav</w:t>
            </w:r>
          </w:p>
        </w:tc>
      </w:tr>
      <w:tr w:rsidR="00727D26" w:rsidRPr="003C289B" w:rsidTr="00524381">
        <w:trPr>
          <w:trHeight w:val="680"/>
        </w:trPr>
        <w:tc>
          <w:tcPr>
            <w:tcW w:w="9180" w:type="dxa"/>
            <w:gridSpan w:val="10"/>
            <w:tcBorders>
              <w:top w:val="nil"/>
            </w:tcBorders>
            <w:shd w:val="clear" w:color="auto" w:fill="FFFFFF"/>
            <w:vAlign w:val="center"/>
          </w:tcPr>
          <w:p w:rsidR="00727D26" w:rsidRPr="00524381" w:rsidRDefault="00727D26" w:rsidP="00524381">
            <w:pPr>
              <w:pStyle w:val="Bezriadkovania"/>
              <w:jc w:val="both"/>
              <w:rPr>
                <w:rStyle w:val="Zstupntext"/>
                <w:color w:val="000000"/>
              </w:rPr>
            </w:pPr>
            <w:r w:rsidRPr="00524381">
              <w:rPr>
                <w:rFonts w:ascii="Times New Roman" w:hAnsi="Times New Roman"/>
                <w:sz w:val="20"/>
                <w:szCs w:val="20"/>
              </w:rPr>
              <w:t>Transpozícia smernice Rady (EÚ) 2020/262 z 19. decembra 2019, ktorou sa stanovuje všeobecný systém spotrebných daní do legislatívy Slovenskej republiky a l</w:t>
            </w:r>
            <w:r w:rsidRPr="00524381">
              <w:rPr>
                <w:rStyle w:val="Zstupntext"/>
                <w:color w:val="000000"/>
                <w:sz w:val="20"/>
                <w:szCs w:val="20"/>
              </w:rPr>
              <w:t>egislatívne úpravy zamerané úpravu niektorých ustanovení vyplývajúce</w:t>
            </w:r>
            <w:r w:rsidRPr="00524381">
              <w:rPr>
                <w:rFonts w:ascii="Times New Roman" w:hAnsi="Times New Roman"/>
                <w:sz w:val="20"/>
                <w:szCs w:val="20"/>
              </w:rPr>
              <w:t xml:space="preserve"> z poznatkov aplikačnej praxe.</w:t>
            </w:r>
          </w:p>
          <w:p w:rsidR="00727D26" w:rsidRPr="00524381" w:rsidRDefault="00727D26" w:rsidP="00524381">
            <w:pPr>
              <w:pStyle w:val="Bezriadkovania"/>
              <w:jc w:val="both"/>
              <w:rPr>
                <w:rStyle w:val="Zstupntext"/>
                <w:sz w:val="20"/>
                <w:szCs w:val="20"/>
              </w:rPr>
            </w:pPr>
          </w:p>
        </w:tc>
      </w:tr>
      <w:tr w:rsidR="00727D26" w:rsidRPr="003C289B" w:rsidTr="00524381">
        <w:tc>
          <w:tcPr>
            <w:tcW w:w="9180" w:type="dxa"/>
            <w:gridSpan w:val="10"/>
            <w:tcBorders>
              <w:bottom w:val="nil"/>
            </w:tcBorders>
            <w:shd w:val="clear" w:color="auto" w:fill="E2E2E2"/>
          </w:tcPr>
          <w:p w:rsidR="00727D26" w:rsidRPr="00524381" w:rsidRDefault="00727D26" w:rsidP="00524381">
            <w:pPr>
              <w:pStyle w:val="Odsekzoznamu"/>
              <w:numPr>
                <w:ilvl w:val="0"/>
                <w:numId w:val="11"/>
              </w:numPr>
              <w:spacing w:after="0" w:line="240" w:lineRule="auto"/>
              <w:ind w:left="426"/>
              <w:rPr>
                <w:rStyle w:val="Zstupntext"/>
                <w:color w:val="000000"/>
              </w:rPr>
            </w:pPr>
            <w:r w:rsidRPr="00524381">
              <w:rPr>
                <w:rFonts w:ascii="Times New Roman" w:hAnsi="Times New Roman"/>
                <w:b/>
              </w:rPr>
              <w:t>Dotknuté subjekty</w:t>
            </w:r>
          </w:p>
        </w:tc>
      </w:tr>
      <w:tr w:rsidR="00727D26" w:rsidRPr="003C289B" w:rsidTr="00524381">
        <w:tc>
          <w:tcPr>
            <w:tcW w:w="9180" w:type="dxa"/>
            <w:gridSpan w:val="10"/>
            <w:tcBorders>
              <w:top w:val="nil"/>
            </w:tcBorders>
            <w:shd w:val="clear" w:color="auto" w:fill="FFFFFF"/>
          </w:tcPr>
          <w:p w:rsidR="00727D26" w:rsidRPr="00524381" w:rsidRDefault="00727D26" w:rsidP="00524381">
            <w:pPr>
              <w:jc w:val="both"/>
              <w:rPr>
                <w:sz w:val="20"/>
                <w:szCs w:val="20"/>
                <w:lang w:eastAsia="en-US"/>
              </w:rPr>
            </w:pPr>
            <w:r w:rsidRPr="00524381">
              <w:rPr>
                <w:sz w:val="20"/>
                <w:szCs w:val="20"/>
                <w:lang w:eastAsia="en-US"/>
              </w:rPr>
              <w:t>Podnikateľské subjekty, ktoré obchodujú s minerálnymi olejmi podľa zákona č. 98/2004 Z. z</w:t>
            </w:r>
            <w:r w:rsidRPr="00524381">
              <w:rPr>
                <w:bCs/>
                <w:sz w:val="20"/>
                <w:szCs w:val="20"/>
                <w:lang w:eastAsia="en-US"/>
              </w:rPr>
              <w:t>.</w:t>
            </w:r>
          </w:p>
          <w:p w:rsidR="00727D26" w:rsidRPr="00524381" w:rsidRDefault="00727D26" w:rsidP="00A70D48">
            <w:pPr>
              <w:rPr>
                <w:sz w:val="20"/>
                <w:szCs w:val="20"/>
                <w:lang w:eastAsia="en-US"/>
              </w:rPr>
            </w:pPr>
          </w:p>
        </w:tc>
      </w:tr>
      <w:tr w:rsidR="00727D26" w:rsidRPr="003C289B" w:rsidTr="00524381">
        <w:tc>
          <w:tcPr>
            <w:tcW w:w="9180" w:type="dxa"/>
            <w:gridSpan w:val="10"/>
            <w:tcBorders>
              <w:bottom w:val="nil"/>
            </w:tcBorders>
            <w:shd w:val="clear" w:color="auto" w:fill="E2E2E2"/>
          </w:tcPr>
          <w:p w:rsidR="00727D26" w:rsidRPr="00524381" w:rsidRDefault="00727D26" w:rsidP="00524381">
            <w:pPr>
              <w:pStyle w:val="Odsekzoznamu"/>
              <w:numPr>
                <w:ilvl w:val="0"/>
                <w:numId w:val="11"/>
              </w:numPr>
              <w:spacing w:after="0" w:line="240" w:lineRule="auto"/>
              <w:ind w:left="426"/>
              <w:rPr>
                <w:rFonts w:ascii="Times New Roman" w:hAnsi="Times New Roman"/>
                <w:b/>
              </w:rPr>
            </w:pPr>
            <w:r w:rsidRPr="00524381">
              <w:rPr>
                <w:rFonts w:ascii="Times New Roman" w:hAnsi="Times New Roman"/>
                <w:b/>
              </w:rPr>
              <w:t>Alternatívne riešenia</w:t>
            </w:r>
          </w:p>
        </w:tc>
      </w:tr>
      <w:tr w:rsidR="00727D26" w:rsidRPr="003C289B" w:rsidTr="00524381">
        <w:trPr>
          <w:trHeight w:val="454"/>
        </w:trPr>
        <w:tc>
          <w:tcPr>
            <w:tcW w:w="9180" w:type="dxa"/>
            <w:gridSpan w:val="10"/>
            <w:tcBorders>
              <w:top w:val="nil"/>
            </w:tcBorders>
            <w:shd w:val="clear" w:color="auto" w:fill="FFFFFF"/>
            <w:vAlign w:val="center"/>
          </w:tcPr>
          <w:p w:rsidR="00727D26" w:rsidRPr="00524381" w:rsidRDefault="00727D26" w:rsidP="00524381">
            <w:pPr>
              <w:jc w:val="both"/>
              <w:rPr>
                <w:sz w:val="20"/>
                <w:szCs w:val="20"/>
                <w:lang w:eastAsia="en-US"/>
              </w:rPr>
            </w:pPr>
            <w:r w:rsidRPr="00524381">
              <w:rPr>
                <w:sz w:val="20"/>
                <w:szCs w:val="20"/>
                <w:lang w:eastAsia="en-US"/>
              </w:rPr>
              <w:t>Nie je alternatívne riešenie. Slovenská republika je povinná transponovať text smernice Rady (EÚ) 2020/262 z 19. decembra 2019, ktorou sa stanovuje všeobecný systém spotrebných daní do legislatívy Slovenskej republiky najneskôr do 13. februára 2023.</w:t>
            </w:r>
          </w:p>
          <w:p w:rsidR="00727D26" w:rsidRPr="00524381" w:rsidRDefault="00727D26" w:rsidP="00524381">
            <w:pPr>
              <w:jc w:val="both"/>
              <w:rPr>
                <w:sz w:val="20"/>
                <w:szCs w:val="20"/>
                <w:lang w:eastAsia="en-US"/>
              </w:rPr>
            </w:pPr>
          </w:p>
        </w:tc>
      </w:tr>
      <w:tr w:rsidR="00727D26" w:rsidRPr="003C289B" w:rsidTr="00524381">
        <w:tc>
          <w:tcPr>
            <w:tcW w:w="9180" w:type="dxa"/>
            <w:gridSpan w:val="10"/>
            <w:tcBorders>
              <w:bottom w:val="single" w:sz="4" w:space="0" w:color="FFFFFF"/>
            </w:tcBorders>
            <w:shd w:val="clear" w:color="auto" w:fill="E2E2E2"/>
          </w:tcPr>
          <w:p w:rsidR="00727D26" w:rsidRPr="00524381" w:rsidRDefault="00727D26" w:rsidP="00524381">
            <w:pPr>
              <w:pStyle w:val="Odsekzoznamu"/>
              <w:numPr>
                <w:ilvl w:val="0"/>
                <w:numId w:val="11"/>
              </w:numPr>
              <w:spacing w:after="0" w:line="240" w:lineRule="auto"/>
              <w:ind w:left="426"/>
              <w:rPr>
                <w:rFonts w:ascii="Times New Roman" w:hAnsi="Times New Roman"/>
                <w:b/>
              </w:rPr>
            </w:pPr>
            <w:r w:rsidRPr="00524381">
              <w:rPr>
                <w:rFonts w:ascii="Times New Roman" w:hAnsi="Times New Roman"/>
                <w:b/>
              </w:rPr>
              <w:t>Vykonávacie predpisy</w:t>
            </w:r>
          </w:p>
        </w:tc>
      </w:tr>
      <w:tr w:rsidR="00524381" w:rsidRPr="003C289B" w:rsidTr="00524381">
        <w:trPr>
          <w:trHeight w:val="340"/>
        </w:trPr>
        <w:tc>
          <w:tcPr>
            <w:tcW w:w="6203" w:type="dxa"/>
            <w:gridSpan w:val="6"/>
            <w:tcBorders>
              <w:top w:val="single" w:sz="4" w:space="0" w:color="FFFFFF"/>
              <w:bottom w:val="nil"/>
              <w:right w:val="nil"/>
            </w:tcBorders>
            <w:shd w:val="clear" w:color="auto" w:fill="FFFFFF"/>
          </w:tcPr>
          <w:p w:rsidR="00727D26" w:rsidRPr="00524381" w:rsidRDefault="00727D26" w:rsidP="00A70D48">
            <w:pPr>
              <w:rPr>
                <w:i/>
                <w:sz w:val="22"/>
                <w:szCs w:val="22"/>
                <w:lang w:eastAsia="en-US"/>
              </w:rPr>
            </w:pPr>
            <w:r w:rsidRPr="00524381">
              <w:rPr>
                <w:i/>
                <w:sz w:val="22"/>
                <w:szCs w:val="22"/>
                <w:lang w:eastAsia="en-US"/>
              </w:rPr>
              <w:t>Predpokladá sa prijatie/zmena vykonávacích predpisov?</w:t>
            </w:r>
          </w:p>
          <w:p w:rsidR="00727D26" w:rsidRPr="00524381" w:rsidRDefault="00727D26" w:rsidP="00524381">
            <w:pPr>
              <w:jc w:val="both"/>
              <w:rPr>
                <w:sz w:val="20"/>
                <w:szCs w:val="20"/>
                <w:lang w:eastAsia="en-US"/>
              </w:rPr>
            </w:pPr>
          </w:p>
          <w:p w:rsidR="00727D26" w:rsidRPr="00524381" w:rsidRDefault="00727D26" w:rsidP="00524381">
            <w:pPr>
              <w:jc w:val="both"/>
              <w:rPr>
                <w:sz w:val="20"/>
                <w:szCs w:val="20"/>
                <w:lang w:eastAsia="en-US"/>
              </w:rPr>
            </w:pPr>
            <w:r w:rsidRPr="00524381">
              <w:rPr>
                <w:sz w:val="20"/>
                <w:szCs w:val="20"/>
                <w:lang w:eastAsia="en-US"/>
              </w:rPr>
              <w:t>Návrh vyhlášky Ministerstva financií Slovenskej republiky, ktorou sa ustanovujú normy strát minerálneho oleja pri jeho preprave, skladovaní a manipulácii.</w:t>
            </w:r>
          </w:p>
          <w:p w:rsidR="00727D26" w:rsidRPr="00524381" w:rsidRDefault="00727D26" w:rsidP="00524381">
            <w:pPr>
              <w:jc w:val="both"/>
              <w:rPr>
                <w:bCs/>
                <w:sz w:val="20"/>
                <w:szCs w:val="20"/>
                <w:lang w:eastAsia="en-US"/>
              </w:rPr>
            </w:pPr>
          </w:p>
          <w:p w:rsidR="00727D26" w:rsidRPr="00524381" w:rsidRDefault="00727D26" w:rsidP="00524381">
            <w:pPr>
              <w:jc w:val="both"/>
              <w:rPr>
                <w:bCs/>
                <w:sz w:val="20"/>
                <w:szCs w:val="20"/>
                <w:lang w:eastAsia="en-US"/>
              </w:rPr>
            </w:pPr>
            <w:r w:rsidRPr="00524381">
              <w:rPr>
                <w:bCs/>
                <w:sz w:val="20"/>
                <w:szCs w:val="20"/>
                <w:lang w:eastAsia="en-US"/>
              </w:rPr>
              <w:t>Návrh vyhlášky Ministerstva financií Slovenskej republiky, ktorou sa ustanovuje vzor daňového priznania a dodatočného daňového priznania            k spotrebnej dani z minerálneho oleja.</w:t>
            </w:r>
          </w:p>
          <w:p w:rsidR="00727D26" w:rsidRPr="00524381" w:rsidRDefault="00727D26" w:rsidP="00524381">
            <w:pPr>
              <w:jc w:val="both"/>
              <w:rPr>
                <w:sz w:val="20"/>
                <w:szCs w:val="20"/>
                <w:lang w:eastAsia="en-US"/>
              </w:rPr>
            </w:pPr>
          </w:p>
        </w:tc>
        <w:tc>
          <w:tcPr>
            <w:tcW w:w="1417" w:type="dxa"/>
            <w:gridSpan w:val="2"/>
            <w:tcBorders>
              <w:top w:val="single" w:sz="4" w:space="0" w:color="FFFFFF"/>
              <w:left w:val="nil"/>
              <w:bottom w:val="nil"/>
              <w:right w:val="nil"/>
            </w:tcBorders>
            <w:shd w:val="clear" w:color="auto" w:fill="FFFFFF"/>
          </w:tcPr>
          <w:p w:rsidR="00727D26" w:rsidRPr="00524381" w:rsidRDefault="00727D26" w:rsidP="00524381">
            <w:pPr>
              <w:jc w:val="center"/>
              <w:rPr>
                <w:sz w:val="22"/>
                <w:szCs w:val="22"/>
                <w:lang w:eastAsia="en-US"/>
              </w:rPr>
            </w:pPr>
            <w:r w:rsidRPr="00524381">
              <w:rPr>
                <w:rFonts w:ascii="Segoe UI Symbol" w:eastAsia="MS Gothic" w:hAnsi="Segoe UI Symbol" w:cs="Segoe UI Symbol"/>
                <w:sz w:val="22"/>
                <w:szCs w:val="22"/>
                <w:lang w:eastAsia="en-US"/>
              </w:rPr>
              <w:t>☒</w:t>
            </w:r>
            <w:r w:rsidRPr="00524381">
              <w:rPr>
                <w:sz w:val="22"/>
                <w:szCs w:val="22"/>
                <w:lang w:eastAsia="en-US"/>
              </w:rPr>
              <w:t xml:space="preserve"> Áno</w:t>
            </w:r>
          </w:p>
        </w:tc>
        <w:tc>
          <w:tcPr>
            <w:tcW w:w="1560" w:type="dxa"/>
            <w:gridSpan w:val="2"/>
            <w:tcBorders>
              <w:top w:val="single" w:sz="4" w:space="0" w:color="FFFFFF"/>
              <w:left w:val="nil"/>
              <w:bottom w:val="nil"/>
            </w:tcBorders>
            <w:shd w:val="clear" w:color="auto" w:fill="FFFFFF"/>
          </w:tcPr>
          <w:p w:rsidR="00727D26" w:rsidRPr="00524381" w:rsidRDefault="00727D26" w:rsidP="00524381">
            <w:pPr>
              <w:jc w:val="center"/>
              <w:rPr>
                <w:sz w:val="22"/>
                <w:szCs w:val="22"/>
                <w:lang w:eastAsia="en-US"/>
              </w:rPr>
            </w:pPr>
            <w:r w:rsidRPr="00524381">
              <w:rPr>
                <w:rFonts w:ascii="Segoe UI Symbol" w:eastAsia="MS Gothic" w:hAnsi="Segoe UI Symbol" w:cs="Segoe UI Symbol"/>
                <w:sz w:val="22"/>
                <w:szCs w:val="22"/>
                <w:lang w:eastAsia="en-US"/>
              </w:rPr>
              <w:t>☐</w:t>
            </w:r>
            <w:r w:rsidRPr="00524381">
              <w:rPr>
                <w:sz w:val="22"/>
                <w:szCs w:val="22"/>
                <w:lang w:eastAsia="en-US"/>
              </w:rPr>
              <w:t xml:space="preserve"> Nie</w:t>
            </w:r>
          </w:p>
          <w:p w:rsidR="00727D26" w:rsidRPr="00524381" w:rsidRDefault="00727D26" w:rsidP="00524381">
            <w:pPr>
              <w:ind w:left="-7620"/>
              <w:jc w:val="center"/>
              <w:rPr>
                <w:sz w:val="22"/>
                <w:szCs w:val="22"/>
                <w:lang w:eastAsia="en-US"/>
              </w:rPr>
            </w:pPr>
          </w:p>
        </w:tc>
      </w:tr>
      <w:tr w:rsidR="00727D26" w:rsidRPr="003C289B" w:rsidTr="00524381">
        <w:tc>
          <w:tcPr>
            <w:tcW w:w="9180" w:type="dxa"/>
            <w:gridSpan w:val="10"/>
            <w:shd w:val="clear" w:color="auto" w:fill="auto"/>
          </w:tcPr>
          <w:p w:rsidR="00727D26" w:rsidRPr="00524381" w:rsidRDefault="00727D26" w:rsidP="00524381">
            <w:pPr>
              <w:pStyle w:val="Odsekzoznamu"/>
              <w:numPr>
                <w:ilvl w:val="0"/>
                <w:numId w:val="11"/>
              </w:numPr>
              <w:spacing w:after="0" w:line="240" w:lineRule="auto"/>
              <w:ind w:left="426"/>
              <w:rPr>
                <w:rFonts w:ascii="Times New Roman" w:hAnsi="Times New Roman"/>
                <w:b/>
              </w:rPr>
            </w:pPr>
            <w:r w:rsidRPr="00524381">
              <w:rPr>
                <w:rFonts w:ascii="Times New Roman" w:hAnsi="Times New Roman"/>
                <w:b/>
              </w:rPr>
              <w:lastRenderedPageBreak/>
              <w:t xml:space="preserve">Transpozícia práva EÚ </w:t>
            </w:r>
          </w:p>
        </w:tc>
      </w:tr>
      <w:tr w:rsidR="00727D26" w:rsidRPr="003C289B" w:rsidTr="00524381">
        <w:trPr>
          <w:trHeight w:val="340"/>
        </w:trPr>
        <w:tc>
          <w:tcPr>
            <w:tcW w:w="9180" w:type="dxa"/>
            <w:gridSpan w:val="10"/>
            <w:shd w:val="clear" w:color="auto" w:fill="auto"/>
          </w:tcPr>
          <w:p w:rsidR="00727D26" w:rsidRPr="00524381" w:rsidRDefault="00727D26" w:rsidP="00A70D48">
            <w:pPr>
              <w:rPr>
                <w:sz w:val="20"/>
                <w:szCs w:val="20"/>
                <w:lang w:eastAsia="en-US"/>
              </w:rPr>
            </w:pPr>
            <w:r w:rsidRPr="00524381">
              <w:rPr>
                <w:sz w:val="20"/>
                <w:szCs w:val="20"/>
                <w:lang w:eastAsia="en-US"/>
              </w:rPr>
              <w:t>Návrh zákona transponuje Smernicu Rady (EÚ) 2020/262 z 19. decembra 2019, ktorou sa stanovuje všeobecný systém spotrebných daní do národnej legislatívy v rozsahu tejto smernice.</w:t>
            </w:r>
          </w:p>
          <w:p w:rsidR="00727D26" w:rsidRPr="00524381" w:rsidRDefault="00727D26" w:rsidP="00A70D48">
            <w:pPr>
              <w:rPr>
                <w:sz w:val="20"/>
                <w:szCs w:val="20"/>
                <w:lang w:eastAsia="en-US"/>
              </w:rPr>
            </w:pPr>
          </w:p>
          <w:p w:rsidR="00727D26" w:rsidRPr="00524381" w:rsidRDefault="00727D26" w:rsidP="00A70D48">
            <w:pPr>
              <w:rPr>
                <w:sz w:val="20"/>
                <w:szCs w:val="20"/>
                <w:lang w:eastAsia="en-US"/>
              </w:rPr>
            </w:pPr>
          </w:p>
        </w:tc>
      </w:tr>
      <w:tr w:rsidR="00727D26" w:rsidRPr="003C289B" w:rsidTr="00524381">
        <w:tc>
          <w:tcPr>
            <w:tcW w:w="9180" w:type="dxa"/>
            <w:gridSpan w:val="10"/>
            <w:shd w:val="clear" w:color="auto" w:fill="auto"/>
          </w:tcPr>
          <w:p w:rsidR="00727D26" w:rsidRPr="00524381" w:rsidRDefault="00727D26" w:rsidP="00524381">
            <w:pPr>
              <w:pStyle w:val="Odsekzoznamu"/>
              <w:numPr>
                <w:ilvl w:val="0"/>
                <w:numId w:val="11"/>
              </w:numPr>
              <w:spacing w:after="0" w:line="240" w:lineRule="auto"/>
              <w:ind w:left="426"/>
              <w:rPr>
                <w:rFonts w:ascii="Times New Roman" w:hAnsi="Times New Roman"/>
                <w:b/>
              </w:rPr>
            </w:pPr>
            <w:r w:rsidRPr="00524381">
              <w:rPr>
                <w:rFonts w:ascii="Times New Roman" w:hAnsi="Times New Roman"/>
                <w:b/>
              </w:rPr>
              <w:t>Preskúmanie účelnosti**</w:t>
            </w:r>
          </w:p>
        </w:tc>
      </w:tr>
      <w:tr w:rsidR="00727D26" w:rsidRPr="003C289B" w:rsidTr="00524381">
        <w:tc>
          <w:tcPr>
            <w:tcW w:w="9180" w:type="dxa"/>
            <w:gridSpan w:val="10"/>
            <w:tcBorders>
              <w:top w:val="single" w:sz="4" w:space="0" w:color="FFFFFF"/>
            </w:tcBorders>
            <w:shd w:val="clear" w:color="auto" w:fill="FFFFFF"/>
          </w:tcPr>
          <w:p w:rsidR="00727D26" w:rsidRPr="00524381" w:rsidRDefault="00727D26" w:rsidP="00A70D48">
            <w:pPr>
              <w:rPr>
                <w:sz w:val="20"/>
                <w:szCs w:val="20"/>
                <w:lang w:eastAsia="en-US"/>
              </w:rPr>
            </w:pPr>
            <w:r w:rsidRPr="00524381">
              <w:rPr>
                <w:sz w:val="20"/>
                <w:szCs w:val="20"/>
                <w:lang w:eastAsia="en-US"/>
              </w:rPr>
              <w:t>Bezpredmetné.</w:t>
            </w:r>
          </w:p>
          <w:p w:rsidR="00727D26" w:rsidRPr="00524381" w:rsidRDefault="00727D26" w:rsidP="00A70D48">
            <w:pPr>
              <w:rPr>
                <w:sz w:val="20"/>
                <w:szCs w:val="20"/>
                <w:lang w:eastAsia="en-US"/>
              </w:rPr>
            </w:pPr>
          </w:p>
        </w:tc>
      </w:tr>
      <w:tr w:rsidR="00727D26" w:rsidRPr="003C289B" w:rsidTr="00524381">
        <w:trPr>
          <w:trHeight w:val="715"/>
        </w:trPr>
        <w:tc>
          <w:tcPr>
            <w:tcW w:w="9180" w:type="dxa"/>
            <w:gridSpan w:val="10"/>
            <w:tcBorders>
              <w:left w:val="nil"/>
              <w:bottom w:val="nil"/>
              <w:right w:val="nil"/>
            </w:tcBorders>
            <w:shd w:val="clear" w:color="auto" w:fill="FFFFFF"/>
          </w:tcPr>
          <w:p w:rsidR="00727D26" w:rsidRPr="00524381" w:rsidRDefault="00727D26" w:rsidP="00A70D48">
            <w:pPr>
              <w:rPr>
                <w:sz w:val="22"/>
                <w:szCs w:val="22"/>
                <w:lang w:eastAsia="en-US"/>
              </w:rPr>
            </w:pPr>
          </w:p>
          <w:p w:rsidR="00727D26" w:rsidRPr="00524381" w:rsidRDefault="00727D26" w:rsidP="00524381">
            <w:pPr>
              <w:ind w:left="142" w:hanging="142"/>
              <w:jc w:val="both"/>
              <w:rPr>
                <w:sz w:val="20"/>
                <w:szCs w:val="20"/>
                <w:lang w:eastAsia="en-US"/>
              </w:rPr>
            </w:pPr>
            <w:r w:rsidRPr="00524381">
              <w:rPr>
                <w:sz w:val="20"/>
                <w:szCs w:val="20"/>
                <w:lang w:eastAsia="en-US"/>
              </w:rPr>
              <w:t>* vyplniť iba v prípade, ak materiál nie je zahrnutý do Plánu práce vlády Slovenskej republiky alebo Plánu legislatívnych úloh vlády Slovenskej republiky.</w:t>
            </w:r>
          </w:p>
          <w:p w:rsidR="00727D26" w:rsidRPr="00524381" w:rsidRDefault="00727D26" w:rsidP="00A70D48">
            <w:pPr>
              <w:rPr>
                <w:sz w:val="20"/>
                <w:szCs w:val="20"/>
                <w:lang w:eastAsia="en-US"/>
              </w:rPr>
            </w:pPr>
            <w:r w:rsidRPr="00524381">
              <w:rPr>
                <w:sz w:val="20"/>
                <w:szCs w:val="20"/>
                <w:lang w:eastAsia="en-US"/>
              </w:rPr>
              <w:t>** nepovinné</w:t>
            </w:r>
          </w:p>
          <w:p w:rsidR="00727D26" w:rsidRPr="00524381" w:rsidRDefault="00727D26" w:rsidP="00A70D48">
            <w:pPr>
              <w:rPr>
                <w:sz w:val="22"/>
                <w:szCs w:val="22"/>
                <w:lang w:eastAsia="en-US"/>
              </w:rPr>
            </w:pPr>
          </w:p>
        </w:tc>
      </w:tr>
      <w:tr w:rsidR="00727D26" w:rsidRPr="003C289B" w:rsidTr="00524381">
        <w:trPr>
          <w:trHeight w:val="577"/>
        </w:trPr>
        <w:tc>
          <w:tcPr>
            <w:tcW w:w="9180" w:type="dxa"/>
            <w:gridSpan w:val="10"/>
            <w:tcBorders>
              <w:bottom w:val="single" w:sz="4" w:space="0" w:color="FFFFFF"/>
            </w:tcBorders>
            <w:shd w:val="clear" w:color="auto" w:fill="E2E2E2"/>
            <w:vAlign w:val="center"/>
          </w:tcPr>
          <w:p w:rsidR="00727D26" w:rsidRPr="00524381" w:rsidRDefault="00727D26" w:rsidP="00524381">
            <w:pPr>
              <w:pStyle w:val="Odsekzoznamu"/>
              <w:numPr>
                <w:ilvl w:val="0"/>
                <w:numId w:val="11"/>
              </w:numPr>
              <w:spacing w:after="0" w:line="240" w:lineRule="auto"/>
              <w:ind w:left="426"/>
              <w:rPr>
                <w:rFonts w:ascii="Times New Roman" w:hAnsi="Times New Roman"/>
                <w:b/>
              </w:rPr>
            </w:pPr>
            <w:r w:rsidRPr="00524381">
              <w:rPr>
                <w:rFonts w:ascii="Times New Roman" w:hAnsi="Times New Roman"/>
                <w:b/>
              </w:rPr>
              <w:t>Vplyvy navrhovaného materiálu</w:t>
            </w:r>
          </w:p>
        </w:tc>
      </w:tr>
      <w:tr w:rsidR="00524381" w:rsidRPr="003C289B" w:rsidTr="00524381">
        <w:tc>
          <w:tcPr>
            <w:tcW w:w="3812" w:type="dxa"/>
            <w:tcBorders>
              <w:bottom w:val="nil"/>
            </w:tcBorders>
            <w:shd w:val="clear" w:color="auto" w:fill="E2E2E2"/>
          </w:tcPr>
          <w:p w:rsidR="00727D26" w:rsidRPr="00524381" w:rsidRDefault="00727D26" w:rsidP="00A70D48">
            <w:pPr>
              <w:rPr>
                <w:b/>
                <w:sz w:val="22"/>
                <w:szCs w:val="22"/>
                <w:lang w:eastAsia="en-US"/>
              </w:rPr>
            </w:pPr>
            <w:r w:rsidRPr="00524381">
              <w:rPr>
                <w:b/>
                <w:sz w:val="22"/>
                <w:szCs w:val="22"/>
                <w:lang w:eastAsia="en-US"/>
              </w:rPr>
              <w:t>Vplyvy na rozpočet verejnej správy</w:t>
            </w:r>
          </w:p>
        </w:tc>
        <w:tc>
          <w:tcPr>
            <w:tcW w:w="541" w:type="dxa"/>
            <w:gridSpan w:val="2"/>
            <w:tcBorders>
              <w:right w:val="nil"/>
            </w:tcBorders>
            <w:shd w:val="clear" w:color="auto" w:fill="auto"/>
          </w:tcPr>
          <w:p w:rsidR="00727D26" w:rsidRPr="00524381" w:rsidRDefault="00727D26" w:rsidP="00524381">
            <w:pPr>
              <w:jc w:val="center"/>
              <w:rPr>
                <w:b/>
                <w:sz w:val="22"/>
                <w:szCs w:val="22"/>
                <w:lang w:eastAsia="en-US"/>
              </w:rPr>
            </w:pPr>
            <w:r w:rsidRPr="00524381">
              <w:rPr>
                <w:rFonts w:ascii="Segoe UI Symbol" w:eastAsia="MS Mincho" w:hAnsi="Segoe UI Symbol" w:cs="Segoe UI Symbol"/>
                <w:b/>
                <w:sz w:val="22"/>
                <w:szCs w:val="22"/>
                <w:lang w:eastAsia="en-US"/>
              </w:rPr>
              <w:t>☐</w:t>
            </w:r>
          </w:p>
        </w:tc>
        <w:tc>
          <w:tcPr>
            <w:tcW w:w="1281" w:type="dxa"/>
            <w:gridSpan w:val="2"/>
            <w:tcBorders>
              <w:left w:val="nil"/>
              <w:right w:val="nil"/>
            </w:tcBorders>
            <w:shd w:val="clear" w:color="auto" w:fill="auto"/>
          </w:tcPr>
          <w:p w:rsidR="00727D26" w:rsidRPr="00524381" w:rsidRDefault="00727D26" w:rsidP="00A70D48">
            <w:pPr>
              <w:rPr>
                <w:b/>
                <w:sz w:val="22"/>
                <w:szCs w:val="22"/>
                <w:lang w:eastAsia="en-US"/>
              </w:rPr>
            </w:pPr>
            <w:r w:rsidRPr="00524381">
              <w:rPr>
                <w:b/>
                <w:sz w:val="22"/>
                <w:szCs w:val="22"/>
                <w:lang w:eastAsia="en-US"/>
              </w:rPr>
              <w:t>Pozitívne</w:t>
            </w:r>
          </w:p>
        </w:tc>
        <w:tc>
          <w:tcPr>
            <w:tcW w:w="569" w:type="dxa"/>
            <w:tcBorders>
              <w:left w:val="nil"/>
              <w:right w:val="nil"/>
            </w:tcBorders>
            <w:shd w:val="clear" w:color="auto" w:fill="auto"/>
          </w:tcPr>
          <w:p w:rsidR="00727D26" w:rsidRPr="00524381" w:rsidRDefault="00727D26" w:rsidP="00524381">
            <w:pPr>
              <w:jc w:val="center"/>
              <w:rPr>
                <w:b/>
                <w:sz w:val="22"/>
                <w:szCs w:val="22"/>
                <w:lang w:eastAsia="en-US"/>
              </w:rPr>
            </w:pPr>
            <w:r w:rsidRPr="00524381">
              <w:rPr>
                <w:rFonts w:ascii="Segoe UI Symbol" w:eastAsia="MS Mincho" w:hAnsi="Segoe UI Symbol" w:cs="Segoe UI Symbol"/>
                <w:b/>
                <w:sz w:val="22"/>
                <w:szCs w:val="22"/>
                <w:lang w:eastAsia="en-US"/>
              </w:rPr>
              <w:t>☐</w:t>
            </w:r>
          </w:p>
        </w:tc>
        <w:tc>
          <w:tcPr>
            <w:tcW w:w="1133" w:type="dxa"/>
            <w:tcBorders>
              <w:left w:val="nil"/>
              <w:right w:val="nil"/>
            </w:tcBorders>
            <w:shd w:val="clear" w:color="auto" w:fill="auto"/>
          </w:tcPr>
          <w:p w:rsidR="00727D26" w:rsidRPr="00524381" w:rsidRDefault="00727D26" w:rsidP="00A70D48">
            <w:pPr>
              <w:rPr>
                <w:b/>
                <w:sz w:val="22"/>
                <w:szCs w:val="22"/>
                <w:lang w:eastAsia="en-US"/>
              </w:rPr>
            </w:pPr>
            <w:r w:rsidRPr="00524381">
              <w:rPr>
                <w:b/>
                <w:sz w:val="22"/>
                <w:szCs w:val="22"/>
                <w:lang w:eastAsia="en-US"/>
              </w:rPr>
              <w:t>Žiadne</w:t>
            </w:r>
          </w:p>
        </w:tc>
        <w:tc>
          <w:tcPr>
            <w:tcW w:w="547" w:type="dxa"/>
            <w:gridSpan w:val="2"/>
            <w:tcBorders>
              <w:left w:val="nil"/>
              <w:right w:val="nil"/>
            </w:tcBorders>
            <w:shd w:val="clear" w:color="auto" w:fill="auto"/>
          </w:tcPr>
          <w:p w:rsidR="00727D26" w:rsidRPr="00524381" w:rsidRDefault="00727D26" w:rsidP="00524381">
            <w:pPr>
              <w:ind w:left="-107" w:right="-108"/>
              <w:jc w:val="center"/>
              <w:rPr>
                <w:b/>
                <w:sz w:val="22"/>
                <w:szCs w:val="22"/>
                <w:lang w:eastAsia="en-US"/>
              </w:rPr>
            </w:pPr>
            <w:r w:rsidRPr="00524381">
              <w:rPr>
                <w:rFonts w:ascii="Segoe UI Symbol" w:eastAsia="MS Gothic" w:hAnsi="Segoe UI Symbol" w:cs="Segoe UI Symbol"/>
                <w:sz w:val="22"/>
                <w:szCs w:val="22"/>
                <w:lang w:eastAsia="en-US"/>
              </w:rPr>
              <w:t>☒</w:t>
            </w:r>
          </w:p>
        </w:tc>
        <w:tc>
          <w:tcPr>
            <w:tcW w:w="1297" w:type="dxa"/>
            <w:tcBorders>
              <w:left w:val="nil"/>
            </w:tcBorders>
            <w:shd w:val="clear" w:color="auto" w:fill="auto"/>
          </w:tcPr>
          <w:p w:rsidR="00727D26" w:rsidRPr="00524381" w:rsidRDefault="00727D26" w:rsidP="00524381">
            <w:pPr>
              <w:ind w:left="34"/>
              <w:rPr>
                <w:b/>
                <w:sz w:val="22"/>
                <w:szCs w:val="22"/>
                <w:lang w:eastAsia="en-US"/>
              </w:rPr>
            </w:pPr>
            <w:r w:rsidRPr="00524381">
              <w:rPr>
                <w:b/>
                <w:sz w:val="22"/>
                <w:szCs w:val="22"/>
                <w:lang w:eastAsia="en-US"/>
              </w:rPr>
              <w:t>Negatívne</w:t>
            </w:r>
          </w:p>
        </w:tc>
      </w:tr>
      <w:tr w:rsidR="00524381" w:rsidRPr="003C289B" w:rsidTr="00524381">
        <w:tc>
          <w:tcPr>
            <w:tcW w:w="3812" w:type="dxa"/>
            <w:tcBorders>
              <w:top w:val="nil"/>
              <w:bottom w:val="single" w:sz="4" w:space="0" w:color="000000"/>
            </w:tcBorders>
            <w:shd w:val="clear" w:color="auto" w:fill="E2E2E2"/>
          </w:tcPr>
          <w:p w:rsidR="00727D26" w:rsidRPr="00524381" w:rsidRDefault="00727D26" w:rsidP="00A70D48">
            <w:pPr>
              <w:rPr>
                <w:sz w:val="22"/>
                <w:szCs w:val="22"/>
                <w:lang w:eastAsia="en-US"/>
              </w:rPr>
            </w:pPr>
            <w:r w:rsidRPr="00524381">
              <w:rPr>
                <w:sz w:val="22"/>
                <w:szCs w:val="22"/>
                <w:lang w:eastAsia="en-US"/>
              </w:rPr>
              <w:t xml:space="preserve">    z toho rozpočtovo zabezpečené vplyvy</w:t>
            </w:r>
          </w:p>
        </w:tc>
        <w:tc>
          <w:tcPr>
            <w:tcW w:w="541" w:type="dxa"/>
            <w:gridSpan w:val="2"/>
            <w:tcBorders>
              <w:right w:val="nil"/>
            </w:tcBorders>
            <w:shd w:val="clear" w:color="auto" w:fill="auto"/>
          </w:tcPr>
          <w:p w:rsidR="00727D26" w:rsidRPr="00524381" w:rsidRDefault="00727D26" w:rsidP="00524381">
            <w:pPr>
              <w:jc w:val="center"/>
              <w:rPr>
                <w:sz w:val="22"/>
                <w:szCs w:val="22"/>
                <w:lang w:eastAsia="en-US"/>
              </w:rPr>
            </w:pPr>
            <w:r w:rsidRPr="00524381">
              <w:rPr>
                <w:rFonts w:ascii="Segoe UI Symbol" w:eastAsia="MS Gothic" w:hAnsi="Segoe UI Symbol" w:cs="Segoe UI Symbol"/>
                <w:sz w:val="22"/>
                <w:szCs w:val="22"/>
                <w:lang w:eastAsia="en-US"/>
              </w:rPr>
              <w:t>☒</w:t>
            </w:r>
          </w:p>
        </w:tc>
        <w:tc>
          <w:tcPr>
            <w:tcW w:w="1281" w:type="dxa"/>
            <w:gridSpan w:val="2"/>
            <w:tcBorders>
              <w:left w:val="nil"/>
              <w:right w:val="nil"/>
            </w:tcBorders>
            <w:shd w:val="clear" w:color="auto" w:fill="auto"/>
          </w:tcPr>
          <w:p w:rsidR="00727D26" w:rsidRPr="00524381" w:rsidRDefault="00727D26" w:rsidP="00A70D48">
            <w:pPr>
              <w:rPr>
                <w:sz w:val="22"/>
                <w:szCs w:val="22"/>
                <w:lang w:eastAsia="en-US"/>
              </w:rPr>
            </w:pPr>
            <w:r w:rsidRPr="00524381">
              <w:rPr>
                <w:sz w:val="22"/>
                <w:szCs w:val="22"/>
                <w:lang w:eastAsia="en-US"/>
              </w:rPr>
              <w:t>Áno</w:t>
            </w:r>
          </w:p>
        </w:tc>
        <w:tc>
          <w:tcPr>
            <w:tcW w:w="569" w:type="dxa"/>
            <w:tcBorders>
              <w:left w:val="nil"/>
              <w:right w:val="nil"/>
            </w:tcBorders>
            <w:shd w:val="clear" w:color="auto" w:fill="auto"/>
          </w:tcPr>
          <w:p w:rsidR="00727D26" w:rsidRPr="00524381" w:rsidRDefault="00727D26" w:rsidP="00524381">
            <w:pPr>
              <w:jc w:val="center"/>
              <w:rPr>
                <w:sz w:val="22"/>
                <w:szCs w:val="22"/>
                <w:lang w:eastAsia="en-US"/>
              </w:rPr>
            </w:pPr>
            <w:r w:rsidRPr="00524381">
              <w:rPr>
                <w:rFonts w:ascii="Segoe UI Symbol" w:eastAsia="MS Mincho" w:hAnsi="Segoe UI Symbol" w:cs="Segoe UI Symbol"/>
                <w:sz w:val="22"/>
                <w:szCs w:val="22"/>
                <w:lang w:eastAsia="en-US"/>
              </w:rPr>
              <w:t>☐</w:t>
            </w:r>
          </w:p>
        </w:tc>
        <w:tc>
          <w:tcPr>
            <w:tcW w:w="1133" w:type="dxa"/>
            <w:tcBorders>
              <w:left w:val="nil"/>
              <w:right w:val="nil"/>
            </w:tcBorders>
            <w:shd w:val="clear" w:color="auto" w:fill="auto"/>
          </w:tcPr>
          <w:p w:rsidR="00727D26" w:rsidRPr="00524381" w:rsidRDefault="00727D26" w:rsidP="00A70D48">
            <w:pPr>
              <w:rPr>
                <w:sz w:val="22"/>
                <w:szCs w:val="22"/>
                <w:lang w:eastAsia="en-US"/>
              </w:rPr>
            </w:pPr>
            <w:r w:rsidRPr="00524381">
              <w:rPr>
                <w:sz w:val="22"/>
                <w:szCs w:val="22"/>
                <w:lang w:eastAsia="en-US"/>
              </w:rPr>
              <w:t>Nie</w:t>
            </w:r>
          </w:p>
        </w:tc>
        <w:tc>
          <w:tcPr>
            <w:tcW w:w="547" w:type="dxa"/>
            <w:gridSpan w:val="2"/>
            <w:tcBorders>
              <w:left w:val="nil"/>
              <w:right w:val="nil"/>
            </w:tcBorders>
            <w:shd w:val="clear" w:color="auto" w:fill="auto"/>
          </w:tcPr>
          <w:p w:rsidR="00727D26" w:rsidRPr="00524381" w:rsidRDefault="00727D26" w:rsidP="00524381">
            <w:pPr>
              <w:ind w:left="-107" w:right="-108"/>
              <w:jc w:val="center"/>
              <w:rPr>
                <w:sz w:val="22"/>
                <w:szCs w:val="22"/>
                <w:lang w:eastAsia="en-US"/>
              </w:rPr>
            </w:pPr>
            <w:r w:rsidRPr="00524381">
              <w:rPr>
                <w:rFonts w:ascii="Segoe UI Symbol" w:eastAsia="MS Mincho" w:hAnsi="Segoe UI Symbol" w:cs="Segoe UI Symbol"/>
                <w:sz w:val="22"/>
                <w:szCs w:val="22"/>
                <w:lang w:eastAsia="en-US"/>
              </w:rPr>
              <w:t>☐</w:t>
            </w:r>
          </w:p>
        </w:tc>
        <w:tc>
          <w:tcPr>
            <w:tcW w:w="1297" w:type="dxa"/>
            <w:tcBorders>
              <w:left w:val="nil"/>
            </w:tcBorders>
            <w:shd w:val="clear" w:color="auto" w:fill="auto"/>
          </w:tcPr>
          <w:p w:rsidR="00727D26" w:rsidRPr="00524381" w:rsidRDefault="00727D26" w:rsidP="00524381">
            <w:pPr>
              <w:ind w:left="34"/>
              <w:rPr>
                <w:sz w:val="22"/>
                <w:szCs w:val="22"/>
                <w:lang w:eastAsia="en-US"/>
              </w:rPr>
            </w:pPr>
            <w:r w:rsidRPr="00524381">
              <w:rPr>
                <w:sz w:val="22"/>
                <w:szCs w:val="22"/>
                <w:lang w:eastAsia="en-US"/>
              </w:rPr>
              <w:t>Čiastočne</w:t>
            </w:r>
          </w:p>
        </w:tc>
      </w:tr>
      <w:tr w:rsidR="00524381" w:rsidRPr="003C289B" w:rsidTr="00524381">
        <w:tc>
          <w:tcPr>
            <w:tcW w:w="3812" w:type="dxa"/>
            <w:tcBorders>
              <w:top w:val="single" w:sz="4" w:space="0" w:color="000000"/>
              <w:bottom w:val="nil"/>
            </w:tcBorders>
            <w:shd w:val="clear" w:color="auto" w:fill="E2E2E2"/>
          </w:tcPr>
          <w:p w:rsidR="00727D26" w:rsidRPr="00524381" w:rsidRDefault="00727D26" w:rsidP="00A70D48">
            <w:pPr>
              <w:rPr>
                <w:b/>
                <w:sz w:val="22"/>
                <w:szCs w:val="22"/>
                <w:lang w:eastAsia="en-US"/>
              </w:rPr>
            </w:pPr>
            <w:r w:rsidRPr="00524381">
              <w:rPr>
                <w:b/>
                <w:sz w:val="22"/>
                <w:szCs w:val="22"/>
                <w:lang w:eastAsia="en-US"/>
              </w:rPr>
              <w:t>Vplyvy na podnikateľské prostredie</w:t>
            </w:r>
          </w:p>
        </w:tc>
        <w:tc>
          <w:tcPr>
            <w:tcW w:w="541" w:type="dxa"/>
            <w:gridSpan w:val="2"/>
            <w:tcBorders>
              <w:right w:val="nil"/>
            </w:tcBorders>
            <w:shd w:val="clear" w:color="auto" w:fill="auto"/>
          </w:tcPr>
          <w:p w:rsidR="00727D26" w:rsidRPr="00524381" w:rsidRDefault="00727D26" w:rsidP="00524381">
            <w:pPr>
              <w:jc w:val="center"/>
              <w:rPr>
                <w:b/>
                <w:sz w:val="22"/>
                <w:szCs w:val="22"/>
                <w:lang w:eastAsia="en-US"/>
              </w:rPr>
            </w:pPr>
            <w:r w:rsidRPr="00524381">
              <w:rPr>
                <w:rFonts w:ascii="Segoe UI Symbol" w:eastAsia="MS Gothic" w:hAnsi="Segoe UI Symbol" w:cs="Segoe UI Symbol"/>
                <w:sz w:val="22"/>
                <w:szCs w:val="22"/>
                <w:lang w:eastAsia="en-US"/>
              </w:rPr>
              <w:t>☒</w:t>
            </w:r>
          </w:p>
        </w:tc>
        <w:tc>
          <w:tcPr>
            <w:tcW w:w="1281" w:type="dxa"/>
            <w:gridSpan w:val="2"/>
            <w:tcBorders>
              <w:left w:val="nil"/>
              <w:right w:val="nil"/>
            </w:tcBorders>
            <w:shd w:val="clear" w:color="auto" w:fill="auto"/>
          </w:tcPr>
          <w:p w:rsidR="00727D26" w:rsidRPr="00524381" w:rsidRDefault="00727D26" w:rsidP="00524381">
            <w:pPr>
              <w:ind w:right="-108"/>
              <w:rPr>
                <w:b/>
                <w:sz w:val="22"/>
                <w:szCs w:val="22"/>
                <w:lang w:eastAsia="en-US"/>
              </w:rPr>
            </w:pPr>
            <w:r w:rsidRPr="00524381">
              <w:rPr>
                <w:b/>
                <w:sz w:val="22"/>
                <w:szCs w:val="22"/>
                <w:lang w:eastAsia="en-US"/>
              </w:rPr>
              <w:t>Pozitívne</w:t>
            </w:r>
          </w:p>
        </w:tc>
        <w:tc>
          <w:tcPr>
            <w:tcW w:w="569" w:type="dxa"/>
            <w:tcBorders>
              <w:left w:val="nil"/>
              <w:right w:val="nil"/>
            </w:tcBorders>
            <w:shd w:val="clear" w:color="auto" w:fill="auto"/>
          </w:tcPr>
          <w:p w:rsidR="00727D26" w:rsidRPr="00524381" w:rsidRDefault="00727D26" w:rsidP="00524381">
            <w:pPr>
              <w:jc w:val="center"/>
              <w:rPr>
                <w:b/>
                <w:sz w:val="22"/>
                <w:szCs w:val="22"/>
                <w:lang w:eastAsia="en-US"/>
              </w:rPr>
            </w:pPr>
            <w:r w:rsidRPr="00524381">
              <w:rPr>
                <w:rFonts w:ascii="Segoe UI Symbol" w:eastAsia="MS Mincho" w:hAnsi="Segoe UI Symbol" w:cs="Segoe UI Symbol"/>
                <w:b/>
                <w:sz w:val="22"/>
                <w:szCs w:val="22"/>
                <w:lang w:eastAsia="en-US"/>
              </w:rPr>
              <w:t>☐</w:t>
            </w:r>
          </w:p>
        </w:tc>
        <w:tc>
          <w:tcPr>
            <w:tcW w:w="1133" w:type="dxa"/>
            <w:tcBorders>
              <w:left w:val="nil"/>
              <w:right w:val="nil"/>
            </w:tcBorders>
            <w:shd w:val="clear" w:color="auto" w:fill="auto"/>
          </w:tcPr>
          <w:p w:rsidR="00727D26" w:rsidRPr="00524381" w:rsidRDefault="00727D26" w:rsidP="00A70D48">
            <w:pPr>
              <w:rPr>
                <w:b/>
                <w:sz w:val="22"/>
                <w:szCs w:val="22"/>
                <w:lang w:eastAsia="en-US"/>
              </w:rPr>
            </w:pPr>
            <w:r w:rsidRPr="00524381">
              <w:rPr>
                <w:b/>
                <w:sz w:val="22"/>
                <w:szCs w:val="22"/>
                <w:lang w:eastAsia="en-US"/>
              </w:rPr>
              <w:t>Žiadne</w:t>
            </w:r>
          </w:p>
        </w:tc>
        <w:tc>
          <w:tcPr>
            <w:tcW w:w="547" w:type="dxa"/>
            <w:gridSpan w:val="2"/>
            <w:tcBorders>
              <w:left w:val="nil"/>
              <w:right w:val="nil"/>
            </w:tcBorders>
            <w:shd w:val="clear" w:color="auto" w:fill="auto"/>
          </w:tcPr>
          <w:p w:rsidR="00727D26" w:rsidRPr="00524381" w:rsidRDefault="00727D26" w:rsidP="00524381">
            <w:pPr>
              <w:jc w:val="center"/>
              <w:rPr>
                <w:b/>
                <w:sz w:val="22"/>
                <w:szCs w:val="22"/>
                <w:lang w:eastAsia="en-US"/>
              </w:rPr>
            </w:pPr>
            <w:r w:rsidRPr="00524381">
              <w:rPr>
                <w:rFonts w:ascii="Segoe UI Symbol" w:eastAsia="MS Gothic" w:hAnsi="Segoe UI Symbol" w:cs="Segoe UI Symbol"/>
                <w:sz w:val="22"/>
                <w:szCs w:val="22"/>
                <w:lang w:eastAsia="en-US"/>
              </w:rPr>
              <w:t>☒</w:t>
            </w:r>
          </w:p>
        </w:tc>
        <w:tc>
          <w:tcPr>
            <w:tcW w:w="1297" w:type="dxa"/>
            <w:tcBorders>
              <w:left w:val="nil"/>
            </w:tcBorders>
            <w:shd w:val="clear" w:color="auto" w:fill="auto"/>
          </w:tcPr>
          <w:p w:rsidR="00727D26" w:rsidRPr="00524381" w:rsidRDefault="00727D26" w:rsidP="00524381">
            <w:pPr>
              <w:ind w:left="54"/>
              <w:rPr>
                <w:b/>
                <w:sz w:val="22"/>
                <w:szCs w:val="22"/>
                <w:lang w:eastAsia="en-US"/>
              </w:rPr>
            </w:pPr>
            <w:r w:rsidRPr="00524381">
              <w:rPr>
                <w:b/>
                <w:sz w:val="22"/>
                <w:szCs w:val="22"/>
                <w:lang w:eastAsia="en-US"/>
              </w:rPr>
              <w:t>Negatívne</w:t>
            </w:r>
          </w:p>
        </w:tc>
      </w:tr>
      <w:tr w:rsidR="00524381" w:rsidRPr="003C289B" w:rsidTr="00524381">
        <w:tc>
          <w:tcPr>
            <w:tcW w:w="3812" w:type="dxa"/>
            <w:tcBorders>
              <w:top w:val="nil"/>
              <w:left w:val="single" w:sz="4" w:space="0" w:color="000000"/>
              <w:bottom w:val="single" w:sz="4" w:space="0" w:color="000000"/>
              <w:right w:val="single" w:sz="4" w:space="0" w:color="000000"/>
            </w:tcBorders>
            <w:shd w:val="clear" w:color="auto" w:fill="E2E2E2"/>
          </w:tcPr>
          <w:p w:rsidR="00727D26" w:rsidRPr="00524381" w:rsidRDefault="00727D26" w:rsidP="00A70D48">
            <w:pPr>
              <w:rPr>
                <w:sz w:val="22"/>
                <w:szCs w:val="22"/>
                <w:lang w:eastAsia="en-US"/>
              </w:rPr>
            </w:pPr>
            <w:r w:rsidRPr="00524381">
              <w:rPr>
                <w:sz w:val="22"/>
                <w:szCs w:val="22"/>
                <w:lang w:eastAsia="en-US"/>
              </w:rPr>
              <w:t xml:space="preserve">    z toho vplyvy na MSP</w:t>
            </w:r>
          </w:p>
        </w:tc>
        <w:tc>
          <w:tcPr>
            <w:tcW w:w="541" w:type="dxa"/>
            <w:gridSpan w:val="2"/>
            <w:tcBorders>
              <w:left w:val="single" w:sz="4" w:space="0" w:color="000000"/>
              <w:right w:val="nil"/>
            </w:tcBorders>
            <w:shd w:val="clear" w:color="auto" w:fill="auto"/>
          </w:tcPr>
          <w:p w:rsidR="00727D26" w:rsidRPr="00524381" w:rsidRDefault="00727D26" w:rsidP="00524381">
            <w:pPr>
              <w:jc w:val="center"/>
              <w:rPr>
                <w:sz w:val="22"/>
                <w:szCs w:val="22"/>
                <w:lang w:eastAsia="en-US"/>
              </w:rPr>
            </w:pPr>
            <w:r w:rsidRPr="00524381">
              <w:rPr>
                <w:rFonts w:ascii="Segoe UI Symbol" w:eastAsia="MS Mincho" w:hAnsi="Segoe UI Symbol" w:cs="Segoe UI Symbol"/>
                <w:b/>
                <w:sz w:val="22"/>
                <w:szCs w:val="22"/>
                <w:lang w:eastAsia="en-US"/>
              </w:rPr>
              <w:t>☐</w:t>
            </w:r>
          </w:p>
        </w:tc>
        <w:tc>
          <w:tcPr>
            <w:tcW w:w="1281" w:type="dxa"/>
            <w:gridSpan w:val="2"/>
            <w:tcBorders>
              <w:left w:val="nil"/>
              <w:right w:val="nil"/>
            </w:tcBorders>
            <w:shd w:val="clear" w:color="auto" w:fill="auto"/>
          </w:tcPr>
          <w:p w:rsidR="00727D26" w:rsidRPr="00524381" w:rsidRDefault="00727D26" w:rsidP="00524381">
            <w:pPr>
              <w:ind w:right="-108"/>
              <w:rPr>
                <w:sz w:val="22"/>
                <w:szCs w:val="22"/>
                <w:lang w:eastAsia="en-US"/>
              </w:rPr>
            </w:pPr>
            <w:r w:rsidRPr="00524381">
              <w:rPr>
                <w:sz w:val="22"/>
                <w:szCs w:val="22"/>
                <w:lang w:eastAsia="en-US"/>
              </w:rPr>
              <w:t>Pozitívne</w:t>
            </w:r>
          </w:p>
        </w:tc>
        <w:tc>
          <w:tcPr>
            <w:tcW w:w="569" w:type="dxa"/>
            <w:tcBorders>
              <w:left w:val="nil"/>
              <w:right w:val="nil"/>
            </w:tcBorders>
            <w:shd w:val="clear" w:color="auto" w:fill="auto"/>
          </w:tcPr>
          <w:p w:rsidR="00727D26" w:rsidRPr="00524381" w:rsidRDefault="00727D26" w:rsidP="00524381">
            <w:pPr>
              <w:jc w:val="center"/>
              <w:rPr>
                <w:sz w:val="22"/>
                <w:szCs w:val="22"/>
                <w:lang w:eastAsia="en-US"/>
              </w:rPr>
            </w:pPr>
            <w:r w:rsidRPr="00524381">
              <w:rPr>
                <w:rFonts w:ascii="Segoe UI Symbol" w:eastAsia="MS Mincho" w:hAnsi="Segoe UI Symbol" w:cs="Segoe UI Symbol"/>
                <w:b/>
                <w:sz w:val="22"/>
                <w:szCs w:val="22"/>
                <w:lang w:eastAsia="en-US"/>
              </w:rPr>
              <w:t>☐</w:t>
            </w:r>
          </w:p>
        </w:tc>
        <w:tc>
          <w:tcPr>
            <w:tcW w:w="1133" w:type="dxa"/>
            <w:tcBorders>
              <w:left w:val="nil"/>
              <w:right w:val="nil"/>
            </w:tcBorders>
            <w:shd w:val="clear" w:color="auto" w:fill="auto"/>
          </w:tcPr>
          <w:p w:rsidR="00727D26" w:rsidRPr="00524381" w:rsidRDefault="00727D26" w:rsidP="00A70D48">
            <w:pPr>
              <w:rPr>
                <w:sz w:val="22"/>
                <w:szCs w:val="22"/>
                <w:lang w:eastAsia="en-US"/>
              </w:rPr>
            </w:pPr>
            <w:r w:rsidRPr="00524381">
              <w:rPr>
                <w:sz w:val="22"/>
                <w:szCs w:val="22"/>
                <w:lang w:eastAsia="en-US"/>
              </w:rPr>
              <w:t>Žiadne</w:t>
            </w:r>
          </w:p>
        </w:tc>
        <w:tc>
          <w:tcPr>
            <w:tcW w:w="547" w:type="dxa"/>
            <w:gridSpan w:val="2"/>
            <w:tcBorders>
              <w:left w:val="nil"/>
              <w:right w:val="nil"/>
            </w:tcBorders>
            <w:shd w:val="clear" w:color="auto" w:fill="auto"/>
          </w:tcPr>
          <w:p w:rsidR="00727D26" w:rsidRPr="00524381" w:rsidRDefault="00727D26" w:rsidP="00524381">
            <w:pPr>
              <w:jc w:val="center"/>
              <w:rPr>
                <w:sz w:val="22"/>
                <w:szCs w:val="22"/>
                <w:lang w:eastAsia="en-US"/>
              </w:rPr>
            </w:pPr>
            <w:r w:rsidRPr="00524381">
              <w:rPr>
                <w:rFonts w:ascii="Segoe UI Symbol" w:eastAsia="MS Mincho" w:hAnsi="Segoe UI Symbol" w:cs="Segoe UI Symbol"/>
                <w:sz w:val="22"/>
                <w:szCs w:val="22"/>
                <w:lang w:eastAsia="en-US"/>
              </w:rPr>
              <w:t>☐</w:t>
            </w:r>
          </w:p>
        </w:tc>
        <w:tc>
          <w:tcPr>
            <w:tcW w:w="1297" w:type="dxa"/>
            <w:tcBorders>
              <w:left w:val="nil"/>
            </w:tcBorders>
            <w:shd w:val="clear" w:color="auto" w:fill="auto"/>
          </w:tcPr>
          <w:p w:rsidR="00727D26" w:rsidRPr="00524381" w:rsidRDefault="00727D26" w:rsidP="00524381">
            <w:pPr>
              <w:ind w:left="54"/>
              <w:rPr>
                <w:sz w:val="22"/>
                <w:szCs w:val="22"/>
                <w:lang w:eastAsia="en-US"/>
              </w:rPr>
            </w:pPr>
            <w:r w:rsidRPr="00524381">
              <w:rPr>
                <w:sz w:val="22"/>
                <w:szCs w:val="22"/>
                <w:lang w:eastAsia="en-US"/>
              </w:rPr>
              <w:t>Negatívne</w:t>
            </w:r>
          </w:p>
        </w:tc>
      </w:tr>
      <w:tr w:rsidR="00524381" w:rsidRPr="003C289B" w:rsidTr="00524381">
        <w:tc>
          <w:tcPr>
            <w:tcW w:w="3812" w:type="dxa"/>
            <w:tcBorders>
              <w:top w:val="single" w:sz="4" w:space="0" w:color="000000"/>
            </w:tcBorders>
            <w:shd w:val="clear" w:color="auto" w:fill="E2E2E2"/>
          </w:tcPr>
          <w:p w:rsidR="00727D26" w:rsidRPr="00524381" w:rsidRDefault="00727D26" w:rsidP="00A70D48">
            <w:pPr>
              <w:rPr>
                <w:b/>
                <w:sz w:val="22"/>
                <w:szCs w:val="22"/>
                <w:lang w:eastAsia="en-US"/>
              </w:rPr>
            </w:pPr>
            <w:r w:rsidRPr="00524381">
              <w:rPr>
                <w:b/>
                <w:sz w:val="22"/>
                <w:szCs w:val="22"/>
                <w:lang w:eastAsia="en-US"/>
              </w:rPr>
              <w:t>Sociálne vplyvy</w:t>
            </w:r>
          </w:p>
        </w:tc>
        <w:tc>
          <w:tcPr>
            <w:tcW w:w="541" w:type="dxa"/>
            <w:gridSpan w:val="2"/>
            <w:tcBorders>
              <w:right w:val="nil"/>
            </w:tcBorders>
            <w:shd w:val="clear" w:color="auto" w:fill="auto"/>
          </w:tcPr>
          <w:p w:rsidR="00727D26" w:rsidRPr="00524381" w:rsidRDefault="00727D26" w:rsidP="00524381">
            <w:pPr>
              <w:jc w:val="center"/>
              <w:rPr>
                <w:b/>
                <w:sz w:val="22"/>
                <w:szCs w:val="22"/>
                <w:lang w:eastAsia="en-US"/>
              </w:rPr>
            </w:pPr>
            <w:r w:rsidRPr="00524381">
              <w:rPr>
                <w:rFonts w:ascii="Segoe UI Symbol" w:eastAsia="MS Mincho" w:hAnsi="Segoe UI Symbol" w:cs="Segoe UI Symbol"/>
                <w:b/>
                <w:sz w:val="22"/>
                <w:szCs w:val="22"/>
                <w:lang w:eastAsia="en-US"/>
              </w:rPr>
              <w:t>☐</w:t>
            </w:r>
          </w:p>
        </w:tc>
        <w:tc>
          <w:tcPr>
            <w:tcW w:w="1281" w:type="dxa"/>
            <w:gridSpan w:val="2"/>
            <w:tcBorders>
              <w:left w:val="nil"/>
              <w:right w:val="nil"/>
            </w:tcBorders>
            <w:shd w:val="clear" w:color="auto" w:fill="auto"/>
          </w:tcPr>
          <w:p w:rsidR="00727D26" w:rsidRPr="00524381" w:rsidRDefault="00727D26" w:rsidP="00524381">
            <w:pPr>
              <w:ind w:right="-108"/>
              <w:rPr>
                <w:b/>
                <w:sz w:val="22"/>
                <w:szCs w:val="22"/>
                <w:lang w:eastAsia="en-US"/>
              </w:rPr>
            </w:pPr>
            <w:r w:rsidRPr="00524381">
              <w:rPr>
                <w:b/>
                <w:sz w:val="22"/>
                <w:szCs w:val="22"/>
                <w:lang w:eastAsia="en-US"/>
              </w:rPr>
              <w:t>Pozitívne</w:t>
            </w:r>
          </w:p>
        </w:tc>
        <w:tc>
          <w:tcPr>
            <w:tcW w:w="569" w:type="dxa"/>
            <w:tcBorders>
              <w:left w:val="nil"/>
              <w:right w:val="nil"/>
            </w:tcBorders>
            <w:shd w:val="clear" w:color="auto" w:fill="auto"/>
          </w:tcPr>
          <w:p w:rsidR="00727D26" w:rsidRPr="00524381" w:rsidRDefault="00727D26" w:rsidP="00524381">
            <w:pPr>
              <w:jc w:val="center"/>
              <w:rPr>
                <w:b/>
                <w:sz w:val="22"/>
                <w:szCs w:val="22"/>
                <w:lang w:eastAsia="en-US"/>
              </w:rPr>
            </w:pPr>
            <w:r w:rsidRPr="00524381">
              <w:rPr>
                <w:rFonts w:ascii="Segoe UI Symbol" w:eastAsia="MS Gothic" w:hAnsi="Segoe UI Symbol" w:cs="Segoe UI Symbol"/>
                <w:sz w:val="22"/>
                <w:szCs w:val="22"/>
                <w:lang w:eastAsia="en-US"/>
              </w:rPr>
              <w:t>☒</w:t>
            </w:r>
          </w:p>
        </w:tc>
        <w:tc>
          <w:tcPr>
            <w:tcW w:w="1133" w:type="dxa"/>
            <w:tcBorders>
              <w:left w:val="nil"/>
              <w:right w:val="nil"/>
            </w:tcBorders>
            <w:shd w:val="clear" w:color="auto" w:fill="auto"/>
          </w:tcPr>
          <w:p w:rsidR="00727D26" w:rsidRPr="00524381" w:rsidRDefault="00727D26" w:rsidP="00A70D48">
            <w:pPr>
              <w:rPr>
                <w:b/>
                <w:sz w:val="22"/>
                <w:szCs w:val="22"/>
                <w:lang w:eastAsia="en-US"/>
              </w:rPr>
            </w:pPr>
            <w:r w:rsidRPr="00524381">
              <w:rPr>
                <w:b/>
                <w:sz w:val="22"/>
                <w:szCs w:val="22"/>
                <w:lang w:eastAsia="en-US"/>
              </w:rPr>
              <w:t>Žiadne</w:t>
            </w:r>
          </w:p>
        </w:tc>
        <w:tc>
          <w:tcPr>
            <w:tcW w:w="547" w:type="dxa"/>
            <w:gridSpan w:val="2"/>
            <w:tcBorders>
              <w:left w:val="nil"/>
              <w:right w:val="nil"/>
            </w:tcBorders>
            <w:shd w:val="clear" w:color="auto" w:fill="auto"/>
          </w:tcPr>
          <w:p w:rsidR="00727D26" w:rsidRPr="00524381" w:rsidRDefault="00727D26" w:rsidP="00524381">
            <w:pPr>
              <w:jc w:val="center"/>
              <w:rPr>
                <w:b/>
                <w:sz w:val="22"/>
                <w:szCs w:val="22"/>
                <w:lang w:eastAsia="en-US"/>
              </w:rPr>
            </w:pPr>
            <w:r w:rsidRPr="00524381">
              <w:rPr>
                <w:rFonts w:ascii="Segoe UI Symbol" w:eastAsia="MS Mincho" w:hAnsi="Segoe UI Symbol" w:cs="Segoe UI Symbol"/>
                <w:b/>
                <w:sz w:val="22"/>
                <w:szCs w:val="22"/>
                <w:lang w:eastAsia="en-US"/>
              </w:rPr>
              <w:t>☐</w:t>
            </w:r>
          </w:p>
        </w:tc>
        <w:tc>
          <w:tcPr>
            <w:tcW w:w="1297" w:type="dxa"/>
            <w:tcBorders>
              <w:left w:val="nil"/>
            </w:tcBorders>
            <w:shd w:val="clear" w:color="auto" w:fill="auto"/>
          </w:tcPr>
          <w:p w:rsidR="00727D26" w:rsidRPr="00524381" w:rsidRDefault="00727D26" w:rsidP="00524381">
            <w:pPr>
              <w:ind w:left="54"/>
              <w:rPr>
                <w:b/>
                <w:sz w:val="22"/>
                <w:szCs w:val="22"/>
                <w:lang w:eastAsia="en-US"/>
              </w:rPr>
            </w:pPr>
            <w:r w:rsidRPr="00524381">
              <w:rPr>
                <w:b/>
                <w:sz w:val="22"/>
                <w:szCs w:val="22"/>
                <w:lang w:eastAsia="en-US"/>
              </w:rPr>
              <w:t>Negatívne</w:t>
            </w:r>
          </w:p>
        </w:tc>
      </w:tr>
      <w:tr w:rsidR="00524381" w:rsidRPr="003C289B" w:rsidTr="00524381">
        <w:tc>
          <w:tcPr>
            <w:tcW w:w="3812" w:type="dxa"/>
            <w:shd w:val="clear" w:color="auto" w:fill="E2E2E2"/>
          </w:tcPr>
          <w:p w:rsidR="00727D26" w:rsidRPr="00524381" w:rsidRDefault="00727D26" w:rsidP="00A70D48">
            <w:pPr>
              <w:rPr>
                <w:b/>
                <w:sz w:val="22"/>
                <w:szCs w:val="22"/>
                <w:lang w:eastAsia="en-US"/>
              </w:rPr>
            </w:pPr>
            <w:r w:rsidRPr="00524381">
              <w:rPr>
                <w:b/>
                <w:sz w:val="22"/>
                <w:szCs w:val="22"/>
                <w:lang w:eastAsia="en-US"/>
              </w:rPr>
              <w:t>Vplyvy na životné prostredie</w:t>
            </w:r>
          </w:p>
        </w:tc>
        <w:tc>
          <w:tcPr>
            <w:tcW w:w="541" w:type="dxa"/>
            <w:gridSpan w:val="2"/>
            <w:tcBorders>
              <w:right w:val="nil"/>
            </w:tcBorders>
            <w:shd w:val="clear" w:color="auto" w:fill="auto"/>
          </w:tcPr>
          <w:p w:rsidR="00727D26" w:rsidRPr="00524381" w:rsidRDefault="00727D26" w:rsidP="00524381">
            <w:pPr>
              <w:jc w:val="center"/>
              <w:rPr>
                <w:b/>
                <w:sz w:val="22"/>
                <w:szCs w:val="22"/>
                <w:lang w:eastAsia="en-US"/>
              </w:rPr>
            </w:pPr>
            <w:r w:rsidRPr="00524381">
              <w:rPr>
                <w:rFonts w:ascii="Segoe UI Symbol" w:eastAsia="MS Mincho" w:hAnsi="Segoe UI Symbol" w:cs="Segoe UI Symbol"/>
                <w:b/>
                <w:sz w:val="22"/>
                <w:szCs w:val="22"/>
                <w:lang w:eastAsia="en-US"/>
              </w:rPr>
              <w:t>☐</w:t>
            </w:r>
          </w:p>
        </w:tc>
        <w:tc>
          <w:tcPr>
            <w:tcW w:w="1281" w:type="dxa"/>
            <w:gridSpan w:val="2"/>
            <w:tcBorders>
              <w:left w:val="nil"/>
              <w:right w:val="nil"/>
            </w:tcBorders>
            <w:shd w:val="clear" w:color="auto" w:fill="auto"/>
          </w:tcPr>
          <w:p w:rsidR="00727D26" w:rsidRPr="00524381" w:rsidRDefault="00727D26" w:rsidP="00524381">
            <w:pPr>
              <w:ind w:right="-108"/>
              <w:rPr>
                <w:b/>
                <w:sz w:val="22"/>
                <w:szCs w:val="22"/>
                <w:lang w:eastAsia="en-US"/>
              </w:rPr>
            </w:pPr>
            <w:r w:rsidRPr="00524381">
              <w:rPr>
                <w:b/>
                <w:sz w:val="22"/>
                <w:szCs w:val="22"/>
                <w:lang w:eastAsia="en-US"/>
              </w:rPr>
              <w:t>Pozitívne</w:t>
            </w:r>
          </w:p>
        </w:tc>
        <w:tc>
          <w:tcPr>
            <w:tcW w:w="569" w:type="dxa"/>
            <w:tcBorders>
              <w:left w:val="nil"/>
              <w:right w:val="nil"/>
            </w:tcBorders>
            <w:shd w:val="clear" w:color="auto" w:fill="auto"/>
          </w:tcPr>
          <w:p w:rsidR="00727D26" w:rsidRPr="00524381" w:rsidRDefault="00727D26" w:rsidP="00524381">
            <w:pPr>
              <w:jc w:val="center"/>
              <w:rPr>
                <w:b/>
                <w:sz w:val="22"/>
                <w:szCs w:val="22"/>
                <w:lang w:eastAsia="en-US"/>
              </w:rPr>
            </w:pPr>
            <w:r w:rsidRPr="00524381">
              <w:rPr>
                <w:rFonts w:ascii="Segoe UI Symbol" w:eastAsia="MS Gothic" w:hAnsi="Segoe UI Symbol" w:cs="Segoe UI Symbol"/>
                <w:sz w:val="22"/>
                <w:szCs w:val="22"/>
                <w:lang w:eastAsia="en-US"/>
              </w:rPr>
              <w:t>☒</w:t>
            </w:r>
          </w:p>
        </w:tc>
        <w:tc>
          <w:tcPr>
            <w:tcW w:w="1133" w:type="dxa"/>
            <w:tcBorders>
              <w:left w:val="nil"/>
              <w:right w:val="nil"/>
            </w:tcBorders>
            <w:shd w:val="clear" w:color="auto" w:fill="auto"/>
          </w:tcPr>
          <w:p w:rsidR="00727D26" w:rsidRPr="00524381" w:rsidRDefault="00727D26" w:rsidP="00A70D48">
            <w:pPr>
              <w:rPr>
                <w:b/>
                <w:sz w:val="22"/>
                <w:szCs w:val="22"/>
                <w:lang w:eastAsia="en-US"/>
              </w:rPr>
            </w:pPr>
            <w:r w:rsidRPr="00524381">
              <w:rPr>
                <w:b/>
                <w:sz w:val="22"/>
                <w:szCs w:val="22"/>
                <w:lang w:eastAsia="en-US"/>
              </w:rPr>
              <w:t>Žiadne</w:t>
            </w:r>
          </w:p>
        </w:tc>
        <w:tc>
          <w:tcPr>
            <w:tcW w:w="547" w:type="dxa"/>
            <w:gridSpan w:val="2"/>
            <w:tcBorders>
              <w:left w:val="nil"/>
              <w:right w:val="nil"/>
            </w:tcBorders>
            <w:shd w:val="clear" w:color="auto" w:fill="auto"/>
          </w:tcPr>
          <w:p w:rsidR="00727D26" w:rsidRPr="00524381" w:rsidRDefault="00727D26" w:rsidP="00524381">
            <w:pPr>
              <w:jc w:val="center"/>
              <w:rPr>
                <w:b/>
                <w:sz w:val="22"/>
                <w:szCs w:val="22"/>
                <w:lang w:eastAsia="en-US"/>
              </w:rPr>
            </w:pPr>
            <w:r w:rsidRPr="00524381">
              <w:rPr>
                <w:rFonts w:ascii="Segoe UI Symbol" w:eastAsia="MS Mincho" w:hAnsi="Segoe UI Symbol" w:cs="Segoe UI Symbol"/>
                <w:b/>
                <w:sz w:val="22"/>
                <w:szCs w:val="22"/>
                <w:lang w:eastAsia="en-US"/>
              </w:rPr>
              <w:t>☐</w:t>
            </w:r>
          </w:p>
        </w:tc>
        <w:tc>
          <w:tcPr>
            <w:tcW w:w="1297" w:type="dxa"/>
            <w:tcBorders>
              <w:left w:val="nil"/>
            </w:tcBorders>
            <w:shd w:val="clear" w:color="auto" w:fill="auto"/>
          </w:tcPr>
          <w:p w:rsidR="00727D26" w:rsidRPr="00524381" w:rsidRDefault="00727D26" w:rsidP="00524381">
            <w:pPr>
              <w:ind w:left="54"/>
              <w:rPr>
                <w:b/>
                <w:sz w:val="22"/>
                <w:szCs w:val="22"/>
                <w:lang w:eastAsia="en-US"/>
              </w:rPr>
            </w:pPr>
            <w:r w:rsidRPr="00524381">
              <w:rPr>
                <w:b/>
                <w:sz w:val="22"/>
                <w:szCs w:val="22"/>
                <w:lang w:eastAsia="en-US"/>
              </w:rPr>
              <w:t>Negatívne</w:t>
            </w:r>
          </w:p>
        </w:tc>
      </w:tr>
      <w:tr w:rsidR="00524381" w:rsidRPr="003C289B" w:rsidTr="00524381">
        <w:tc>
          <w:tcPr>
            <w:tcW w:w="3812" w:type="dxa"/>
            <w:shd w:val="clear" w:color="auto" w:fill="E2E2E2"/>
          </w:tcPr>
          <w:p w:rsidR="00727D26" w:rsidRPr="00524381" w:rsidRDefault="00727D26" w:rsidP="00A70D48">
            <w:pPr>
              <w:rPr>
                <w:b/>
                <w:sz w:val="22"/>
                <w:szCs w:val="22"/>
                <w:lang w:eastAsia="en-US"/>
              </w:rPr>
            </w:pPr>
            <w:r w:rsidRPr="00524381">
              <w:rPr>
                <w:b/>
                <w:sz w:val="22"/>
                <w:szCs w:val="22"/>
                <w:lang w:eastAsia="en-US"/>
              </w:rPr>
              <w:t>Vplyvy na informatizáciu</w:t>
            </w:r>
          </w:p>
        </w:tc>
        <w:tc>
          <w:tcPr>
            <w:tcW w:w="541" w:type="dxa"/>
            <w:gridSpan w:val="2"/>
            <w:tcBorders>
              <w:right w:val="nil"/>
            </w:tcBorders>
            <w:shd w:val="clear" w:color="auto" w:fill="auto"/>
          </w:tcPr>
          <w:p w:rsidR="00727D26" w:rsidRPr="00524381" w:rsidRDefault="00727D26" w:rsidP="00524381">
            <w:pPr>
              <w:jc w:val="center"/>
              <w:rPr>
                <w:b/>
                <w:sz w:val="22"/>
                <w:szCs w:val="22"/>
                <w:lang w:eastAsia="en-US"/>
              </w:rPr>
            </w:pPr>
            <w:r w:rsidRPr="00524381">
              <w:rPr>
                <w:rFonts w:ascii="Segoe UI Symbol" w:eastAsia="MS Gothic" w:hAnsi="Segoe UI Symbol" w:cs="Segoe UI Symbol"/>
                <w:sz w:val="22"/>
                <w:szCs w:val="22"/>
                <w:lang w:eastAsia="en-US"/>
              </w:rPr>
              <w:t>☒</w:t>
            </w:r>
          </w:p>
        </w:tc>
        <w:tc>
          <w:tcPr>
            <w:tcW w:w="1281" w:type="dxa"/>
            <w:gridSpan w:val="2"/>
            <w:tcBorders>
              <w:left w:val="nil"/>
              <w:right w:val="nil"/>
            </w:tcBorders>
            <w:shd w:val="clear" w:color="auto" w:fill="auto"/>
          </w:tcPr>
          <w:p w:rsidR="00727D26" w:rsidRPr="00524381" w:rsidRDefault="00727D26" w:rsidP="00524381">
            <w:pPr>
              <w:ind w:right="-108"/>
              <w:rPr>
                <w:b/>
                <w:sz w:val="22"/>
                <w:szCs w:val="22"/>
                <w:lang w:eastAsia="en-US"/>
              </w:rPr>
            </w:pPr>
            <w:r w:rsidRPr="00524381">
              <w:rPr>
                <w:b/>
                <w:sz w:val="22"/>
                <w:szCs w:val="22"/>
                <w:lang w:eastAsia="en-US"/>
              </w:rPr>
              <w:t>Pozitívne</w:t>
            </w:r>
          </w:p>
        </w:tc>
        <w:tc>
          <w:tcPr>
            <w:tcW w:w="569" w:type="dxa"/>
            <w:tcBorders>
              <w:left w:val="nil"/>
              <w:right w:val="nil"/>
            </w:tcBorders>
            <w:shd w:val="clear" w:color="auto" w:fill="auto"/>
          </w:tcPr>
          <w:p w:rsidR="00727D26" w:rsidRPr="00524381" w:rsidRDefault="00727D26" w:rsidP="00524381">
            <w:pPr>
              <w:jc w:val="center"/>
              <w:rPr>
                <w:b/>
                <w:sz w:val="22"/>
                <w:szCs w:val="22"/>
                <w:lang w:eastAsia="en-US"/>
              </w:rPr>
            </w:pPr>
            <w:r w:rsidRPr="00524381">
              <w:rPr>
                <w:rFonts w:ascii="Segoe UI Symbol" w:eastAsia="MS Mincho" w:hAnsi="Segoe UI Symbol" w:cs="Segoe UI Symbol"/>
                <w:b/>
                <w:sz w:val="22"/>
                <w:szCs w:val="22"/>
                <w:lang w:eastAsia="en-US"/>
              </w:rPr>
              <w:t>☐</w:t>
            </w:r>
          </w:p>
        </w:tc>
        <w:tc>
          <w:tcPr>
            <w:tcW w:w="1133" w:type="dxa"/>
            <w:tcBorders>
              <w:left w:val="nil"/>
              <w:right w:val="nil"/>
            </w:tcBorders>
            <w:shd w:val="clear" w:color="auto" w:fill="auto"/>
          </w:tcPr>
          <w:p w:rsidR="00727D26" w:rsidRPr="00524381" w:rsidRDefault="00727D26" w:rsidP="00A70D48">
            <w:pPr>
              <w:rPr>
                <w:b/>
                <w:sz w:val="22"/>
                <w:szCs w:val="22"/>
                <w:lang w:eastAsia="en-US"/>
              </w:rPr>
            </w:pPr>
            <w:r w:rsidRPr="00524381">
              <w:rPr>
                <w:b/>
                <w:sz w:val="22"/>
                <w:szCs w:val="22"/>
                <w:lang w:eastAsia="en-US"/>
              </w:rPr>
              <w:t>Žiadne</w:t>
            </w:r>
          </w:p>
        </w:tc>
        <w:tc>
          <w:tcPr>
            <w:tcW w:w="547" w:type="dxa"/>
            <w:gridSpan w:val="2"/>
            <w:tcBorders>
              <w:left w:val="nil"/>
              <w:right w:val="nil"/>
            </w:tcBorders>
            <w:shd w:val="clear" w:color="auto" w:fill="auto"/>
          </w:tcPr>
          <w:p w:rsidR="00727D26" w:rsidRPr="00524381" w:rsidRDefault="00727D26" w:rsidP="00524381">
            <w:pPr>
              <w:jc w:val="center"/>
              <w:rPr>
                <w:b/>
                <w:sz w:val="22"/>
                <w:szCs w:val="22"/>
                <w:lang w:eastAsia="en-US"/>
              </w:rPr>
            </w:pPr>
            <w:r w:rsidRPr="00524381">
              <w:rPr>
                <w:rFonts w:ascii="Segoe UI Symbol" w:eastAsia="MS Mincho" w:hAnsi="Segoe UI Symbol" w:cs="Segoe UI Symbol"/>
                <w:b/>
                <w:sz w:val="22"/>
                <w:szCs w:val="22"/>
                <w:lang w:eastAsia="en-US"/>
              </w:rPr>
              <w:t>☐</w:t>
            </w:r>
          </w:p>
        </w:tc>
        <w:tc>
          <w:tcPr>
            <w:tcW w:w="1297" w:type="dxa"/>
            <w:tcBorders>
              <w:left w:val="nil"/>
            </w:tcBorders>
            <w:shd w:val="clear" w:color="auto" w:fill="auto"/>
          </w:tcPr>
          <w:p w:rsidR="00727D26" w:rsidRPr="00524381" w:rsidRDefault="00727D26" w:rsidP="00524381">
            <w:pPr>
              <w:ind w:left="54"/>
              <w:rPr>
                <w:b/>
                <w:sz w:val="22"/>
                <w:szCs w:val="22"/>
                <w:lang w:eastAsia="en-US"/>
              </w:rPr>
            </w:pPr>
            <w:r w:rsidRPr="00524381">
              <w:rPr>
                <w:b/>
                <w:sz w:val="22"/>
                <w:szCs w:val="22"/>
                <w:lang w:eastAsia="en-US"/>
              </w:rPr>
              <w:t>Negatívne</w:t>
            </w:r>
          </w:p>
        </w:tc>
      </w:tr>
    </w:tbl>
    <w:p w:rsidR="00727D26" w:rsidRPr="00727D26" w:rsidRDefault="00727D26" w:rsidP="00727D26">
      <w:pPr>
        <w:rPr>
          <w:vanish/>
        </w:rPr>
      </w:pPr>
    </w:p>
    <w:tbl>
      <w:tblPr>
        <w:tblW w:w="927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
        <w:gridCol w:w="3694"/>
        <w:gridCol w:w="118"/>
        <w:gridCol w:w="541"/>
        <w:gridCol w:w="1281"/>
        <w:gridCol w:w="29"/>
        <w:gridCol w:w="540"/>
        <w:gridCol w:w="1133"/>
        <w:gridCol w:w="138"/>
        <w:gridCol w:w="409"/>
        <w:gridCol w:w="1197"/>
        <w:gridCol w:w="100"/>
      </w:tblGrid>
      <w:tr w:rsidR="00727D26" w:rsidRPr="003C289B" w:rsidTr="00A70D48">
        <w:trPr>
          <w:gridBefore w:val="1"/>
          <w:wBefore w:w="95" w:type="dxa"/>
        </w:trPr>
        <w:tc>
          <w:tcPr>
            <w:tcW w:w="3812" w:type="dxa"/>
            <w:gridSpan w:val="2"/>
            <w:tcBorders>
              <w:bottom w:val="nil"/>
            </w:tcBorders>
            <w:shd w:val="clear" w:color="auto" w:fill="E2E2E2"/>
          </w:tcPr>
          <w:p w:rsidR="00727D26" w:rsidRPr="003C289B" w:rsidRDefault="00727D26" w:rsidP="00A70D48">
            <w:pPr>
              <w:rPr>
                <w:b/>
              </w:rPr>
            </w:pPr>
            <w:r w:rsidRPr="003C289B">
              <w:rPr>
                <w:b/>
              </w:rPr>
              <w:t>Vplyvy na služby verejnej správy pre občana, z toho</w:t>
            </w:r>
          </w:p>
        </w:tc>
        <w:tc>
          <w:tcPr>
            <w:tcW w:w="541" w:type="dxa"/>
            <w:tcBorders>
              <w:bottom w:val="nil"/>
              <w:right w:val="nil"/>
            </w:tcBorders>
          </w:tcPr>
          <w:p w:rsidR="00727D26" w:rsidRPr="003C289B" w:rsidRDefault="00727D26" w:rsidP="00A70D48">
            <w:pPr>
              <w:jc w:val="center"/>
              <w:rPr>
                <w:rFonts w:eastAsia="MS Mincho"/>
                <w:b/>
              </w:rPr>
            </w:pPr>
          </w:p>
        </w:tc>
        <w:tc>
          <w:tcPr>
            <w:tcW w:w="1281" w:type="dxa"/>
            <w:tcBorders>
              <w:left w:val="nil"/>
              <w:bottom w:val="nil"/>
              <w:right w:val="nil"/>
            </w:tcBorders>
          </w:tcPr>
          <w:p w:rsidR="00727D26" w:rsidRPr="003C289B" w:rsidRDefault="00727D26" w:rsidP="00A70D48">
            <w:pPr>
              <w:ind w:right="-108"/>
              <w:rPr>
                <w:b/>
              </w:rPr>
            </w:pPr>
          </w:p>
        </w:tc>
        <w:tc>
          <w:tcPr>
            <w:tcW w:w="569" w:type="dxa"/>
            <w:gridSpan w:val="2"/>
            <w:tcBorders>
              <w:left w:val="nil"/>
              <w:bottom w:val="nil"/>
              <w:right w:val="nil"/>
            </w:tcBorders>
          </w:tcPr>
          <w:p w:rsidR="00727D26" w:rsidRPr="003C289B" w:rsidRDefault="00727D26" w:rsidP="00A70D48">
            <w:pPr>
              <w:jc w:val="center"/>
              <w:rPr>
                <w:rFonts w:eastAsia="MS Mincho"/>
                <w:b/>
              </w:rPr>
            </w:pPr>
          </w:p>
        </w:tc>
        <w:tc>
          <w:tcPr>
            <w:tcW w:w="1133" w:type="dxa"/>
            <w:tcBorders>
              <w:left w:val="nil"/>
              <w:bottom w:val="nil"/>
              <w:right w:val="nil"/>
            </w:tcBorders>
          </w:tcPr>
          <w:p w:rsidR="00727D26" w:rsidRPr="003C289B" w:rsidRDefault="00727D26" w:rsidP="00A70D48">
            <w:pPr>
              <w:rPr>
                <w:b/>
              </w:rPr>
            </w:pPr>
          </w:p>
        </w:tc>
        <w:tc>
          <w:tcPr>
            <w:tcW w:w="547" w:type="dxa"/>
            <w:gridSpan w:val="2"/>
            <w:tcBorders>
              <w:left w:val="nil"/>
              <w:bottom w:val="nil"/>
              <w:right w:val="nil"/>
            </w:tcBorders>
          </w:tcPr>
          <w:p w:rsidR="00727D26" w:rsidRPr="003C289B" w:rsidRDefault="00727D26" w:rsidP="00A70D48">
            <w:pPr>
              <w:jc w:val="center"/>
              <w:rPr>
                <w:rFonts w:eastAsia="MS Mincho"/>
                <w:b/>
              </w:rPr>
            </w:pPr>
          </w:p>
        </w:tc>
        <w:tc>
          <w:tcPr>
            <w:tcW w:w="1297" w:type="dxa"/>
            <w:gridSpan w:val="2"/>
            <w:tcBorders>
              <w:left w:val="nil"/>
              <w:bottom w:val="nil"/>
            </w:tcBorders>
          </w:tcPr>
          <w:p w:rsidR="00727D26" w:rsidRPr="003C289B" w:rsidRDefault="00727D26" w:rsidP="00A70D48">
            <w:pPr>
              <w:ind w:left="54"/>
              <w:rPr>
                <w:b/>
              </w:rPr>
            </w:pPr>
          </w:p>
        </w:tc>
      </w:tr>
      <w:tr w:rsidR="00727D26" w:rsidRPr="003C289B" w:rsidTr="00A70D48">
        <w:trPr>
          <w:gridBefore w:val="1"/>
          <w:wBefore w:w="95" w:type="dxa"/>
        </w:trPr>
        <w:tc>
          <w:tcPr>
            <w:tcW w:w="3812" w:type="dxa"/>
            <w:gridSpan w:val="2"/>
            <w:tcBorders>
              <w:top w:val="nil"/>
              <w:bottom w:val="nil"/>
            </w:tcBorders>
            <w:shd w:val="clear" w:color="auto" w:fill="E2E2E2"/>
          </w:tcPr>
          <w:p w:rsidR="00727D26" w:rsidRPr="003C289B" w:rsidRDefault="00727D26" w:rsidP="00A70D48">
            <w:pPr>
              <w:ind w:left="196" w:hanging="196"/>
              <w:rPr>
                <w:b/>
              </w:rPr>
            </w:pPr>
            <w:r w:rsidRPr="003C289B">
              <w:rPr>
                <w:b/>
              </w:rPr>
              <w:t xml:space="preserve">    vplyvy služieb verejnej správy na občana</w:t>
            </w:r>
          </w:p>
        </w:tc>
        <w:tc>
          <w:tcPr>
            <w:tcW w:w="541" w:type="dxa"/>
            <w:tcBorders>
              <w:top w:val="nil"/>
              <w:bottom w:val="nil"/>
              <w:right w:val="nil"/>
            </w:tcBorders>
          </w:tcPr>
          <w:p w:rsidR="00727D26" w:rsidRPr="003C289B" w:rsidRDefault="00727D26" w:rsidP="00A70D48">
            <w:pPr>
              <w:jc w:val="center"/>
              <w:rPr>
                <w:rFonts w:eastAsia="MS Mincho"/>
                <w:b/>
              </w:rPr>
            </w:pPr>
            <w:r w:rsidRPr="003C289B">
              <w:rPr>
                <w:rFonts w:ascii="Segoe UI Symbol" w:eastAsia="MS Mincho" w:hAnsi="Segoe UI Symbol" w:cs="Segoe UI Symbol"/>
                <w:b/>
              </w:rPr>
              <w:t>☐</w:t>
            </w:r>
          </w:p>
        </w:tc>
        <w:tc>
          <w:tcPr>
            <w:tcW w:w="1281" w:type="dxa"/>
            <w:tcBorders>
              <w:top w:val="nil"/>
              <w:left w:val="nil"/>
              <w:bottom w:val="nil"/>
              <w:right w:val="nil"/>
            </w:tcBorders>
          </w:tcPr>
          <w:p w:rsidR="00727D26" w:rsidRPr="003C289B" w:rsidRDefault="00727D26" w:rsidP="00A70D48">
            <w:pPr>
              <w:ind w:right="-108"/>
              <w:rPr>
                <w:b/>
              </w:rPr>
            </w:pPr>
            <w:r w:rsidRPr="003C289B">
              <w:rPr>
                <w:b/>
              </w:rPr>
              <w:t>Pozitívne</w:t>
            </w:r>
          </w:p>
        </w:tc>
        <w:tc>
          <w:tcPr>
            <w:tcW w:w="569" w:type="dxa"/>
            <w:gridSpan w:val="2"/>
            <w:tcBorders>
              <w:top w:val="nil"/>
              <w:left w:val="nil"/>
              <w:bottom w:val="nil"/>
              <w:right w:val="nil"/>
            </w:tcBorders>
          </w:tcPr>
          <w:p w:rsidR="00727D26" w:rsidRPr="003C289B" w:rsidRDefault="00727D26" w:rsidP="00A70D48">
            <w:pPr>
              <w:jc w:val="center"/>
              <w:rPr>
                <w:rFonts w:eastAsia="MS Mincho"/>
                <w:b/>
              </w:rPr>
            </w:pPr>
            <w:r w:rsidRPr="003C289B">
              <w:rPr>
                <w:rFonts w:ascii="Segoe UI Symbol" w:eastAsia="MS Gothic" w:hAnsi="Segoe UI Symbol" w:cs="Segoe UI Symbol"/>
              </w:rPr>
              <w:t>☒</w:t>
            </w:r>
          </w:p>
        </w:tc>
        <w:tc>
          <w:tcPr>
            <w:tcW w:w="1133" w:type="dxa"/>
            <w:tcBorders>
              <w:top w:val="nil"/>
              <w:left w:val="nil"/>
              <w:bottom w:val="nil"/>
              <w:right w:val="nil"/>
            </w:tcBorders>
          </w:tcPr>
          <w:p w:rsidR="00727D26" w:rsidRPr="003C289B" w:rsidRDefault="00727D26" w:rsidP="00A70D48">
            <w:pPr>
              <w:rPr>
                <w:b/>
              </w:rPr>
            </w:pPr>
            <w:r w:rsidRPr="003C289B">
              <w:rPr>
                <w:b/>
              </w:rPr>
              <w:t>Žiadne</w:t>
            </w:r>
          </w:p>
        </w:tc>
        <w:tc>
          <w:tcPr>
            <w:tcW w:w="547" w:type="dxa"/>
            <w:gridSpan w:val="2"/>
            <w:tcBorders>
              <w:top w:val="nil"/>
              <w:left w:val="nil"/>
              <w:bottom w:val="nil"/>
              <w:right w:val="nil"/>
            </w:tcBorders>
          </w:tcPr>
          <w:p w:rsidR="00727D26" w:rsidRPr="003C289B" w:rsidRDefault="00727D26" w:rsidP="00A70D48">
            <w:pPr>
              <w:jc w:val="center"/>
              <w:rPr>
                <w:rFonts w:eastAsia="MS Mincho"/>
                <w:b/>
              </w:rPr>
            </w:pPr>
            <w:r w:rsidRPr="003C289B">
              <w:rPr>
                <w:rFonts w:ascii="Segoe UI Symbol" w:eastAsia="MS Mincho" w:hAnsi="Segoe UI Symbol" w:cs="Segoe UI Symbol"/>
                <w:b/>
              </w:rPr>
              <w:t>☐</w:t>
            </w:r>
          </w:p>
        </w:tc>
        <w:tc>
          <w:tcPr>
            <w:tcW w:w="1297" w:type="dxa"/>
            <w:gridSpan w:val="2"/>
            <w:tcBorders>
              <w:top w:val="nil"/>
              <w:left w:val="nil"/>
              <w:bottom w:val="nil"/>
            </w:tcBorders>
          </w:tcPr>
          <w:p w:rsidR="00727D26" w:rsidRPr="003C289B" w:rsidRDefault="00727D26" w:rsidP="00A70D48">
            <w:pPr>
              <w:ind w:left="54"/>
              <w:rPr>
                <w:b/>
              </w:rPr>
            </w:pPr>
            <w:r>
              <w:rPr>
                <w:b/>
              </w:rPr>
              <w:t>Negatívne</w:t>
            </w:r>
          </w:p>
        </w:tc>
      </w:tr>
      <w:tr w:rsidR="00727D26" w:rsidRPr="003C289B" w:rsidTr="00A70D48">
        <w:trPr>
          <w:gridBefore w:val="1"/>
          <w:wBefore w:w="95" w:type="dxa"/>
        </w:trPr>
        <w:tc>
          <w:tcPr>
            <w:tcW w:w="3812" w:type="dxa"/>
            <w:gridSpan w:val="2"/>
            <w:tcBorders>
              <w:top w:val="nil"/>
            </w:tcBorders>
            <w:shd w:val="clear" w:color="auto" w:fill="E2E2E2"/>
          </w:tcPr>
          <w:p w:rsidR="00727D26" w:rsidRPr="003C289B" w:rsidRDefault="00727D26" w:rsidP="00A70D48">
            <w:pPr>
              <w:ind w:left="168" w:hanging="168"/>
              <w:rPr>
                <w:b/>
              </w:rPr>
            </w:pPr>
            <w:r w:rsidRPr="003C289B">
              <w:rPr>
                <w:b/>
              </w:rPr>
              <w:t xml:space="preserve">    vplyvy na procesy služieb vo verejnej správe</w:t>
            </w:r>
          </w:p>
        </w:tc>
        <w:tc>
          <w:tcPr>
            <w:tcW w:w="541" w:type="dxa"/>
            <w:tcBorders>
              <w:top w:val="nil"/>
              <w:right w:val="nil"/>
            </w:tcBorders>
          </w:tcPr>
          <w:p w:rsidR="00727D26" w:rsidRPr="003C289B" w:rsidRDefault="00727D26" w:rsidP="00A70D48">
            <w:pPr>
              <w:jc w:val="center"/>
              <w:rPr>
                <w:rFonts w:eastAsia="MS Mincho"/>
                <w:b/>
              </w:rPr>
            </w:pPr>
            <w:r w:rsidRPr="003C289B">
              <w:rPr>
                <w:rFonts w:ascii="Segoe UI Symbol" w:eastAsia="MS Mincho" w:hAnsi="Segoe UI Symbol" w:cs="Segoe UI Symbol"/>
                <w:b/>
              </w:rPr>
              <w:t>☐</w:t>
            </w:r>
          </w:p>
        </w:tc>
        <w:tc>
          <w:tcPr>
            <w:tcW w:w="1281" w:type="dxa"/>
            <w:tcBorders>
              <w:top w:val="nil"/>
              <w:left w:val="nil"/>
              <w:right w:val="nil"/>
            </w:tcBorders>
          </w:tcPr>
          <w:p w:rsidR="00727D26" w:rsidRPr="003C289B" w:rsidRDefault="00727D26" w:rsidP="00A70D48">
            <w:pPr>
              <w:ind w:right="-108"/>
              <w:rPr>
                <w:b/>
              </w:rPr>
            </w:pPr>
            <w:r w:rsidRPr="003C289B">
              <w:rPr>
                <w:b/>
              </w:rPr>
              <w:t>Pozitívne</w:t>
            </w:r>
          </w:p>
        </w:tc>
        <w:tc>
          <w:tcPr>
            <w:tcW w:w="569" w:type="dxa"/>
            <w:gridSpan w:val="2"/>
            <w:tcBorders>
              <w:top w:val="nil"/>
              <w:left w:val="nil"/>
              <w:right w:val="nil"/>
            </w:tcBorders>
          </w:tcPr>
          <w:p w:rsidR="00727D26" w:rsidRPr="003C289B" w:rsidRDefault="00727D26" w:rsidP="00A70D48">
            <w:pPr>
              <w:jc w:val="center"/>
              <w:rPr>
                <w:rFonts w:eastAsia="MS Mincho"/>
                <w:b/>
              </w:rPr>
            </w:pPr>
            <w:r w:rsidRPr="003C289B">
              <w:rPr>
                <w:rFonts w:ascii="Segoe UI Symbol" w:eastAsia="MS Gothic" w:hAnsi="Segoe UI Symbol" w:cs="Segoe UI Symbol"/>
              </w:rPr>
              <w:t>☒</w:t>
            </w:r>
          </w:p>
        </w:tc>
        <w:tc>
          <w:tcPr>
            <w:tcW w:w="1133" w:type="dxa"/>
            <w:tcBorders>
              <w:top w:val="nil"/>
              <w:left w:val="nil"/>
              <w:right w:val="nil"/>
            </w:tcBorders>
          </w:tcPr>
          <w:p w:rsidR="00727D26" w:rsidRPr="003C289B" w:rsidRDefault="00727D26" w:rsidP="00A70D48">
            <w:pPr>
              <w:rPr>
                <w:b/>
              </w:rPr>
            </w:pPr>
            <w:r w:rsidRPr="003C289B">
              <w:rPr>
                <w:b/>
              </w:rPr>
              <w:t>Žiadne</w:t>
            </w:r>
          </w:p>
        </w:tc>
        <w:tc>
          <w:tcPr>
            <w:tcW w:w="547" w:type="dxa"/>
            <w:gridSpan w:val="2"/>
            <w:tcBorders>
              <w:top w:val="nil"/>
              <w:left w:val="nil"/>
              <w:right w:val="nil"/>
            </w:tcBorders>
          </w:tcPr>
          <w:p w:rsidR="00727D26" w:rsidRPr="003C289B" w:rsidRDefault="00727D26" w:rsidP="00A70D48">
            <w:pPr>
              <w:jc w:val="center"/>
              <w:rPr>
                <w:rFonts w:eastAsia="MS Mincho"/>
                <w:b/>
              </w:rPr>
            </w:pPr>
            <w:r w:rsidRPr="003C289B">
              <w:rPr>
                <w:rFonts w:ascii="Segoe UI Symbol" w:eastAsia="MS Mincho" w:hAnsi="Segoe UI Symbol" w:cs="Segoe UI Symbol"/>
                <w:b/>
              </w:rPr>
              <w:t>☐</w:t>
            </w:r>
          </w:p>
        </w:tc>
        <w:tc>
          <w:tcPr>
            <w:tcW w:w="1297" w:type="dxa"/>
            <w:gridSpan w:val="2"/>
            <w:tcBorders>
              <w:top w:val="nil"/>
              <w:left w:val="nil"/>
            </w:tcBorders>
          </w:tcPr>
          <w:p w:rsidR="00727D26" w:rsidRPr="003C289B" w:rsidRDefault="00727D26" w:rsidP="00A70D48">
            <w:pPr>
              <w:ind w:left="54"/>
              <w:rPr>
                <w:b/>
              </w:rPr>
            </w:pPr>
            <w:r w:rsidRPr="003C289B">
              <w:rPr>
                <w:b/>
              </w:rPr>
              <w:t>Negatívne</w:t>
            </w:r>
          </w:p>
        </w:tc>
      </w:tr>
      <w:tr w:rsidR="00727D26" w:rsidRPr="00955F3E" w:rsidTr="00A70D48">
        <w:tblPrEx>
          <w:jc w:val="center"/>
          <w:tblInd w:w="0" w:type="dxa"/>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CellMar>
            <w:left w:w="0" w:type="dxa"/>
            <w:right w:w="0" w:type="dxa"/>
          </w:tblCellMar>
        </w:tblPrEx>
        <w:trPr>
          <w:gridAfter w:val="1"/>
          <w:wAfter w:w="100" w:type="dxa"/>
          <w:trHeight w:val="270"/>
          <w:jc w:val="center"/>
        </w:trPr>
        <w:tc>
          <w:tcPr>
            <w:tcW w:w="3789" w:type="dxa"/>
            <w:gridSpan w:val="2"/>
            <w:tcBorders>
              <w:top w:val="outset" w:sz="6" w:space="0" w:color="000000"/>
              <w:bottom w:val="outset" w:sz="6" w:space="0" w:color="000000"/>
              <w:right w:val="outset" w:sz="6" w:space="0" w:color="000000"/>
            </w:tcBorders>
            <w:shd w:val="clear" w:color="auto" w:fill="E6E6E6"/>
            <w:vAlign w:val="center"/>
            <w:hideMark/>
          </w:tcPr>
          <w:p w:rsidR="00727D26" w:rsidRPr="00BD68AE" w:rsidRDefault="00727D26" w:rsidP="00A70D48">
            <w:pPr>
              <w:ind w:left="99"/>
            </w:pPr>
            <w:r w:rsidRPr="00BD68AE">
              <w:rPr>
                <w:b/>
                <w:bCs/>
              </w:rPr>
              <w:t>Vplyvy na manželstvo, rodičovstvo a rodinu</w:t>
            </w:r>
          </w:p>
        </w:tc>
        <w:tc>
          <w:tcPr>
            <w:tcW w:w="1969" w:type="dxa"/>
            <w:gridSpan w:val="4"/>
            <w:tcBorders>
              <w:top w:val="outset" w:sz="6" w:space="0" w:color="000000"/>
              <w:left w:val="outset" w:sz="6" w:space="0" w:color="000000"/>
              <w:bottom w:val="outset" w:sz="6" w:space="0" w:color="000000"/>
              <w:right w:val="outset" w:sz="6" w:space="0" w:color="000000"/>
            </w:tcBorders>
            <w:vAlign w:val="center"/>
            <w:hideMark/>
          </w:tcPr>
          <w:p w:rsidR="00727D26" w:rsidRPr="00BD68AE" w:rsidRDefault="00727D26" w:rsidP="00A70D48">
            <w:pPr>
              <w:ind w:firstLine="142"/>
              <w:rPr>
                <w:b/>
              </w:rPr>
            </w:pPr>
            <w:r w:rsidRPr="00BD68AE">
              <w:t xml:space="preserve"> </w:t>
            </w:r>
            <w:r w:rsidRPr="00BD68AE">
              <w:rPr>
                <w:rFonts w:ascii="Segoe UI Symbol" w:eastAsia="MS Mincho" w:hAnsi="Segoe UI Symbol" w:cs="Segoe UI Symbol"/>
              </w:rPr>
              <w:t>☐</w:t>
            </w:r>
            <w:r>
              <w:rPr>
                <w:b/>
              </w:rPr>
              <w:t xml:space="preserve">     </w:t>
            </w:r>
            <w:r w:rsidRPr="00BD68AE">
              <w:rPr>
                <w:b/>
              </w:rPr>
              <w:t>Pozitívne</w:t>
            </w:r>
          </w:p>
        </w:tc>
        <w:tc>
          <w:tcPr>
            <w:tcW w:w="1811" w:type="dxa"/>
            <w:gridSpan w:val="3"/>
            <w:tcBorders>
              <w:top w:val="outset" w:sz="6" w:space="0" w:color="000000"/>
              <w:left w:val="outset" w:sz="6" w:space="0" w:color="000000"/>
              <w:bottom w:val="outset" w:sz="6" w:space="0" w:color="000000"/>
              <w:right w:val="outset" w:sz="6" w:space="0" w:color="000000"/>
            </w:tcBorders>
            <w:vAlign w:val="center"/>
            <w:hideMark/>
          </w:tcPr>
          <w:p w:rsidR="00727D26" w:rsidRPr="00BD68AE" w:rsidRDefault="00727D26" w:rsidP="00A70D48">
            <w:pPr>
              <w:rPr>
                <w:b/>
              </w:rPr>
            </w:pPr>
            <w:r w:rsidRPr="00BD68AE">
              <w:t xml:space="preserve"> </w:t>
            </w:r>
            <w:r w:rsidRPr="00BD68AE">
              <w:rPr>
                <w:rFonts w:ascii="Segoe UI Symbol" w:hAnsi="Segoe UI Symbol" w:cs="Segoe UI Symbol"/>
              </w:rPr>
              <w:t>☒</w:t>
            </w:r>
            <w:r w:rsidRPr="00BD68AE">
              <w:rPr>
                <w:rFonts w:ascii="Segoe UI Symbol" w:hAnsi="Segoe UI Symbol" w:cs="Segoe UI Symbol"/>
                <w:b/>
              </w:rPr>
              <w:t xml:space="preserve">      </w:t>
            </w:r>
            <w:r w:rsidRPr="00BD68AE">
              <w:rPr>
                <w:b/>
              </w:rPr>
              <w:t>Žiadne</w:t>
            </w:r>
          </w:p>
        </w:tc>
        <w:tc>
          <w:tcPr>
            <w:tcW w:w="1606" w:type="dxa"/>
            <w:gridSpan w:val="2"/>
            <w:tcBorders>
              <w:top w:val="outset" w:sz="6" w:space="0" w:color="000000"/>
              <w:left w:val="outset" w:sz="6" w:space="0" w:color="000000"/>
              <w:bottom w:val="outset" w:sz="6" w:space="0" w:color="000000"/>
            </w:tcBorders>
            <w:vAlign w:val="center"/>
            <w:hideMark/>
          </w:tcPr>
          <w:p w:rsidR="00727D26" w:rsidRPr="00BD68AE" w:rsidRDefault="00727D26" w:rsidP="00A70D48">
            <w:pPr>
              <w:rPr>
                <w:b/>
              </w:rPr>
            </w:pPr>
            <w:r w:rsidRPr="00BD68AE">
              <w:rPr>
                <w:b/>
              </w:rPr>
              <w:t> </w:t>
            </w:r>
            <w:r w:rsidRPr="00BD68AE">
              <w:rPr>
                <w:rFonts w:ascii="Segoe UI Symbol" w:eastAsia="MS Mincho" w:hAnsi="Segoe UI Symbol" w:cs="Segoe UI Symbol"/>
              </w:rPr>
              <w:t>☐</w:t>
            </w:r>
            <w:r w:rsidRPr="00BD68AE">
              <w:t xml:space="preserve">   </w:t>
            </w:r>
            <w:r w:rsidRPr="00BD68AE">
              <w:rPr>
                <w:b/>
              </w:rPr>
              <w:t>Negatívne</w:t>
            </w:r>
          </w:p>
        </w:tc>
      </w:tr>
    </w:tbl>
    <w:p w:rsidR="00727D26" w:rsidRPr="003C289B" w:rsidRDefault="00727D26" w:rsidP="00727D26">
      <w:pPr>
        <w:ind w:left="-142" w:right="-2"/>
        <w:rPr>
          <w:b/>
        </w:rPr>
      </w:pP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6"/>
      </w:tblGrid>
      <w:tr w:rsidR="00727D26" w:rsidRPr="003C289B" w:rsidTr="00524381">
        <w:tc>
          <w:tcPr>
            <w:tcW w:w="9176" w:type="dxa"/>
            <w:tcBorders>
              <w:bottom w:val="nil"/>
            </w:tcBorders>
            <w:shd w:val="clear" w:color="auto" w:fill="E2E2E2"/>
          </w:tcPr>
          <w:p w:rsidR="00727D26" w:rsidRPr="00524381" w:rsidRDefault="00727D26" w:rsidP="00524381">
            <w:pPr>
              <w:pStyle w:val="Odsekzoznamu"/>
              <w:numPr>
                <w:ilvl w:val="0"/>
                <w:numId w:val="11"/>
              </w:numPr>
              <w:spacing w:after="0" w:line="240" w:lineRule="auto"/>
              <w:ind w:left="426"/>
              <w:rPr>
                <w:rFonts w:ascii="Times New Roman" w:hAnsi="Times New Roman"/>
                <w:b/>
              </w:rPr>
            </w:pPr>
            <w:r w:rsidRPr="00524381">
              <w:rPr>
                <w:rFonts w:ascii="Times New Roman" w:hAnsi="Times New Roman"/>
                <w:b/>
              </w:rPr>
              <w:t>Poznámky</w:t>
            </w:r>
          </w:p>
        </w:tc>
      </w:tr>
      <w:tr w:rsidR="00727D26" w:rsidRPr="003C289B" w:rsidTr="00524381">
        <w:trPr>
          <w:trHeight w:val="393"/>
        </w:trPr>
        <w:tc>
          <w:tcPr>
            <w:tcW w:w="9176" w:type="dxa"/>
            <w:tcBorders>
              <w:top w:val="nil"/>
              <w:bottom w:val="single" w:sz="4" w:space="0" w:color="FFFFFF"/>
            </w:tcBorders>
            <w:shd w:val="clear" w:color="auto" w:fill="auto"/>
          </w:tcPr>
          <w:p w:rsidR="00727D26" w:rsidRPr="00524381" w:rsidRDefault="00727D26" w:rsidP="00A70D48">
            <w:pPr>
              <w:rPr>
                <w:sz w:val="20"/>
                <w:szCs w:val="20"/>
                <w:lang w:eastAsia="en-US"/>
              </w:rPr>
            </w:pPr>
            <w:r w:rsidRPr="00524381">
              <w:rPr>
                <w:sz w:val="20"/>
                <w:szCs w:val="20"/>
                <w:lang w:eastAsia="en-US"/>
              </w:rPr>
              <w:t>Financovanie predmetných výdavkov bude zabezpečené v rámci limitov rozpočtu verejnej správy na príslušné rozpočtové roky.</w:t>
            </w:r>
          </w:p>
          <w:p w:rsidR="00727D26" w:rsidRPr="00524381" w:rsidRDefault="00727D26" w:rsidP="00A70D48">
            <w:pPr>
              <w:rPr>
                <w:sz w:val="20"/>
                <w:szCs w:val="20"/>
                <w:lang w:eastAsia="en-US"/>
              </w:rPr>
            </w:pPr>
          </w:p>
        </w:tc>
      </w:tr>
      <w:tr w:rsidR="00727D26" w:rsidRPr="003C289B" w:rsidTr="00524381">
        <w:tc>
          <w:tcPr>
            <w:tcW w:w="9176" w:type="dxa"/>
            <w:tcBorders>
              <w:bottom w:val="single" w:sz="4" w:space="0" w:color="FFFFFF"/>
            </w:tcBorders>
            <w:shd w:val="clear" w:color="auto" w:fill="E2E2E2"/>
          </w:tcPr>
          <w:p w:rsidR="00727D26" w:rsidRPr="00524381" w:rsidRDefault="00727D26" w:rsidP="00524381">
            <w:pPr>
              <w:pStyle w:val="Odsekzoznamu"/>
              <w:numPr>
                <w:ilvl w:val="0"/>
                <w:numId w:val="11"/>
              </w:numPr>
              <w:spacing w:after="0" w:line="240" w:lineRule="auto"/>
              <w:ind w:left="426"/>
              <w:rPr>
                <w:rFonts w:ascii="Times New Roman" w:hAnsi="Times New Roman"/>
                <w:b/>
              </w:rPr>
            </w:pPr>
            <w:r w:rsidRPr="00524381">
              <w:rPr>
                <w:rFonts w:ascii="Times New Roman" w:hAnsi="Times New Roman"/>
                <w:b/>
              </w:rPr>
              <w:t>Kontakt na spracovateľa</w:t>
            </w:r>
          </w:p>
        </w:tc>
      </w:tr>
      <w:tr w:rsidR="00727D26" w:rsidRPr="003C289B" w:rsidTr="00524381">
        <w:trPr>
          <w:trHeight w:val="586"/>
        </w:trPr>
        <w:tc>
          <w:tcPr>
            <w:tcW w:w="9176" w:type="dxa"/>
            <w:tcBorders>
              <w:top w:val="single" w:sz="4" w:space="0" w:color="FFFFFF"/>
            </w:tcBorders>
            <w:shd w:val="clear" w:color="auto" w:fill="FFFFFF"/>
            <w:vAlign w:val="center"/>
          </w:tcPr>
          <w:p w:rsidR="00727D26" w:rsidRPr="00524381" w:rsidRDefault="00727D26" w:rsidP="00A70D48">
            <w:pPr>
              <w:rPr>
                <w:sz w:val="20"/>
                <w:szCs w:val="20"/>
                <w:u w:val="single"/>
                <w:lang w:eastAsia="en-US"/>
              </w:rPr>
            </w:pPr>
            <w:r w:rsidRPr="00524381">
              <w:rPr>
                <w:sz w:val="20"/>
                <w:szCs w:val="20"/>
                <w:lang w:eastAsia="en-US"/>
              </w:rPr>
              <w:t xml:space="preserve">Ing. Milan </w:t>
            </w:r>
            <w:proofErr w:type="spellStart"/>
            <w:r w:rsidRPr="00524381">
              <w:rPr>
                <w:sz w:val="20"/>
                <w:szCs w:val="20"/>
                <w:lang w:eastAsia="en-US"/>
              </w:rPr>
              <w:t>Danišovič</w:t>
            </w:r>
            <w:proofErr w:type="spellEnd"/>
            <w:r w:rsidRPr="00524381">
              <w:rPr>
                <w:sz w:val="20"/>
                <w:szCs w:val="20"/>
                <w:lang w:eastAsia="en-US"/>
              </w:rPr>
              <w:t xml:space="preserve">, MF SR, sekcia daňová a colná, odbor nepriamych daní, oddelenie spotrebných daní, </w:t>
            </w:r>
            <w:r w:rsidRPr="00524381">
              <w:rPr>
                <w:sz w:val="20"/>
                <w:szCs w:val="20"/>
                <w:u w:val="single"/>
                <w:lang w:eastAsia="en-US"/>
              </w:rPr>
              <w:t>milan.danisovic</w:t>
            </w:r>
            <w:r w:rsidRPr="00524381">
              <w:rPr>
                <w:rFonts w:ascii="Vrinda" w:hAnsi="Vrinda" w:cs="Vrinda"/>
                <w:sz w:val="20"/>
                <w:szCs w:val="20"/>
                <w:u w:val="single"/>
                <w:lang w:eastAsia="en-US"/>
              </w:rPr>
              <w:t>@</w:t>
            </w:r>
            <w:r w:rsidRPr="00524381">
              <w:rPr>
                <w:sz w:val="20"/>
                <w:szCs w:val="20"/>
                <w:u w:val="single"/>
                <w:lang w:eastAsia="en-US"/>
              </w:rPr>
              <w:t>mfsr.sk</w:t>
            </w:r>
          </w:p>
          <w:p w:rsidR="00727D26" w:rsidRPr="00524381" w:rsidRDefault="00727D26" w:rsidP="00A70D48">
            <w:pPr>
              <w:rPr>
                <w:sz w:val="20"/>
                <w:szCs w:val="20"/>
                <w:lang w:eastAsia="en-US"/>
              </w:rPr>
            </w:pPr>
          </w:p>
        </w:tc>
      </w:tr>
      <w:tr w:rsidR="00727D26" w:rsidRPr="003C289B" w:rsidTr="00524381">
        <w:tc>
          <w:tcPr>
            <w:tcW w:w="9176" w:type="dxa"/>
            <w:tcBorders>
              <w:bottom w:val="single" w:sz="4" w:space="0" w:color="FFFFFF"/>
            </w:tcBorders>
            <w:shd w:val="clear" w:color="auto" w:fill="E2E2E2"/>
          </w:tcPr>
          <w:p w:rsidR="00727D26" w:rsidRPr="00524381" w:rsidRDefault="00727D26" w:rsidP="00524381">
            <w:pPr>
              <w:pStyle w:val="Odsekzoznamu"/>
              <w:numPr>
                <w:ilvl w:val="0"/>
                <w:numId w:val="11"/>
              </w:numPr>
              <w:spacing w:after="0" w:line="240" w:lineRule="auto"/>
              <w:ind w:left="426"/>
              <w:rPr>
                <w:rFonts w:ascii="Times New Roman" w:hAnsi="Times New Roman"/>
                <w:b/>
              </w:rPr>
            </w:pPr>
            <w:r w:rsidRPr="00524381">
              <w:rPr>
                <w:rFonts w:ascii="Times New Roman" w:hAnsi="Times New Roman"/>
                <w:b/>
              </w:rPr>
              <w:t>Zdroje</w:t>
            </w:r>
          </w:p>
        </w:tc>
      </w:tr>
      <w:tr w:rsidR="00727D26" w:rsidRPr="003C289B" w:rsidTr="00524381">
        <w:trPr>
          <w:trHeight w:val="401"/>
        </w:trPr>
        <w:tc>
          <w:tcPr>
            <w:tcW w:w="9176" w:type="dxa"/>
            <w:tcBorders>
              <w:top w:val="single" w:sz="4" w:space="0" w:color="FFFFFF"/>
            </w:tcBorders>
            <w:shd w:val="clear" w:color="auto" w:fill="FFFFFF"/>
          </w:tcPr>
          <w:p w:rsidR="00727D26" w:rsidRPr="00524381" w:rsidRDefault="00727D26" w:rsidP="00A70D48">
            <w:pPr>
              <w:rPr>
                <w:b/>
                <w:sz w:val="22"/>
                <w:szCs w:val="22"/>
                <w:lang w:eastAsia="en-US"/>
              </w:rPr>
            </w:pPr>
          </w:p>
        </w:tc>
      </w:tr>
      <w:tr w:rsidR="00727D26" w:rsidRPr="003C289B" w:rsidTr="00524381">
        <w:tc>
          <w:tcPr>
            <w:tcW w:w="9176" w:type="dxa"/>
            <w:tcBorders>
              <w:bottom w:val="single" w:sz="4" w:space="0" w:color="FFFFFF"/>
            </w:tcBorders>
            <w:shd w:val="clear" w:color="auto" w:fill="E2E2E2"/>
          </w:tcPr>
          <w:p w:rsidR="00727D26" w:rsidRPr="00524381" w:rsidRDefault="00727D26" w:rsidP="00524381">
            <w:pPr>
              <w:pStyle w:val="Odsekzoznamu"/>
              <w:numPr>
                <w:ilvl w:val="0"/>
                <w:numId w:val="11"/>
              </w:numPr>
              <w:spacing w:after="0" w:line="240" w:lineRule="auto"/>
              <w:ind w:left="426"/>
              <w:rPr>
                <w:rFonts w:ascii="Times New Roman" w:hAnsi="Times New Roman"/>
                <w:b/>
              </w:rPr>
            </w:pPr>
            <w:r w:rsidRPr="00524381">
              <w:rPr>
                <w:rFonts w:ascii="Times New Roman" w:hAnsi="Times New Roman"/>
                <w:b/>
              </w:rPr>
              <w:t>Stanovisko Komisie pre posudzovanie vybraných vplyvov z PPK</w:t>
            </w:r>
          </w:p>
        </w:tc>
      </w:tr>
      <w:tr w:rsidR="00727D26" w:rsidRPr="003C289B" w:rsidTr="00524381">
        <w:tc>
          <w:tcPr>
            <w:tcW w:w="9176" w:type="dxa"/>
            <w:tcBorders>
              <w:top w:val="single" w:sz="4" w:space="0" w:color="FFFFFF"/>
            </w:tcBorders>
            <w:shd w:val="clear" w:color="auto" w:fill="FFFFFF"/>
          </w:tcPr>
          <w:p w:rsidR="00727D26" w:rsidRPr="00524381" w:rsidRDefault="00727D26" w:rsidP="00524381">
            <w:pPr>
              <w:jc w:val="both"/>
              <w:rPr>
                <w:bCs/>
                <w:sz w:val="20"/>
                <w:szCs w:val="20"/>
                <w:lang w:eastAsia="en-US"/>
              </w:rPr>
            </w:pPr>
          </w:p>
          <w:p w:rsidR="00727D26" w:rsidRPr="00524381" w:rsidRDefault="00727D26" w:rsidP="00524381">
            <w:pPr>
              <w:jc w:val="both"/>
              <w:rPr>
                <w:b/>
                <w:bCs/>
                <w:sz w:val="20"/>
                <w:szCs w:val="20"/>
                <w:lang w:eastAsia="en-US"/>
              </w:rPr>
            </w:pPr>
            <w:r w:rsidRPr="00524381">
              <w:rPr>
                <w:b/>
                <w:bCs/>
                <w:sz w:val="20"/>
                <w:szCs w:val="20"/>
                <w:lang w:eastAsia="en-US"/>
              </w:rPr>
              <w:t xml:space="preserve">I. Úvod: </w:t>
            </w:r>
            <w:r w:rsidRPr="00524381">
              <w:rPr>
                <w:bCs/>
                <w:sz w:val="20"/>
                <w:szCs w:val="20"/>
                <w:lang w:eastAsia="en-US"/>
              </w:rPr>
              <w:t>Ministerstvo financií SR predložilo dňa 3. júla 2020 Stálej pracovnej komisii na posudzovanie vybraných vplyvov (ďalej len „Komisia“) na predbežné pripomienkové konanie materiál:</w:t>
            </w:r>
            <w:r w:rsidRPr="00524381">
              <w:rPr>
                <w:bCs/>
                <w:i/>
                <w:sz w:val="20"/>
                <w:szCs w:val="20"/>
                <w:lang w:eastAsia="en-US"/>
              </w:rPr>
              <w:t xml:space="preserve"> „Návrh zákona, ktorým sa mení a dopĺňa zákon č. 98/2004 Z. z. o spotrebnej dani z minerálneho oleja v znení neskorších predpisov“. </w:t>
            </w:r>
            <w:r w:rsidRPr="00524381">
              <w:rPr>
                <w:bCs/>
                <w:sz w:val="20"/>
                <w:szCs w:val="20"/>
                <w:lang w:eastAsia="en-US"/>
              </w:rPr>
              <w:t>Materiál predpokladá negatívne vplyvy na rozpočet verejnej správy, ktoré sú rozpočtovo zabezpečené a pozitívne a negatívne vplyvy na podnikateľské prostredie.</w:t>
            </w:r>
          </w:p>
          <w:p w:rsidR="00727D26" w:rsidRPr="00524381" w:rsidRDefault="00727D26" w:rsidP="00524381">
            <w:pPr>
              <w:jc w:val="both"/>
              <w:rPr>
                <w:bCs/>
                <w:sz w:val="20"/>
                <w:szCs w:val="20"/>
                <w:lang w:eastAsia="en-US"/>
              </w:rPr>
            </w:pPr>
          </w:p>
          <w:p w:rsidR="00727D26" w:rsidRPr="00524381" w:rsidRDefault="00727D26" w:rsidP="00524381">
            <w:pPr>
              <w:jc w:val="both"/>
              <w:rPr>
                <w:bCs/>
                <w:sz w:val="20"/>
                <w:szCs w:val="20"/>
                <w:lang w:eastAsia="en-US"/>
              </w:rPr>
            </w:pPr>
            <w:r w:rsidRPr="00524381">
              <w:rPr>
                <w:b/>
                <w:bCs/>
                <w:sz w:val="20"/>
                <w:szCs w:val="20"/>
                <w:lang w:eastAsia="en-US"/>
              </w:rPr>
              <w:t>II. P</w:t>
            </w:r>
            <w:r w:rsidRPr="00524381">
              <w:rPr>
                <w:b/>
                <w:sz w:val="20"/>
                <w:szCs w:val="20"/>
                <w:lang w:eastAsia="en-US"/>
              </w:rPr>
              <w:t>r</w:t>
            </w:r>
            <w:r w:rsidRPr="00524381">
              <w:rPr>
                <w:b/>
                <w:bCs/>
                <w:sz w:val="20"/>
                <w:szCs w:val="20"/>
                <w:lang w:eastAsia="en-US"/>
              </w:rPr>
              <w:t>ipomienky a návrhy zm</w:t>
            </w:r>
            <w:r w:rsidRPr="00524381">
              <w:rPr>
                <w:b/>
                <w:sz w:val="20"/>
                <w:szCs w:val="20"/>
                <w:lang w:eastAsia="en-US"/>
              </w:rPr>
              <w:t>ie</w:t>
            </w:r>
            <w:r w:rsidRPr="00524381">
              <w:rPr>
                <w:b/>
                <w:bCs/>
                <w:sz w:val="20"/>
                <w:szCs w:val="20"/>
                <w:lang w:eastAsia="en-US"/>
              </w:rPr>
              <w:t xml:space="preserve">n: </w:t>
            </w:r>
            <w:r w:rsidRPr="00524381">
              <w:rPr>
                <w:bCs/>
                <w:sz w:val="20"/>
                <w:szCs w:val="20"/>
                <w:lang w:eastAsia="en-US"/>
              </w:rPr>
              <w:t>Komisia uplatňuje k materiálu zásadné pripomienky a odporúčania:</w:t>
            </w:r>
          </w:p>
          <w:p w:rsidR="00727D26" w:rsidRPr="00524381" w:rsidRDefault="00727D26" w:rsidP="00524381">
            <w:pPr>
              <w:jc w:val="both"/>
              <w:rPr>
                <w:bCs/>
                <w:sz w:val="20"/>
                <w:szCs w:val="20"/>
                <w:lang w:eastAsia="en-US"/>
              </w:rPr>
            </w:pPr>
          </w:p>
          <w:p w:rsidR="00727D26" w:rsidRPr="00524381" w:rsidRDefault="00727D26" w:rsidP="00524381">
            <w:pPr>
              <w:jc w:val="both"/>
              <w:rPr>
                <w:b/>
                <w:bCs/>
                <w:sz w:val="20"/>
                <w:szCs w:val="20"/>
                <w:lang w:eastAsia="en-US"/>
              </w:rPr>
            </w:pPr>
            <w:r w:rsidRPr="00524381">
              <w:rPr>
                <w:b/>
                <w:bCs/>
                <w:sz w:val="20"/>
                <w:szCs w:val="20"/>
                <w:lang w:eastAsia="en-US"/>
              </w:rPr>
              <w:t xml:space="preserve">K doložke vybraných vplyvov </w:t>
            </w:r>
          </w:p>
          <w:p w:rsidR="00727D26" w:rsidRPr="00524381" w:rsidRDefault="00727D26" w:rsidP="00524381">
            <w:pPr>
              <w:jc w:val="both"/>
              <w:rPr>
                <w:bCs/>
                <w:sz w:val="20"/>
                <w:szCs w:val="20"/>
                <w:lang w:eastAsia="en-US"/>
              </w:rPr>
            </w:pPr>
            <w:r w:rsidRPr="00524381">
              <w:rPr>
                <w:bCs/>
                <w:sz w:val="20"/>
                <w:szCs w:val="20"/>
                <w:lang w:eastAsia="en-US"/>
              </w:rPr>
              <w:t xml:space="preserve">Komisia nesúhlasí s tým, že materiál nepredpokladá žiadny vplyv na informatizáciu. V predkladanom návrhu zákona sa zavádza elektronizácia procesov a napr. v bode 92. sa rozširuje elektronická báza údajov colných </w:t>
            </w:r>
            <w:r w:rsidRPr="00524381">
              <w:rPr>
                <w:bCs/>
                <w:sz w:val="20"/>
                <w:szCs w:val="20"/>
                <w:lang w:eastAsia="en-US"/>
              </w:rPr>
              <w:lastRenderedPageBreak/>
              <w:t>úradov a finančnej správy. Z uvedeného dôvodu je nutné vyznačiť pozitívny vplyv na informatizáciu spoločnosti a vypracovať analýzu vplyvov.</w:t>
            </w:r>
          </w:p>
          <w:p w:rsidR="00727D26" w:rsidRPr="00524381" w:rsidRDefault="00727D26" w:rsidP="00524381">
            <w:pPr>
              <w:jc w:val="both"/>
              <w:rPr>
                <w:bCs/>
                <w:sz w:val="20"/>
                <w:szCs w:val="20"/>
                <w:lang w:eastAsia="en-US"/>
              </w:rPr>
            </w:pPr>
          </w:p>
          <w:p w:rsidR="00727D26" w:rsidRPr="00524381" w:rsidRDefault="00727D26" w:rsidP="00524381">
            <w:pPr>
              <w:jc w:val="both"/>
              <w:rPr>
                <w:bCs/>
                <w:sz w:val="20"/>
                <w:szCs w:val="20"/>
                <w:lang w:eastAsia="en-US"/>
              </w:rPr>
            </w:pPr>
            <w:r w:rsidRPr="00524381">
              <w:rPr>
                <w:bCs/>
                <w:sz w:val="20"/>
                <w:szCs w:val="20"/>
                <w:lang w:eastAsia="en-US"/>
              </w:rPr>
              <w:t xml:space="preserve">Bod (10) § 6 ktorý sa dopĺňa odsekom 5, ktorý znie: „(5) Na minerálny olej uvedený v odseku 1 písm. f) sa ustanovuje znížená sadzba dane vo výške 0 eur/1 000 kg, ak je určený na použitie, ponúkaný na použitie alebo použitý ako palivo na výrobu tepla.“. V materiáli nie je zdôvodnené, prečo dochádza k takejto zníženej sadzbe. Keďže sa očakáva zvýšený dopyt po LPG, tak je potrebné, aby boli v Doložke vplyvov zhodnotené ako negatívne vplyvy na životné prostredie očakávaného zvýšeného dopytu po LPG (emisie skleníkových plynov, iné ovzdušie znečisťujúce látky) a to isté platí pri výpočte vplyvu na verejné financie. Vplyvy môžu byť samozrejme aj pozitívne, pokiaľ sa očakáva napr. zníženie dopytu po uhlí. Preto je potrebné tieto vplyvy odhadnúť a uviesť </w:t>
            </w:r>
            <w:r w:rsidR="00F45B35">
              <w:rPr>
                <w:bCs/>
                <w:sz w:val="20"/>
                <w:szCs w:val="20"/>
                <w:lang w:eastAsia="en-US"/>
              </w:rPr>
              <w:t xml:space="preserve">         </w:t>
            </w:r>
            <w:r w:rsidRPr="00524381">
              <w:rPr>
                <w:bCs/>
                <w:sz w:val="20"/>
                <w:szCs w:val="20"/>
                <w:lang w:eastAsia="en-US"/>
              </w:rPr>
              <w:t>v analýze vplyvov na životné prostredie.</w:t>
            </w:r>
          </w:p>
          <w:p w:rsidR="00727D26" w:rsidRPr="00524381" w:rsidRDefault="00727D26" w:rsidP="00524381">
            <w:pPr>
              <w:jc w:val="both"/>
              <w:rPr>
                <w:bCs/>
                <w:sz w:val="20"/>
                <w:szCs w:val="20"/>
                <w:lang w:eastAsia="en-US"/>
              </w:rPr>
            </w:pPr>
          </w:p>
          <w:p w:rsidR="00727D26" w:rsidRPr="00524381" w:rsidRDefault="00727D26" w:rsidP="00524381">
            <w:pPr>
              <w:jc w:val="both"/>
              <w:rPr>
                <w:b/>
                <w:bCs/>
                <w:sz w:val="20"/>
                <w:szCs w:val="20"/>
                <w:lang w:eastAsia="en-US"/>
              </w:rPr>
            </w:pPr>
            <w:r w:rsidRPr="00524381">
              <w:rPr>
                <w:b/>
                <w:bCs/>
                <w:sz w:val="20"/>
                <w:szCs w:val="20"/>
                <w:lang w:eastAsia="en-US"/>
              </w:rPr>
              <w:t>K analýze vplyvov na podnikateľské prostredie</w:t>
            </w:r>
          </w:p>
          <w:p w:rsidR="00727D26" w:rsidRPr="00524381" w:rsidRDefault="00727D26" w:rsidP="00524381">
            <w:pPr>
              <w:jc w:val="both"/>
              <w:rPr>
                <w:bCs/>
                <w:i/>
                <w:sz w:val="20"/>
                <w:szCs w:val="20"/>
                <w:lang w:eastAsia="en-US"/>
              </w:rPr>
            </w:pPr>
            <w:r w:rsidRPr="00524381">
              <w:rPr>
                <w:bCs/>
                <w:sz w:val="20"/>
                <w:szCs w:val="20"/>
                <w:lang w:eastAsia="en-US"/>
              </w:rPr>
              <w:t xml:space="preserve">Komisia žiada predkladateľa o </w:t>
            </w:r>
            <w:r w:rsidRPr="00524381">
              <w:rPr>
                <w:bCs/>
                <w:i/>
                <w:sz w:val="20"/>
                <w:szCs w:val="20"/>
                <w:lang w:eastAsia="en-US"/>
              </w:rPr>
              <w:t>kvantifikáciu odhadovaných nákladov/úspor regulácie</w:t>
            </w:r>
            <w:r w:rsidRPr="00524381">
              <w:rPr>
                <w:bCs/>
                <w:sz w:val="20"/>
                <w:szCs w:val="20"/>
                <w:lang w:eastAsia="en-US"/>
              </w:rPr>
              <w:t xml:space="preserve"> v Analýze vplyvov na podnikateľské prostredie, a to v každom prípade, v ktorom je takáto kvantifikácia možná, pričom odporúčaným riešením je najmä využitie </w:t>
            </w:r>
            <w:r w:rsidRPr="00524381">
              <w:rPr>
                <w:bCs/>
                <w:i/>
                <w:sz w:val="20"/>
                <w:szCs w:val="20"/>
                <w:lang w:eastAsia="en-US"/>
              </w:rPr>
              <w:t>modelového výpočtu na jeden dotknutý podnikateľský subjekt.</w:t>
            </w:r>
          </w:p>
          <w:p w:rsidR="00727D26" w:rsidRPr="00524381" w:rsidRDefault="00727D26" w:rsidP="00524381">
            <w:pPr>
              <w:jc w:val="both"/>
              <w:rPr>
                <w:bCs/>
                <w:sz w:val="20"/>
                <w:szCs w:val="20"/>
                <w:lang w:eastAsia="en-US"/>
              </w:rPr>
            </w:pPr>
          </w:p>
          <w:p w:rsidR="00727D26" w:rsidRPr="00524381" w:rsidRDefault="00727D26" w:rsidP="00524381">
            <w:pPr>
              <w:jc w:val="both"/>
              <w:rPr>
                <w:bCs/>
                <w:sz w:val="20"/>
                <w:szCs w:val="20"/>
                <w:lang w:eastAsia="en-US"/>
              </w:rPr>
            </w:pPr>
            <w:r w:rsidRPr="00524381">
              <w:rPr>
                <w:b/>
                <w:bCs/>
                <w:sz w:val="20"/>
                <w:szCs w:val="20"/>
                <w:lang w:eastAsia="en-US"/>
              </w:rPr>
              <w:t xml:space="preserve">III. Záver: </w:t>
            </w:r>
            <w:r w:rsidRPr="00524381">
              <w:rPr>
                <w:bCs/>
                <w:sz w:val="20"/>
                <w:szCs w:val="20"/>
                <w:lang w:eastAsia="en-US"/>
              </w:rPr>
              <w:t xml:space="preserve">Stála pracovná komisia na posudzovanie vybraných vplyvov vyjadruje </w:t>
            </w:r>
          </w:p>
          <w:p w:rsidR="00727D26" w:rsidRPr="00524381" w:rsidRDefault="00727D26" w:rsidP="00524381">
            <w:pPr>
              <w:tabs>
                <w:tab w:val="center" w:pos="6379"/>
              </w:tabs>
              <w:ind w:right="-2"/>
              <w:jc w:val="both"/>
              <w:rPr>
                <w:bCs/>
                <w:sz w:val="20"/>
                <w:szCs w:val="20"/>
                <w:lang w:eastAsia="en-US"/>
              </w:rPr>
            </w:pPr>
          </w:p>
          <w:p w:rsidR="00727D26" w:rsidRPr="00524381" w:rsidRDefault="00727D26" w:rsidP="00524381">
            <w:pPr>
              <w:tabs>
                <w:tab w:val="center" w:pos="6379"/>
              </w:tabs>
              <w:jc w:val="center"/>
              <w:rPr>
                <w:bCs/>
                <w:sz w:val="20"/>
                <w:szCs w:val="20"/>
                <w:lang w:eastAsia="en-US"/>
              </w:rPr>
            </w:pPr>
            <w:r w:rsidRPr="00524381">
              <w:rPr>
                <w:b/>
                <w:bCs/>
                <w:sz w:val="20"/>
                <w:szCs w:val="20"/>
                <w:lang w:eastAsia="en-US"/>
              </w:rPr>
              <w:t>nesúhlasné stanovisko</w:t>
            </w:r>
          </w:p>
          <w:p w:rsidR="00727D26" w:rsidRPr="00524381" w:rsidRDefault="00727D26" w:rsidP="00524381">
            <w:pPr>
              <w:tabs>
                <w:tab w:val="center" w:pos="6379"/>
              </w:tabs>
              <w:jc w:val="both"/>
              <w:rPr>
                <w:bCs/>
                <w:sz w:val="20"/>
                <w:szCs w:val="20"/>
                <w:lang w:eastAsia="en-US"/>
              </w:rPr>
            </w:pPr>
          </w:p>
          <w:p w:rsidR="00727D26" w:rsidRPr="00524381" w:rsidRDefault="00727D26" w:rsidP="00524381">
            <w:pPr>
              <w:tabs>
                <w:tab w:val="center" w:pos="6379"/>
              </w:tabs>
              <w:jc w:val="both"/>
              <w:rPr>
                <w:bCs/>
                <w:sz w:val="20"/>
                <w:szCs w:val="20"/>
                <w:lang w:eastAsia="en-US"/>
              </w:rPr>
            </w:pPr>
            <w:r w:rsidRPr="00524381">
              <w:rPr>
                <w:bCs/>
                <w:sz w:val="20"/>
                <w:szCs w:val="20"/>
                <w:lang w:eastAsia="en-US"/>
              </w:rPr>
              <w:t>s materiálom predloženým na predbežné pripomienkové konanie.</w:t>
            </w:r>
          </w:p>
          <w:p w:rsidR="00727D26" w:rsidRPr="00524381" w:rsidRDefault="00727D26" w:rsidP="00524381">
            <w:pPr>
              <w:tabs>
                <w:tab w:val="center" w:pos="6379"/>
              </w:tabs>
              <w:jc w:val="both"/>
              <w:rPr>
                <w:bCs/>
                <w:sz w:val="20"/>
                <w:szCs w:val="20"/>
                <w:lang w:eastAsia="en-US"/>
              </w:rPr>
            </w:pPr>
          </w:p>
          <w:p w:rsidR="00727D26" w:rsidRPr="00524381" w:rsidRDefault="00727D26" w:rsidP="00524381">
            <w:pPr>
              <w:jc w:val="both"/>
              <w:rPr>
                <w:iCs/>
                <w:sz w:val="20"/>
                <w:szCs w:val="20"/>
                <w:lang w:eastAsia="en-US"/>
              </w:rPr>
            </w:pPr>
            <w:r w:rsidRPr="00524381">
              <w:rPr>
                <w:b/>
                <w:bCs/>
                <w:sz w:val="20"/>
                <w:szCs w:val="20"/>
                <w:lang w:eastAsia="en-US"/>
              </w:rPr>
              <w:t>IV. Poznámka:</w:t>
            </w:r>
            <w:r w:rsidRPr="00524381">
              <w:rPr>
                <w:iCs/>
                <w:sz w:val="20"/>
                <w:szCs w:val="20"/>
                <w:lang w:eastAsia="en-US"/>
              </w:rPr>
              <w:t xml:space="preserve"> Predkladateľ zapracuje pripomienky a odporúčania na úpravu uvedené v bode II a uvedie stanovisko Komisie do doložky vybraných vplyvov spolu s vyhodnotením pripomienok.</w:t>
            </w:r>
          </w:p>
          <w:p w:rsidR="00727D26" w:rsidRPr="00524381" w:rsidRDefault="00727D26" w:rsidP="00524381">
            <w:pPr>
              <w:jc w:val="both"/>
              <w:rPr>
                <w:iCs/>
                <w:sz w:val="20"/>
                <w:szCs w:val="20"/>
                <w:lang w:eastAsia="en-US"/>
              </w:rPr>
            </w:pPr>
          </w:p>
          <w:p w:rsidR="00727D26" w:rsidRPr="00524381" w:rsidRDefault="00727D26" w:rsidP="00524381">
            <w:pPr>
              <w:jc w:val="both"/>
              <w:rPr>
                <w:iCs/>
                <w:sz w:val="20"/>
                <w:szCs w:val="20"/>
                <w:lang w:eastAsia="en-US"/>
              </w:rPr>
            </w:pPr>
          </w:p>
          <w:p w:rsidR="00727D26" w:rsidRPr="00524381" w:rsidRDefault="00727D26" w:rsidP="00524381">
            <w:pPr>
              <w:jc w:val="both"/>
              <w:rPr>
                <w:b/>
                <w:bCs/>
                <w:sz w:val="20"/>
                <w:szCs w:val="20"/>
                <w:lang w:eastAsia="en-US"/>
              </w:rPr>
            </w:pPr>
            <w:r w:rsidRPr="00524381">
              <w:rPr>
                <w:sz w:val="20"/>
                <w:szCs w:val="20"/>
                <w:lang w:eastAsia="en-US"/>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727D26" w:rsidRPr="00524381" w:rsidRDefault="00727D26" w:rsidP="00524381">
            <w:pPr>
              <w:jc w:val="both"/>
              <w:rPr>
                <w:sz w:val="20"/>
                <w:szCs w:val="20"/>
                <w:lang w:eastAsia="en-US"/>
              </w:rPr>
            </w:pPr>
          </w:p>
          <w:p w:rsidR="00727D26" w:rsidRPr="00524381" w:rsidRDefault="00727D26" w:rsidP="00524381">
            <w:pPr>
              <w:jc w:val="both"/>
              <w:rPr>
                <w:sz w:val="20"/>
                <w:szCs w:val="20"/>
                <w:lang w:eastAsia="en-US"/>
              </w:rPr>
            </w:pPr>
          </w:p>
          <w:p w:rsidR="00727D26" w:rsidRPr="00524381" w:rsidRDefault="00727D26" w:rsidP="00524381">
            <w:pPr>
              <w:pStyle w:val="Nadpis2"/>
              <w:numPr>
                <w:ilvl w:val="0"/>
                <w:numId w:val="0"/>
              </w:numPr>
              <w:spacing w:line="240" w:lineRule="auto"/>
              <w:rPr>
                <w:b/>
                <w:i/>
                <w:sz w:val="20"/>
                <w:szCs w:val="20"/>
                <w:lang w:eastAsia="en-US"/>
              </w:rPr>
            </w:pPr>
            <w:r w:rsidRPr="00524381">
              <w:rPr>
                <w:b/>
                <w:i/>
                <w:sz w:val="20"/>
                <w:szCs w:val="20"/>
                <w:lang w:eastAsia="en-US"/>
              </w:rPr>
              <w:t>Stanovisko predkladateľa návrhu zákona k stanovisku stálej pracovnej komisii Legislatívnej rady vlády SR na posudzovanie vybraných vplyvov:</w:t>
            </w:r>
          </w:p>
          <w:p w:rsidR="00727D26" w:rsidRPr="00524381" w:rsidRDefault="00727D26" w:rsidP="00524381">
            <w:pPr>
              <w:jc w:val="both"/>
              <w:rPr>
                <w:sz w:val="20"/>
                <w:szCs w:val="20"/>
                <w:lang w:eastAsia="en-US"/>
              </w:rPr>
            </w:pPr>
          </w:p>
          <w:p w:rsidR="00727D26" w:rsidRPr="00524381" w:rsidRDefault="00727D26" w:rsidP="00524381">
            <w:pPr>
              <w:jc w:val="both"/>
              <w:rPr>
                <w:sz w:val="20"/>
                <w:szCs w:val="20"/>
                <w:lang w:eastAsia="en-US"/>
              </w:rPr>
            </w:pPr>
            <w:r w:rsidRPr="00524381">
              <w:rPr>
                <w:sz w:val="20"/>
                <w:szCs w:val="20"/>
                <w:lang w:eastAsia="en-US"/>
              </w:rPr>
              <w:t>Pripomienka na doplnenie vplyvu na informatizáciu spoločnosti bola akceptovaná a doložka vplyvov bola doplnená o vplyvy návrhu zákona na informatizáciu spoločnosti.</w:t>
            </w:r>
          </w:p>
          <w:p w:rsidR="00727D26" w:rsidRPr="00524381" w:rsidRDefault="00727D26" w:rsidP="00524381">
            <w:pPr>
              <w:jc w:val="both"/>
              <w:rPr>
                <w:sz w:val="20"/>
                <w:szCs w:val="20"/>
                <w:lang w:eastAsia="en-US"/>
              </w:rPr>
            </w:pPr>
          </w:p>
          <w:p w:rsidR="00727D26" w:rsidRPr="00524381" w:rsidRDefault="00727D26" w:rsidP="00524381">
            <w:pPr>
              <w:jc w:val="both"/>
              <w:rPr>
                <w:sz w:val="20"/>
                <w:szCs w:val="20"/>
                <w:lang w:eastAsia="en-US"/>
              </w:rPr>
            </w:pPr>
            <w:r w:rsidRPr="00524381">
              <w:rPr>
                <w:sz w:val="20"/>
                <w:szCs w:val="20"/>
                <w:lang w:eastAsia="en-US"/>
              </w:rPr>
              <w:t>Predkladateľ návrhu zákona k pripomienke k 10. novelizačnému bodu uvádza:</w:t>
            </w:r>
          </w:p>
          <w:p w:rsidR="00727D26" w:rsidRPr="00524381" w:rsidRDefault="00727D26" w:rsidP="00524381">
            <w:pPr>
              <w:jc w:val="both"/>
              <w:rPr>
                <w:sz w:val="20"/>
                <w:szCs w:val="20"/>
                <w:lang w:eastAsia="en-US"/>
              </w:rPr>
            </w:pPr>
            <w:r w:rsidRPr="00524381">
              <w:rPr>
                <w:sz w:val="20"/>
                <w:szCs w:val="20"/>
                <w:lang w:eastAsia="en-US"/>
              </w:rPr>
              <w:t>Na minerálny olej kódu kombinovanej nomenklatúry 2711 12 až 2711 19 00, skvapalnené plynné uhľovodíky kódu kombinovanej nomenklatúry (LPG) je od 1. mája 2004 nepretržite uplatňovaná sadzba dane podľa účelu jeho použitia, a to, ak bol použitý ako pohonná látka je sadzba dane od 1. januára 2011 182 eur/1 000 kg (pretým 258,91 eura/1 000 kg) a ak bol použitý ako palivo na výrobu tepla je sadzba dane 0,00 eur/1 000 kg. Návrhom zákona sa toto členenie zdaňovania LPG podľa účelu jeho použitia zachováva a nemení. Zmena je len v legislatívno-technickom umiestnení sadzby dane na LPG určeného na použitie ako palivo na výrobu tepla vo výške 0 eur/1 000 kg z doterajšieho § 6 ods. 1 písm. f) druhého bodu zákona v novom § 6 ods. 5 zákona.</w:t>
            </w:r>
          </w:p>
          <w:p w:rsidR="00727D26" w:rsidRPr="00524381" w:rsidRDefault="00727D26" w:rsidP="00524381">
            <w:pPr>
              <w:jc w:val="both"/>
              <w:rPr>
                <w:sz w:val="20"/>
                <w:szCs w:val="20"/>
                <w:lang w:eastAsia="en-US"/>
              </w:rPr>
            </w:pPr>
          </w:p>
          <w:p w:rsidR="00727D26" w:rsidRPr="00524381" w:rsidRDefault="00727D26" w:rsidP="00524381">
            <w:pPr>
              <w:jc w:val="both"/>
              <w:rPr>
                <w:sz w:val="20"/>
                <w:szCs w:val="20"/>
                <w:lang w:eastAsia="en-US"/>
              </w:rPr>
            </w:pPr>
            <w:r w:rsidRPr="00524381">
              <w:rPr>
                <w:sz w:val="20"/>
                <w:szCs w:val="20"/>
                <w:lang w:eastAsia="en-US"/>
              </w:rPr>
              <w:t>Na základe uvedeného predkladateľ návrhu zákona trvá na tom, že uvedená zmena nemá oproti súčasnému legislatívnemu stavu žiadny vplyv na životné prostredie a doložku vplyvov na životné prostredie a nie je potrebné doplniť doložku vplyvov o vplyvy na životné prostredie.</w:t>
            </w:r>
          </w:p>
          <w:p w:rsidR="00727D26" w:rsidRPr="00524381" w:rsidRDefault="00727D26" w:rsidP="00524381">
            <w:pPr>
              <w:jc w:val="both"/>
              <w:rPr>
                <w:sz w:val="20"/>
                <w:szCs w:val="20"/>
                <w:lang w:eastAsia="en-US"/>
              </w:rPr>
            </w:pPr>
          </w:p>
          <w:p w:rsidR="00727D26" w:rsidRPr="00524381" w:rsidRDefault="00727D26" w:rsidP="00524381">
            <w:pPr>
              <w:jc w:val="both"/>
              <w:rPr>
                <w:sz w:val="20"/>
                <w:szCs w:val="20"/>
                <w:lang w:eastAsia="en-US"/>
              </w:rPr>
            </w:pPr>
            <w:r w:rsidRPr="00524381">
              <w:rPr>
                <w:sz w:val="20"/>
                <w:szCs w:val="20"/>
                <w:lang w:eastAsia="en-US"/>
              </w:rPr>
              <w:t xml:space="preserve">K pripomienke k analýze vplyvov na podnikateľské prostredie, a to </w:t>
            </w:r>
            <w:r w:rsidRPr="00524381">
              <w:rPr>
                <w:i/>
                <w:sz w:val="20"/>
                <w:szCs w:val="20"/>
                <w:lang w:eastAsia="en-US"/>
              </w:rPr>
              <w:t>o kvantifikáciu odhadovaných nákladov /úspor regulácie</w:t>
            </w:r>
            <w:r w:rsidRPr="00524381">
              <w:rPr>
                <w:sz w:val="20"/>
                <w:szCs w:val="20"/>
                <w:lang w:eastAsia="en-US"/>
              </w:rPr>
              <w:t xml:space="preserve"> predkladateľ návrhu zákona uvádza, že tieto znížené náklady by mali byť rovnaké na jeden liter motorovej nafty alebo motorového benzínu pre všetky daňové subjekty, a to vo výške rozdielu navrhovanej sadzby dane a základnej sadzby dane na tieto pohonné látky, ktorá by bola ustanovená od 1. januára 2021 v súlade so schválenou štátnou pomocou </w:t>
            </w:r>
            <w:r w:rsidRPr="00524381">
              <w:rPr>
                <w:bCs/>
                <w:color w:val="000000"/>
                <w:sz w:val="20"/>
                <w:szCs w:val="20"/>
                <w:lang w:eastAsia="en-US"/>
              </w:rPr>
              <w:t xml:space="preserve">SA. 49509 – Slovensko - Daňové zvýhodnenie </w:t>
            </w:r>
            <w:proofErr w:type="spellStart"/>
            <w:r w:rsidRPr="00524381">
              <w:rPr>
                <w:bCs/>
                <w:color w:val="000000"/>
                <w:sz w:val="20"/>
                <w:szCs w:val="20"/>
                <w:lang w:eastAsia="en-US"/>
              </w:rPr>
              <w:t>biopalív</w:t>
            </w:r>
            <w:proofErr w:type="spellEnd"/>
            <w:r w:rsidRPr="00524381">
              <w:rPr>
                <w:sz w:val="20"/>
                <w:szCs w:val="20"/>
                <w:lang w:eastAsia="en-US"/>
              </w:rPr>
              <w:t>. Tiež sa predpokladá (ako už bolo uvedené) zníženie finančných nákladov pre tie subjekty, ktoré si doteraz uplatňovali zníženú sadzbu dane, a to v súvislosti so znížením administratívnej záťaže súvisiacej s preukazovaním splnenia podmienok na uplatnenie zníženej sadzby dane, ktoré ale nie je možné jednoznačne kvantifikovať.</w:t>
            </w:r>
          </w:p>
          <w:p w:rsidR="00727D26" w:rsidRPr="00524381" w:rsidRDefault="00727D26" w:rsidP="00524381">
            <w:pPr>
              <w:jc w:val="both"/>
              <w:rPr>
                <w:sz w:val="20"/>
                <w:szCs w:val="20"/>
                <w:lang w:eastAsia="en-US"/>
              </w:rPr>
            </w:pPr>
          </w:p>
        </w:tc>
      </w:tr>
    </w:tbl>
    <w:p w:rsidR="00BA1EFF" w:rsidRPr="00BA1EFF" w:rsidRDefault="00BA1EFF" w:rsidP="00727D26">
      <w:pPr>
        <w:jc w:val="center"/>
        <w:rPr>
          <w:bCs/>
        </w:rPr>
      </w:pPr>
    </w:p>
    <w:p w:rsidR="00BA1EFF" w:rsidRPr="00BA1EFF" w:rsidRDefault="00BA1EFF" w:rsidP="00727D26">
      <w:pPr>
        <w:jc w:val="center"/>
        <w:rPr>
          <w:bCs/>
        </w:rPr>
      </w:pPr>
    </w:p>
    <w:p w:rsidR="00727D26" w:rsidRPr="003C289B" w:rsidRDefault="00727D26" w:rsidP="00727D26">
      <w:pPr>
        <w:jc w:val="center"/>
        <w:rPr>
          <w:b/>
          <w:bCs/>
          <w:sz w:val="28"/>
          <w:szCs w:val="28"/>
        </w:rPr>
      </w:pPr>
      <w:r w:rsidRPr="003C289B">
        <w:rPr>
          <w:b/>
          <w:bCs/>
          <w:sz w:val="28"/>
          <w:szCs w:val="28"/>
        </w:rPr>
        <w:t>Analýza vplyvov na rozpočet verejnej správy,</w:t>
      </w:r>
    </w:p>
    <w:p w:rsidR="00727D26" w:rsidRPr="003C289B" w:rsidRDefault="00727D26" w:rsidP="00727D26">
      <w:pPr>
        <w:jc w:val="center"/>
        <w:rPr>
          <w:b/>
          <w:bCs/>
          <w:sz w:val="28"/>
          <w:szCs w:val="28"/>
        </w:rPr>
      </w:pPr>
      <w:r w:rsidRPr="003C289B">
        <w:rPr>
          <w:b/>
          <w:bCs/>
          <w:sz w:val="28"/>
          <w:szCs w:val="28"/>
        </w:rPr>
        <w:t>na zamestnanosť vo verejnej správe a financovanie návrhu</w:t>
      </w:r>
    </w:p>
    <w:p w:rsidR="00727D26" w:rsidRPr="003C289B" w:rsidRDefault="00727D26" w:rsidP="00727D26">
      <w:pPr>
        <w:rPr>
          <w:b/>
          <w:bCs/>
        </w:rPr>
      </w:pPr>
    </w:p>
    <w:p w:rsidR="00727D26" w:rsidRPr="003C289B" w:rsidRDefault="00727D26" w:rsidP="00727D26">
      <w:pPr>
        <w:rPr>
          <w:b/>
          <w:bCs/>
        </w:rPr>
      </w:pPr>
      <w:r w:rsidRPr="003C289B">
        <w:rPr>
          <w:b/>
          <w:bCs/>
        </w:rPr>
        <w:t>2.1 Zhrnutie vplyvov na rozpočet verejnej správy v návrhu</w:t>
      </w:r>
    </w:p>
    <w:p w:rsidR="00727D26" w:rsidRDefault="00727D26" w:rsidP="00727D26">
      <w:pPr>
        <w:jc w:val="right"/>
        <w:rPr>
          <w:sz w:val="20"/>
          <w:szCs w:val="20"/>
        </w:rPr>
      </w:pPr>
      <w:r>
        <w:rPr>
          <w:sz w:val="20"/>
          <w:szCs w:val="20"/>
        </w:rPr>
        <w:t>Tabuľka č. 1</w:t>
      </w:r>
    </w:p>
    <w:p w:rsidR="00727D26" w:rsidRDefault="00727D26" w:rsidP="00727D26">
      <w:pPr>
        <w:rPr>
          <w:sz w:val="20"/>
          <w:szCs w:val="20"/>
        </w:rPr>
      </w:pPr>
    </w:p>
    <w:tbl>
      <w:tblPr>
        <w:tblW w:w="9729" w:type="dxa"/>
        <w:jc w:val="center"/>
        <w:tblCellMar>
          <w:left w:w="0" w:type="dxa"/>
          <w:right w:w="0" w:type="dxa"/>
        </w:tblCellMar>
        <w:tblLook w:val="04A0" w:firstRow="1" w:lastRow="0" w:firstColumn="1" w:lastColumn="0" w:noHBand="0" w:noVBand="1"/>
      </w:tblPr>
      <w:tblGrid>
        <w:gridCol w:w="4661"/>
        <w:gridCol w:w="1267"/>
        <w:gridCol w:w="1267"/>
        <w:gridCol w:w="1267"/>
        <w:gridCol w:w="1267"/>
      </w:tblGrid>
      <w:tr w:rsidR="00727D26" w:rsidRPr="004D1BC3" w:rsidTr="00A70D48">
        <w:trPr>
          <w:cantSplit/>
          <w:trHeight w:val="194"/>
          <w:jc w:val="center"/>
        </w:trPr>
        <w:tc>
          <w:tcPr>
            <w:tcW w:w="4661" w:type="dxa"/>
            <w:vMerge w:val="restart"/>
            <w:tcBorders>
              <w:top w:val="single" w:sz="8" w:space="0" w:color="auto"/>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hideMark/>
          </w:tcPr>
          <w:p w:rsidR="00727D26" w:rsidRPr="004D1BC3" w:rsidRDefault="00727D26" w:rsidP="00A70D48">
            <w:pPr>
              <w:rPr>
                <w:b/>
                <w:bCs/>
                <w:sz w:val="20"/>
                <w:szCs w:val="20"/>
              </w:rPr>
            </w:pPr>
            <w:r w:rsidRPr="004D1BC3">
              <w:rPr>
                <w:b/>
                <w:bCs/>
                <w:sz w:val="20"/>
                <w:szCs w:val="20"/>
              </w:rPr>
              <w:t>Vplyvy na rozpočet verejnej správy</w:t>
            </w:r>
          </w:p>
        </w:tc>
        <w:tc>
          <w:tcPr>
            <w:tcW w:w="5068" w:type="dxa"/>
            <w:gridSpan w:val="4"/>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727D26" w:rsidRPr="004D1BC3" w:rsidRDefault="00727D26" w:rsidP="00A70D48">
            <w:pPr>
              <w:rPr>
                <w:b/>
                <w:bCs/>
                <w:sz w:val="20"/>
                <w:szCs w:val="20"/>
              </w:rPr>
            </w:pPr>
            <w:r w:rsidRPr="004D1BC3">
              <w:rPr>
                <w:b/>
                <w:bCs/>
                <w:sz w:val="20"/>
                <w:szCs w:val="20"/>
              </w:rPr>
              <w:t>Vplyv na rozpočet verejnej správy (v eurách)</w:t>
            </w:r>
          </w:p>
        </w:tc>
      </w:tr>
      <w:tr w:rsidR="00727D26" w:rsidRPr="004D1BC3" w:rsidTr="00A70D48">
        <w:trPr>
          <w:cantSplit/>
          <w:trHeight w:val="7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27D26" w:rsidRPr="004D1BC3" w:rsidRDefault="00727D26" w:rsidP="00A70D48">
            <w:pPr>
              <w:rPr>
                <w:b/>
                <w:bCs/>
                <w:sz w:val="20"/>
                <w:szCs w:val="20"/>
              </w:rPr>
            </w:pPr>
          </w:p>
        </w:tc>
        <w:tc>
          <w:tcPr>
            <w:tcW w:w="1267" w:type="dxa"/>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727D26" w:rsidRPr="004D1BC3" w:rsidRDefault="00727D26" w:rsidP="00A70D48">
            <w:pPr>
              <w:jc w:val="center"/>
              <w:rPr>
                <w:b/>
                <w:bCs/>
                <w:sz w:val="20"/>
                <w:szCs w:val="20"/>
              </w:rPr>
            </w:pPr>
            <w:r w:rsidRPr="004D1BC3">
              <w:rPr>
                <w:b/>
                <w:bCs/>
                <w:sz w:val="20"/>
                <w:szCs w:val="20"/>
              </w:rPr>
              <w:t>2020</w:t>
            </w:r>
          </w:p>
        </w:tc>
        <w:tc>
          <w:tcPr>
            <w:tcW w:w="1267" w:type="dxa"/>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727D26" w:rsidRPr="004D1BC3" w:rsidRDefault="00727D26" w:rsidP="00A70D48">
            <w:pPr>
              <w:jc w:val="center"/>
              <w:rPr>
                <w:b/>
                <w:bCs/>
                <w:sz w:val="20"/>
                <w:szCs w:val="20"/>
              </w:rPr>
            </w:pPr>
            <w:r w:rsidRPr="004D1BC3">
              <w:rPr>
                <w:b/>
                <w:bCs/>
                <w:sz w:val="20"/>
                <w:szCs w:val="20"/>
              </w:rPr>
              <w:t>2021</w:t>
            </w:r>
          </w:p>
        </w:tc>
        <w:tc>
          <w:tcPr>
            <w:tcW w:w="1267" w:type="dxa"/>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727D26" w:rsidRPr="004D1BC3" w:rsidRDefault="00727D26" w:rsidP="00A70D48">
            <w:pPr>
              <w:jc w:val="center"/>
              <w:rPr>
                <w:b/>
                <w:bCs/>
                <w:sz w:val="20"/>
                <w:szCs w:val="20"/>
              </w:rPr>
            </w:pPr>
            <w:r w:rsidRPr="004D1BC3">
              <w:rPr>
                <w:b/>
                <w:bCs/>
                <w:sz w:val="20"/>
                <w:szCs w:val="20"/>
              </w:rPr>
              <w:t>2022</w:t>
            </w:r>
          </w:p>
        </w:tc>
        <w:tc>
          <w:tcPr>
            <w:tcW w:w="1267" w:type="dxa"/>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727D26" w:rsidRPr="004D1BC3" w:rsidRDefault="00727D26" w:rsidP="00A70D48">
            <w:pPr>
              <w:jc w:val="center"/>
              <w:rPr>
                <w:b/>
                <w:bCs/>
                <w:sz w:val="20"/>
                <w:szCs w:val="20"/>
              </w:rPr>
            </w:pPr>
            <w:r w:rsidRPr="004D1BC3">
              <w:rPr>
                <w:b/>
                <w:bCs/>
                <w:sz w:val="20"/>
                <w:szCs w:val="20"/>
              </w:rPr>
              <w:t>2023</w:t>
            </w:r>
          </w:p>
        </w:tc>
      </w:tr>
      <w:tr w:rsidR="00727D26" w:rsidRPr="004D1BC3" w:rsidTr="00A70D48">
        <w:trPr>
          <w:trHeight w:val="70"/>
          <w:jc w:val="center"/>
        </w:trPr>
        <w:tc>
          <w:tcPr>
            <w:tcW w:w="4661" w:type="dxa"/>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727D26" w:rsidRPr="004D1BC3" w:rsidRDefault="00727D26" w:rsidP="00A70D48">
            <w:pPr>
              <w:rPr>
                <w:sz w:val="20"/>
                <w:szCs w:val="20"/>
              </w:rPr>
            </w:pPr>
            <w:r w:rsidRPr="004D1BC3">
              <w:rPr>
                <w:b/>
                <w:bCs/>
                <w:sz w:val="20"/>
                <w:szCs w:val="20"/>
              </w:rPr>
              <w:t>Príjmy verejnej správy celkom</w:t>
            </w:r>
          </w:p>
        </w:tc>
        <w:tc>
          <w:tcPr>
            <w:tcW w:w="1267" w:type="dxa"/>
            <w:tcBorders>
              <w:top w:val="nil"/>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rsidR="00727D26" w:rsidRPr="004D1BC3" w:rsidRDefault="00727D26" w:rsidP="00A70D48">
            <w:pPr>
              <w:jc w:val="center"/>
              <w:rPr>
                <w:b/>
                <w:bCs/>
                <w:sz w:val="20"/>
                <w:szCs w:val="20"/>
              </w:rPr>
            </w:pPr>
          </w:p>
        </w:tc>
        <w:tc>
          <w:tcPr>
            <w:tcW w:w="1267" w:type="dxa"/>
            <w:tcBorders>
              <w:top w:val="nil"/>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rsidR="00727D26" w:rsidRPr="004D1BC3" w:rsidRDefault="00727D26" w:rsidP="00A70D48">
            <w:pPr>
              <w:pStyle w:val="Odsekzoznamu"/>
              <w:spacing w:after="0" w:line="240" w:lineRule="auto"/>
              <w:ind w:left="0" w:firstLine="2"/>
              <w:jc w:val="center"/>
              <w:rPr>
                <w:rFonts w:ascii="Times New Roman" w:hAnsi="Times New Roman"/>
                <w:b/>
                <w:bCs/>
                <w:iCs/>
                <w:sz w:val="20"/>
                <w:szCs w:val="20"/>
                <w:lang w:eastAsia="sk-SK"/>
              </w:rPr>
            </w:pPr>
            <w:r w:rsidRPr="004D1BC3">
              <w:rPr>
                <w:rFonts w:ascii="Times New Roman" w:hAnsi="Times New Roman"/>
                <w:b/>
                <w:bCs/>
                <w:iCs/>
                <w:sz w:val="20"/>
                <w:szCs w:val="20"/>
                <w:lang w:eastAsia="sk-SK"/>
              </w:rPr>
              <w:t>- 113</w:t>
            </w:r>
            <w:r>
              <w:rPr>
                <w:rFonts w:ascii="Times New Roman" w:hAnsi="Times New Roman"/>
                <w:b/>
                <w:bCs/>
                <w:iCs/>
                <w:sz w:val="20"/>
                <w:szCs w:val="20"/>
                <w:lang w:eastAsia="sk-SK"/>
              </w:rPr>
              <w:t> </w:t>
            </w:r>
            <w:r w:rsidRPr="004D1BC3">
              <w:rPr>
                <w:rFonts w:ascii="Times New Roman" w:hAnsi="Times New Roman"/>
                <w:b/>
                <w:bCs/>
                <w:iCs/>
                <w:sz w:val="20"/>
                <w:szCs w:val="20"/>
                <w:lang w:eastAsia="sk-SK"/>
              </w:rPr>
              <w:t>000</w:t>
            </w:r>
            <w:r>
              <w:rPr>
                <w:rFonts w:ascii="Times New Roman" w:hAnsi="Times New Roman"/>
                <w:b/>
                <w:bCs/>
                <w:iCs/>
                <w:sz w:val="20"/>
                <w:szCs w:val="20"/>
                <w:lang w:eastAsia="sk-SK"/>
              </w:rPr>
              <w:t>,00</w:t>
            </w:r>
          </w:p>
        </w:tc>
        <w:tc>
          <w:tcPr>
            <w:tcW w:w="1267" w:type="dxa"/>
            <w:tcBorders>
              <w:top w:val="nil"/>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rsidR="00727D26" w:rsidRPr="004D1BC3" w:rsidRDefault="00727D26" w:rsidP="00A70D48">
            <w:pPr>
              <w:pStyle w:val="Odsekzoznamu"/>
              <w:spacing w:after="0" w:line="240" w:lineRule="auto"/>
              <w:ind w:left="0" w:firstLine="2"/>
              <w:jc w:val="center"/>
              <w:rPr>
                <w:rFonts w:ascii="Times New Roman" w:hAnsi="Times New Roman"/>
                <w:b/>
                <w:bCs/>
                <w:iCs/>
                <w:sz w:val="20"/>
                <w:szCs w:val="20"/>
                <w:lang w:eastAsia="sk-SK"/>
              </w:rPr>
            </w:pPr>
            <w:r>
              <w:rPr>
                <w:rFonts w:ascii="Times New Roman" w:hAnsi="Times New Roman"/>
                <w:b/>
                <w:bCs/>
                <w:iCs/>
                <w:sz w:val="20"/>
                <w:szCs w:val="20"/>
                <w:lang w:eastAsia="sk-SK"/>
              </w:rPr>
              <w:t>- 117 </w:t>
            </w:r>
            <w:r w:rsidRPr="004D1BC3">
              <w:rPr>
                <w:rFonts w:ascii="Times New Roman" w:hAnsi="Times New Roman"/>
                <w:b/>
                <w:bCs/>
                <w:iCs/>
                <w:sz w:val="20"/>
                <w:szCs w:val="20"/>
                <w:lang w:eastAsia="sk-SK"/>
              </w:rPr>
              <w:t>000</w:t>
            </w:r>
            <w:r>
              <w:rPr>
                <w:rFonts w:ascii="Times New Roman" w:hAnsi="Times New Roman"/>
                <w:b/>
                <w:bCs/>
                <w:iCs/>
                <w:sz w:val="20"/>
                <w:szCs w:val="20"/>
                <w:lang w:eastAsia="sk-SK"/>
              </w:rPr>
              <w:t>,00</w:t>
            </w:r>
          </w:p>
        </w:tc>
        <w:tc>
          <w:tcPr>
            <w:tcW w:w="1267" w:type="dxa"/>
            <w:tcBorders>
              <w:top w:val="nil"/>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rsidR="00727D26" w:rsidRPr="004D1BC3" w:rsidRDefault="00727D26" w:rsidP="00A70D48">
            <w:pPr>
              <w:pStyle w:val="Odsekzoznamu"/>
              <w:spacing w:after="0" w:line="240" w:lineRule="auto"/>
              <w:ind w:left="0" w:firstLine="2"/>
              <w:jc w:val="center"/>
              <w:rPr>
                <w:rFonts w:ascii="Times New Roman" w:hAnsi="Times New Roman"/>
                <w:b/>
                <w:bCs/>
                <w:iCs/>
                <w:sz w:val="20"/>
                <w:szCs w:val="20"/>
                <w:lang w:eastAsia="sk-SK"/>
              </w:rPr>
            </w:pPr>
            <w:r>
              <w:rPr>
                <w:rFonts w:ascii="Times New Roman" w:hAnsi="Times New Roman"/>
                <w:b/>
                <w:bCs/>
                <w:iCs/>
                <w:sz w:val="20"/>
                <w:szCs w:val="20"/>
                <w:lang w:eastAsia="sk-SK"/>
              </w:rPr>
              <w:t>- 121 </w:t>
            </w:r>
            <w:r w:rsidRPr="004D1BC3">
              <w:rPr>
                <w:rFonts w:ascii="Times New Roman" w:hAnsi="Times New Roman"/>
                <w:b/>
                <w:bCs/>
                <w:iCs/>
                <w:sz w:val="20"/>
                <w:szCs w:val="20"/>
                <w:lang w:eastAsia="sk-SK"/>
              </w:rPr>
              <w:t>000</w:t>
            </w:r>
            <w:r>
              <w:rPr>
                <w:rFonts w:ascii="Times New Roman" w:hAnsi="Times New Roman"/>
                <w:b/>
                <w:bCs/>
                <w:iCs/>
                <w:sz w:val="20"/>
                <w:szCs w:val="20"/>
                <w:lang w:eastAsia="sk-SK"/>
              </w:rPr>
              <w:t>,00</w:t>
            </w:r>
          </w:p>
        </w:tc>
      </w:tr>
      <w:tr w:rsidR="00727D26" w:rsidRPr="004D1BC3" w:rsidTr="00A70D48">
        <w:trPr>
          <w:trHeight w:val="132"/>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rPr>
                <w:sz w:val="20"/>
                <w:szCs w:val="20"/>
              </w:rPr>
            </w:pPr>
            <w:r w:rsidRPr="004D1BC3">
              <w:rPr>
                <w:sz w:val="20"/>
                <w:szCs w:val="20"/>
              </w:rPr>
              <w:t>v tom: za každý subjekt verejnej správy zvlášť</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27D26" w:rsidRPr="004D1BC3" w:rsidRDefault="00727D26" w:rsidP="00A70D48">
            <w:pPr>
              <w:jc w:val="center"/>
              <w:rPr>
                <w:sz w:val="20"/>
                <w:szCs w:val="20"/>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27D26" w:rsidRPr="004D1BC3" w:rsidRDefault="00727D26" w:rsidP="00A70D48">
            <w:pPr>
              <w:jc w:val="center"/>
              <w:rPr>
                <w:sz w:val="20"/>
                <w:szCs w:val="20"/>
              </w:rPr>
            </w:pPr>
            <w:r>
              <w:rPr>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27D26" w:rsidRPr="004D1BC3" w:rsidRDefault="00727D26" w:rsidP="00A70D48">
            <w:pPr>
              <w:jc w:val="center"/>
              <w:rPr>
                <w:sz w:val="20"/>
                <w:szCs w:val="20"/>
              </w:rPr>
            </w:pPr>
            <w:r>
              <w:rPr>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27D26" w:rsidRPr="004D1BC3" w:rsidRDefault="00727D26" w:rsidP="00A70D48">
            <w:pPr>
              <w:jc w:val="center"/>
              <w:rPr>
                <w:sz w:val="20"/>
                <w:szCs w:val="20"/>
              </w:rPr>
            </w:pPr>
            <w:r>
              <w:rPr>
                <w:sz w:val="20"/>
                <w:szCs w:val="20"/>
              </w:rPr>
              <w:t>0</w:t>
            </w:r>
          </w:p>
        </w:tc>
      </w:tr>
      <w:tr w:rsidR="00727D26" w:rsidRPr="004D1BC3" w:rsidTr="00A70D48">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rPr>
                <w:b/>
                <w:bCs/>
                <w:i/>
                <w:iCs/>
                <w:sz w:val="20"/>
                <w:szCs w:val="20"/>
              </w:rPr>
            </w:pPr>
            <w:r w:rsidRPr="004D1BC3">
              <w:rPr>
                <w:b/>
                <w:bCs/>
                <w:i/>
                <w:iCs/>
                <w:sz w:val="20"/>
                <w:szCs w:val="20"/>
              </w:rPr>
              <w:t xml:space="preserve">z toho:  </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27D26" w:rsidRPr="004D1BC3" w:rsidRDefault="00727D26" w:rsidP="00A70D48">
            <w:pPr>
              <w:jc w:val="center"/>
              <w:rPr>
                <w:b/>
                <w:bCs/>
                <w:sz w:val="20"/>
                <w:szCs w:val="20"/>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27D26" w:rsidRPr="004D1BC3" w:rsidRDefault="00727D26" w:rsidP="00A70D48">
            <w:pPr>
              <w:jc w:val="center"/>
              <w:rPr>
                <w:bCs/>
                <w:iCs/>
                <w:sz w:val="20"/>
                <w:szCs w:val="20"/>
              </w:rPr>
            </w:pPr>
            <w:r w:rsidRPr="004D1BC3">
              <w:rPr>
                <w:bCs/>
                <w:i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27D26" w:rsidRPr="004D1BC3" w:rsidRDefault="00727D26" w:rsidP="00A70D48">
            <w:pPr>
              <w:jc w:val="center"/>
              <w:rPr>
                <w:bCs/>
                <w:iCs/>
                <w:sz w:val="20"/>
                <w:szCs w:val="20"/>
              </w:rPr>
            </w:pPr>
            <w:r w:rsidRPr="004D1BC3">
              <w:rPr>
                <w:bCs/>
                <w:i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27D26" w:rsidRPr="004D1BC3" w:rsidRDefault="00727D26" w:rsidP="00A70D48">
            <w:pPr>
              <w:jc w:val="center"/>
              <w:rPr>
                <w:bCs/>
                <w:iCs/>
                <w:sz w:val="20"/>
                <w:szCs w:val="20"/>
              </w:rPr>
            </w:pPr>
            <w:r w:rsidRPr="004D1BC3">
              <w:rPr>
                <w:bCs/>
                <w:iCs/>
                <w:sz w:val="20"/>
                <w:szCs w:val="20"/>
              </w:rPr>
              <w:t>0</w:t>
            </w:r>
          </w:p>
        </w:tc>
      </w:tr>
      <w:tr w:rsidR="00727D26" w:rsidRPr="004D1BC3" w:rsidTr="00727D26">
        <w:trPr>
          <w:trHeight w:val="125"/>
          <w:jc w:val="center"/>
        </w:trPr>
        <w:tc>
          <w:tcPr>
            <w:tcW w:w="466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27D26" w:rsidRPr="004D1BC3" w:rsidRDefault="00727D26" w:rsidP="00A70D48">
            <w:pPr>
              <w:rPr>
                <w:b/>
                <w:bCs/>
                <w:i/>
                <w:iCs/>
                <w:sz w:val="20"/>
                <w:szCs w:val="20"/>
              </w:rPr>
            </w:pPr>
            <w:r w:rsidRPr="004D1BC3">
              <w:rPr>
                <w:b/>
                <w:bCs/>
                <w:i/>
                <w:iCs/>
                <w:sz w:val="20"/>
                <w:szCs w:val="20"/>
              </w:rPr>
              <w:t>- vplyv na ŠR</w:t>
            </w:r>
          </w:p>
        </w:tc>
        <w:tc>
          <w:tcPr>
            <w:tcW w:w="12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27D26" w:rsidRPr="004D1BC3" w:rsidRDefault="00727D26" w:rsidP="00A70D48">
            <w:pPr>
              <w:jc w:val="center"/>
              <w:rPr>
                <w:b/>
                <w:bCs/>
                <w:sz w:val="20"/>
                <w:szCs w:val="20"/>
              </w:rPr>
            </w:pPr>
          </w:p>
        </w:tc>
        <w:tc>
          <w:tcPr>
            <w:tcW w:w="12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27D26" w:rsidRPr="00A875D5" w:rsidRDefault="00727D26" w:rsidP="00A70D48">
            <w:pPr>
              <w:jc w:val="center"/>
              <w:rPr>
                <w:b/>
                <w:sz w:val="20"/>
                <w:szCs w:val="20"/>
              </w:rPr>
            </w:pPr>
            <w:r w:rsidRPr="00A875D5">
              <w:rPr>
                <w:b/>
                <w:sz w:val="20"/>
                <w:szCs w:val="20"/>
              </w:rPr>
              <w:t>- 113 000,00</w:t>
            </w:r>
          </w:p>
        </w:tc>
        <w:tc>
          <w:tcPr>
            <w:tcW w:w="12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27D26" w:rsidRPr="00A875D5" w:rsidRDefault="00727D26" w:rsidP="00A70D48">
            <w:pPr>
              <w:jc w:val="center"/>
              <w:rPr>
                <w:b/>
                <w:sz w:val="20"/>
                <w:szCs w:val="20"/>
              </w:rPr>
            </w:pPr>
            <w:r w:rsidRPr="00A875D5">
              <w:rPr>
                <w:b/>
                <w:sz w:val="20"/>
                <w:szCs w:val="20"/>
              </w:rPr>
              <w:t>- 117 000,00</w:t>
            </w:r>
          </w:p>
        </w:tc>
        <w:tc>
          <w:tcPr>
            <w:tcW w:w="12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27D26" w:rsidRPr="00A875D5" w:rsidRDefault="00727D26" w:rsidP="00A70D48">
            <w:pPr>
              <w:jc w:val="center"/>
              <w:rPr>
                <w:b/>
                <w:sz w:val="20"/>
                <w:szCs w:val="20"/>
              </w:rPr>
            </w:pPr>
            <w:r w:rsidRPr="00A875D5">
              <w:rPr>
                <w:b/>
                <w:sz w:val="20"/>
                <w:szCs w:val="20"/>
              </w:rPr>
              <w:t>- 121 000,00</w:t>
            </w:r>
          </w:p>
        </w:tc>
      </w:tr>
      <w:tr w:rsidR="00727D26" w:rsidRPr="004D1BC3" w:rsidTr="00A70D48">
        <w:trPr>
          <w:trHeight w:val="125"/>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rPr>
                <w:b/>
                <w:bCs/>
                <w:i/>
                <w:iCs/>
                <w:sz w:val="20"/>
                <w:szCs w:val="20"/>
              </w:rPr>
            </w:pPr>
            <w:r w:rsidRPr="004D1BC3">
              <w:rPr>
                <w:i/>
                <w:iCs/>
                <w:sz w:val="20"/>
                <w:szCs w:val="20"/>
              </w:rPr>
              <w:t>Rozpočtové prostriedky (kapitola VPS FR SR)</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27D26" w:rsidRPr="004D1BC3" w:rsidRDefault="00727D26" w:rsidP="00A70D48">
            <w:pPr>
              <w:jc w:val="center"/>
              <w:rPr>
                <w:b/>
                <w:bCs/>
                <w:sz w:val="20"/>
                <w:szCs w:val="20"/>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27D26" w:rsidRPr="004D1BC3" w:rsidRDefault="00727D26" w:rsidP="00A70D48">
            <w:pPr>
              <w:jc w:val="center"/>
              <w:rPr>
                <w:sz w:val="20"/>
                <w:szCs w:val="20"/>
              </w:rPr>
            </w:pPr>
            <w:r w:rsidRPr="004D1BC3">
              <w:rPr>
                <w:sz w:val="20"/>
                <w:szCs w:val="20"/>
              </w:rPr>
              <w:t>- 113</w:t>
            </w:r>
            <w:r>
              <w:rPr>
                <w:sz w:val="20"/>
                <w:szCs w:val="20"/>
              </w:rPr>
              <w:t> </w:t>
            </w:r>
            <w:r w:rsidRPr="004D1BC3">
              <w:rPr>
                <w:sz w:val="20"/>
                <w:szCs w:val="20"/>
              </w:rPr>
              <w:t>000</w:t>
            </w:r>
            <w:r>
              <w:rPr>
                <w:sz w:val="20"/>
                <w:szCs w:val="20"/>
              </w:rPr>
              <w:t>,00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27D26" w:rsidRPr="004D1BC3" w:rsidRDefault="00727D26" w:rsidP="00A70D48">
            <w:pPr>
              <w:jc w:val="center"/>
              <w:rPr>
                <w:sz w:val="20"/>
                <w:szCs w:val="20"/>
              </w:rPr>
            </w:pPr>
            <w:r>
              <w:rPr>
                <w:sz w:val="20"/>
                <w:szCs w:val="20"/>
              </w:rPr>
              <w:t>- 117 </w:t>
            </w:r>
            <w:r w:rsidRPr="004D1BC3">
              <w:rPr>
                <w:sz w:val="20"/>
                <w:szCs w:val="20"/>
              </w:rPr>
              <w:t>000</w:t>
            </w:r>
            <w:r>
              <w:rPr>
                <w:sz w:val="20"/>
                <w:szCs w:val="20"/>
              </w:rPr>
              <w:t>,00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27D26" w:rsidRPr="004D1BC3" w:rsidRDefault="00727D26" w:rsidP="00A70D48">
            <w:pPr>
              <w:jc w:val="center"/>
              <w:rPr>
                <w:sz w:val="20"/>
                <w:szCs w:val="20"/>
              </w:rPr>
            </w:pPr>
            <w:r>
              <w:rPr>
                <w:sz w:val="20"/>
                <w:szCs w:val="20"/>
              </w:rPr>
              <w:t>- 121 </w:t>
            </w:r>
            <w:r w:rsidRPr="004D1BC3">
              <w:rPr>
                <w:sz w:val="20"/>
                <w:szCs w:val="20"/>
              </w:rPr>
              <w:t>000</w:t>
            </w:r>
            <w:r>
              <w:rPr>
                <w:sz w:val="20"/>
                <w:szCs w:val="20"/>
              </w:rPr>
              <w:t>,00</w:t>
            </w:r>
          </w:p>
        </w:tc>
      </w:tr>
      <w:tr w:rsidR="00727D26" w:rsidRPr="004D1BC3" w:rsidTr="00A70D48">
        <w:trPr>
          <w:trHeight w:val="125"/>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rPr>
                <w:i/>
                <w:iCs/>
                <w:sz w:val="20"/>
                <w:szCs w:val="20"/>
              </w:rPr>
            </w:pPr>
            <w:r w:rsidRPr="004D1BC3">
              <w:rPr>
                <w:i/>
                <w:iCs/>
                <w:sz w:val="20"/>
                <w:szCs w:val="20"/>
              </w:rPr>
              <w:t>EÚ zdroje</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27D26" w:rsidRPr="004D1BC3" w:rsidRDefault="00727D26" w:rsidP="00A70D48">
            <w:pPr>
              <w:jc w:val="center"/>
              <w:rPr>
                <w:sz w:val="20"/>
                <w:szCs w:val="20"/>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27D26" w:rsidRPr="004D1BC3" w:rsidRDefault="00727D26" w:rsidP="00A70D48">
            <w:pPr>
              <w:jc w:val="center"/>
              <w:rPr>
                <w:sz w:val="20"/>
                <w:szCs w:val="20"/>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27D26" w:rsidRPr="004D1BC3" w:rsidRDefault="00727D26" w:rsidP="00A70D48">
            <w:pPr>
              <w:jc w:val="center"/>
              <w:rPr>
                <w:sz w:val="20"/>
                <w:szCs w:val="20"/>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27D26" w:rsidRPr="004D1BC3" w:rsidRDefault="00727D26" w:rsidP="00A70D48">
            <w:pPr>
              <w:jc w:val="center"/>
              <w:rPr>
                <w:sz w:val="20"/>
                <w:szCs w:val="20"/>
              </w:rPr>
            </w:pPr>
          </w:p>
        </w:tc>
      </w:tr>
      <w:tr w:rsidR="00727D26" w:rsidRPr="004D1BC3" w:rsidTr="00A70D48">
        <w:trPr>
          <w:trHeight w:val="125"/>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rPr>
                <w:b/>
                <w:bCs/>
                <w:i/>
                <w:iCs/>
                <w:sz w:val="20"/>
                <w:szCs w:val="20"/>
              </w:rPr>
            </w:pPr>
            <w:r w:rsidRPr="004D1BC3">
              <w:rPr>
                <w:b/>
                <w:bCs/>
                <w:i/>
                <w:iCs/>
                <w:sz w:val="20"/>
                <w:szCs w:val="20"/>
              </w:rPr>
              <w:t>- vplyv na obce</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27D26" w:rsidRPr="004D1BC3" w:rsidRDefault="00727D26" w:rsidP="00A70D48">
            <w:pPr>
              <w:jc w:val="center"/>
              <w:rPr>
                <w:b/>
                <w:bCs/>
                <w:sz w:val="20"/>
                <w:szCs w:val="20"/>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27D26" w:rsidRPr="004D1BC3" w:rsidRDefault="00727D26" w:rsidP="00A70D48">
            <w:pPr>
              <w:jc w:val="center"/>
              <w:rPr>
                <w:b/>
                <w:bCs/>
                <w:sz w:val="20"/>
                <w:szCs w:val="20"/>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27D26" w:rsidRPr="004D1BC3" w:rsidRDefault="00727D26" w:rsidP="00A70D48">
            <w:pPr>
              <w:jc w:val="center"/>
              <w:rPr>
                <w:b/>
                <w:bCs/>
                <w:sz w:val="20"/>
                <w:szCs w:val="20"/>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27D26" w:rsidRPr="004D1BC3" w:rsidRDefault="00727D26" w:rsidP="00A70D48">
            <w:pPr>
              <w:jc w:val="center"/>
              <w:rPr>
                <w:b/>
                <w:bCs/>
                <w:sz w:val="20"/>
                <w:szCs w:val="20"/>
              </w:rPr>
            </w:pPr>
          </w:p>
        </w:tc>
      </w:tr>
      <w:tr w:rsidR="00727D26" w:rsidRPr="004D1BC3" w:rsidTr="00A70D48">
        <w:trPr>
          <w:trHeight w:val="125"/>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rPr>
                <w:b/>
                <w:bCs/>
                <w:i/>
                <w:iCs/>
                <w:sz w:val="20"/>
                <w:szCs w:val="20"/>
              </w:rPr>
            </w:pPr>
            <w:r w:rsidRPr="004D1BC3">
              <w:rPr>
                <w:b/>
                <w:bCs/>
                <w:i/>
                <w:iCs/>
                <w:sz w:val="20"/>
                <w:szCs w:val="20"/>
              </w:rPr>
              <w:t>- vplyv na vyššie územné celky</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27D26" w:rsidRPr="004D1BC3" w:rsidRDefault="00727D26" w:rsidP="00A70D48">
            <w:pPr>
              <w:jc w:val="center"/>
              <w:rPr>
                <w:b/>
                <w:bCs/>
                <w:sz w:val="20"/>
                <w:szCs w:val="20"/>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27D26" w:rsidRPr="004D1BC3" w:rsidRDefault="00727D26" w:rsidP="00A70D48">
            <w:pPr>
              <w:jc w:val="center"/>
              <w:rPr>
                <w:b/>
                <w:bCs/>
                <w:sz w:val="20"/>
                <w:szCs w:val="20"/>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27D26" w:rsidRPr="004D1BC3" w:rsidRDefault="00727D26" w:rsidP="00A70D48">
            <w:pPr>
              <w:jc w:val="center"/>
              <w:rPr>
                <w:b/>
                <w:bCs/>
                <w:sz w:val="20"/>
                <w:szCs w:val="20"/>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27D26" w:rsidRPr="004D1BC3" w:rsidRDefault="00727D26" w:rsidP="00A70D48">
            <w:pPr>
              <w:jc w:val="center"/>
              <w:rPr>
                <w:b/>
                <w:bCs/>
                <w:sz w:val="20"/>
                <w:szCs w:val="20"/>
              </w:rPr>
            </w:pPr>
          </w:p>
        </w:tc>
      </w:tr>
      <w:tr w:rsidR="00727D26" w:rsidRPr="004D1BC3" w:rsidTr="00A70D48">
        <w:trPr>
          <w:trHeight w:val="125"/>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rPr>
                <w:b/>
                <w:bCs/>
                <w:i/>
                <w:iCs/>
                <w:sz w:val="20"/>
                <w:szCs w:val="20"/>
              </w:rPr>
            </w:pPr>
            <w:r w:rsidRPr="004D1BC3">
              <w:rPr>
                <w:b/>
                <w:bCs/>
                <w:i/>
                <w:iCs/>
                <w:sz w:val="20"/>
                <w:szCs w:val="20"/>
              </w:rPr>
              <w:t>- vplyv na ostatné subjekty verejnej správy</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27D26" w:rsidRPr="004D1BC3" w:rsidRDefault="00727D26" w:rsidP="00A70D48">
            <w:pPr>
              <w:jc w:val="center"/>
              <w:rPr>
                <w:b/>
                <w:bCs/>
                <w:sz w:val="20"/>
                <w:szCs w:val="20"/>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27D26" w:rsidRPr="004D1BC3" w:rsidRDefault="00727D26" w:rsidP="00A70D48">
            <w:pPr>
              <w:jc w:val="center"/>
              <w:rPr>
                <w:b/>
                <w:bCs/>
                <w:sz w:val="20"/>
                <w:szCs w:val="20"/>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27D26" w:rsidRPr="004D1BC3" w:rsidRDefault="00727D26" w:rsidP="00A70D48">
            <w:pPr>
              <w:jc w:val="center"/>
              <w:rPr>
                <w:b/>
                <w:bCs/>
                <w:sz w:val="20"/>
                <w:szCs w:val="20"/>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27D26" w:rsidRPr="004D1BC3" w:rsidRDefault="00727D26" w:rsidP="00A70D48">
            <w:pPr>
              <w:jc w:val="center"/>
              <w:rPr>
                <w:b/>
                <w:bCs/>
                <w:sz w:val="20"/>
                <w:szCs w:val="20"/>
              </w:rPr>
            </w:pPr>
          </w:p>
        </w:tc>
      </w:tr>
      <w:tr w:rsidR="00727D26" w:rsidRPr="004D1BC3" w:rsidTr="00A70D48">
        <w:trPr>
          <w:trHeight w:val="125"/>
          <w:jc w:val="center"/>
        </w:trPr>
        <w:tc>
          <w:tcPr>
            <w:tcW w:w="4661" w:type="dxa"/>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727D26" w:rsidRPr="004D1BC3" w:rsidRDefault="00727D26" w:rsidP="00A70D48">
            <w:pPr>
              <w:rPr>
                <w:b/>
                <w:bCs/>
                <w:sz w:val="20"/>
                <w:szCs w:val="20"/>
              </w:rPr>
            </w:pPr>
            <w:r w:rsidRPr="004D1BC3">
              <w:rPr>
                <w:b/>
                <w:bCs/>
                <w:sz w:val="20"/>
                <w:szCs w:val="20"/>
              </w:rPr>
              <w:t>Výdavky verejnej správy celkom</w:t>
            </w:r>
          </w:p>
        </w:tc>
        <w:tc>
          <w:tcPr>
            <w:tcW w:w="1267" w:type="dxa"/>
            <w:tcBorders>
              <w:top w:val="nil"/>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sidRPr="004D1BC3">
              <w:rPr>
                <w:b/>
                <w:bCs/>
                <w:sz w:val="20"/>
                <w:szCs w:val="20"/>
              </w:rPr>
              <w:t>435 108,00</w:t>
            </w:r>
          </w:p>
        </w:tc>
        <w:tc>
          <w:tcPr>
            <w:tcW w:w="1267" w:type="dxa"/>
            <w:tcBorders>
              <w:top w:val="nil"/>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Pr>
                <w:b/>
                <w:bCs/>
                <w:sz w:val="20"/>
                <w:szCs w:val="20"/>
              </w:rPr>
              <w:t>279 672,0</w:t>
            </w:r>
            <w:r w:rsidRPr="004D1BC3">
              <w:rPr>
                <w:b/>
                <w:bCs/>
                <w:sz w:val="20"/>
                <w:szCs w:val="20"/>
              </w:rPr>
              <w:t>0</w:t>
            </w:r>
          </w:p>
        </w:tc>
        <w:tc>
          <w:tcPr>
            <w:tcW w:w="1267" w:type="dxa"/>
            <w:tcBorders>
              <w:top w:val="nil"/>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sidRPr="004D1BC3">
              <w:rPr>
                <w:b/>
                <w:bCs/>
                <w:sz w:val="20"/>
                <w:szCs w:val="20"/>
              </w:rPr>
              <w:t>0</w:t>
            </w:r>
            <w:r>
              <w:rPr>
                <w:b/>
                <w:bCs/>
                <w:sz w:val="20"/>
                <w:szCs w:val="20"/>
              </w:rPr>
              <w:t>,00</w:t>
            </w:r>
          </w:p>
        </w:tc>
        <w:tc>
          <w:tcPr>
            <w:tcW w:w="1267" w:type="dxa"/>
            <w:tcBorders>
              <w:top w:val="nil"/>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sidRPr="004D1BC3">
              <w:rPr>
                <w:b/>
                <w:bCs/>
                <w:sz w:val="20"/>
                <w:szCs w:val="20"/>
              </w:rPr>
              <w:t>0</w:t>
            </w:r>
            <w:r>
              <w:rPr>
                <w:b/>
                <w:bCs/>
                <w:sz w:val="20"/>
                <w:szCs w:val="20"/>
              </w:rPr>
              <w:t>,00</w:t>
            </w:r>
          </w:p>
        </w:tc>
      </w:tr>
      <w:tr w:rsidR="00727D26" w:rsidRPr="004D1BC3" w:rsidTr="00A70D48">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rPr>
                <w:i/>
                <w:sz w:val="20"/>
                <w:szCs w:val="20"/>
              </w:rPr>
            </w:pPr>
            <w:r w:rsidRPr="004D1BC3">
              <w:rPr>
                <w:sz w:val="20"/>
                <w:szCs w:val="20"/>
              </w:rPr>
              <w:t>v tom:</w:t>
            </w:r>
            <w:r w:rsidRPr="004D1BC3">
              <w:rPr>
                <w:i/>
                <w:sz w:val="20"/>
                <w:szCs w:val="20"/>
              </w:rPr>
              <w:t xml:space="preserve"> </w:t>
            </w:r>
            <w:r w:rsidRPr="00A65D35">
              <w:rPr>
                <w:i/>
                <w:sz w:val="20"/>
                <w:szCs w:val="20"/>
              </w:rPr>
              <w:t>kapitola MF SR/0EK 0D IT financované zo ŠR - MF SR (</w:t>
            </w:r>
            <w:proofErr w:type="spellStart"/>
            <w:r w:rsidRPr="00A65D35">
              <w:rPr>
                <w:i/>
                <w:sz w:val="20"/>
                <w:szCs w:val="20"/>
              </w:rPr>
              <w:t>org</w:t>
            </w:r>
            <w:proofErr w:type="spellEnd"/>
            <w:r w:rsidRPr="00A65D35">
              <w:rPr>
                <w:i/>
                <w:sz w:val="20"/>
                <w:szCs w:val="20"/>
              </w:rPr>
              <w:t>. MF SR – úrad)</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sz w:val="20"/>
                <w:szCs w:val="20"/>
              </w:rPr>
            </w:pPr>
            <w:r w:rsidRPr="004D1BC3">
              <w:rPr>
                <w:bCs/>
                <w:sz w:val="20"/>
                <w:szCs w:val="20"/>
              </w:rPr>
              <w:t>127 908,00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A875D5" w:rsidRDefault="00727D26" w:rsidP="00A70D48">
            <w:pPr>
              <w:jc w:val="center"/>
              <w:rPr>
                <w:bCs/>
                <w:sz w:val="20"/>
                <w:szCs w:val="20"/>
              </w:rPr>
            </w:pPr>
            <w:r w:rsidRPr="00A875D5">
              <w:rPr>
                <w:bCs/>
                <w:sz w:val="20"/>
                <w:szCs w:val="20"/>
              </w:rPr>
              <w:t>0</w:t>
            </w:r>
            <w:r>
              <w:rPr>
                <w:bCs/>
                <w:sz w:val="20"/>
                <w:szCs w:val="20"/>
              </w:rPr>
              <w:t>,00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A875D5" w:rsidRDefault="00727D26" w:rsidP="00A70D48">
            <w:pPr>
              <w:jc w:val="center"/>
              <w:rPr>
                <w:bCs/>
                <w:sz w:val="20"/>
                <w:szCs w:val="20"/>
              </w:rPr>
            </w:pPr>
            <w:r w:rsidRPr="00A875D5">
              <w:rPr>
                <w:bCs/>
                <w:sz w:val="20"/>
                <w:szCs w:val="20"/>
              </w:rPr>
              <w:t>0</w:t>
            </w:r>
            <w:r>
              <w:rPr>
                <w:bCs/>
                <w:sz w:val="20"/>
                <w:szCs w:val="20"/>
              </w:rPr>
              <w:t>,00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A875D5" w:rsidRDefault="00727D26" w:rsidP="00A70D48">
            <w:pPr>
              <w:jc w:val="center"/>
              <w:rPr>
                <w:bCs/>
                <w:sz w:val="20"/>
                <w:szCs w:val="20"/>
              </w:rPr>
            </w:pPr>
            <w:r w:rsidRPr="00A875D5">
              <w:rPr>
                <w:bCs/>
                <w:sz w:val="20"/>
                <w:szCs w:val="20"/>
              </w:rPr>
              <w:t>0</w:t>
            </w:r>
            <w:r>
              <w:rPr>
                <w:bCs/>
                <w:sz w:val="20"/>
                <w:szCs w:val="20"/>
              </w:rPr>
              <w:t>,00</w:t>
            </w:r>
          </w:p>
        </w:tc>
      </w:tr>
      <w:tr w:rsidR="00727D26" w:rsidRPr="004D1BC3" w:rsidTr="00A70D48">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rPr>
                <w:i/>
                <w:sz w:val="20"/>
                <w:szCs w:val="20"/>
              </w:rPr>
            </w:pPr>
            <w:r w:rsidRPr="00A65D35">
              <w:rPr>
                <w:i/>
                <w:sz w:val="20"/>
                <w:szCs w:val="20"/>
              </w:rPr>
              <w:t>kapitola MF SR/0EK 0D IT financované zo ŠR - MF SR (</w:t>
            </w:r>
            <w:proofErr w:type="spellStart"/>
            <w:r w:rsidRPr="00A65D35">
              <w:rPr>
                <w:i/>
                <w:sz w:val="20"/>
                <w:szCs w:val="20"/>
              </w:rPr>
              <w:t>org</w:t>
            </w:r>
            <w:proofErr w:type="spellEnd"/>
            <w:r w:rsidRPr="00A65D35">
              <w:rPr>
                <w:i/>
                <w:sz w:val="20"/>
                <w:szCs w:val="20"/>
              </w:rPr>
              <w:t>. FR SR)</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Cs/>
                <w:sz w:val="20"/>
                <w:szCs w:val="20"/>
              </w:rPr>
            </w:pPr>
            <w:r w:rsidRPr="004D1BC3">
              <w:rPr>
                <w:bCs/>
                <w:sz w:val="20"/>
                <w:szCs w:val="20"/>
              </w:rPr>
              <w:t>307 200,00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sz w:val="20"/>
                <w:szCs w:val="20"/>
              </w:rPr>
            </w:pPr>
            <w:r>
              <w:rPr>
                <w:sz w:val="20"/>
                <w:szCs w:val="20"/>
              </w:rPr>
              <w:t>279 672,00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sz w:val="20"/>
                <w:szCs w:val="20"/>
              </w:rPr>
            </w:pPr>
            <w:r>
              <w:rPr>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sz w:val="20"/>
                <w:szCs w:val="20"/>
              </w:rPr>
            </w:pPr>
            <w:r>
              <w:rPr>
                <w:sz w:val="20"/>
                <w:szCs w:val="20"/>
              </w:rPr>
              <w:t>0,00</w:t>
            </w:r>
          </w:p>
        </w:tc>
      </w:tr>
      <w:tr w:rsidR="00727D26" w:rsidRPr="004D1BC3" w:rsidTr="00A70D48">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rPr>
                <w:b/>
                <w:bCs/>
                <w:i/>
                <w:iCs/>
                <w:sz w:val="20"/>
                <w:szCs w:val="20"/>
              </w:rPr>
            </w:pPr>
            <w:r w:rsidRPr="004D1BC3">
              <w:rPr>
                <w:b/>
                <w:bCs/>
                <w:i/>
                <w:iCs/>
                <w:sz w:val="20"/>
                <w:szCs w:val="20"/>
              </w:rPr>
              <w:t xml:space="preserve">z toho: </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27D26" w:rsidRPr="004D1BC3" w:rsidRDefault="00727D26" w:rsidP="00A70D48">
            <w:pPr>
              <w:jc w:val="center"/>
              <w:rPr>
                <w:b/>
                <w:bCs/>
                <w:sz w:val="20"/>
                <w:szCs w:val="20"/>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27D26" w:rsidRPr="004D1BC3" w:rsidRDefault="00727D26" w:rsidP="00A70D48">
            <w:pPr>
              <w:jc w:val="center"/>
              <w:rPr>
                <w:b/>
                <w:bCs/>
                <w:sz w:val="20"/>
                <w:szCs w:val="20"/>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27D26" w:rsidRPr="004D1BC3" w:rsidRDefault="00727D26" w:rsidP="00A70D48">
            <w:pPr>
              <w:jc w:val="center"/>
              <w:rPr>
                <w:b/>
                <w:bCs/>
                <w:sz w:val="20"/>
                <w:szCs w:val="20"/>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27D26" w:rsidRPr="004D1BC3" w:rsidRDefault="00727D26" w:rsidP="00A70D48">
            <w:pPr>
              <w:jc w:val="center"/>
              <w:rPr>
                <w:b/>
                <w:bCs/>
                <w:sz w:val="20"/>
                <w:szCs w:val="20"/>
              </w:rPr>
            </w:pPr>
          </w:p>
        </w:tc>
      </w:tr>
      <w:tr w:rsidR="00727D26" w:rsidRPr="004D1BC3" w:rsidTr="00A70D48">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rPr>
                <w:b/>
                <w:bCs/>
                <w:i/>
                <w:iCs/>
                <w:sz w:val="20"/>
                <w:szCs w:val="20"/>
              </w:rPr>
            </w:pPr>
            <w:r w:rsidRPr="004D1BC3">
              <w:rPr>
                <w:b/>
                <w:bCs/>
                <w:i/>
                <w:iCs/>
                <w:sz w:val="20"/>
                <w:szCs w:val="20"/>
              </w:rPr>
              <w:t>- vplyv na ŠR</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sidRPr="004D1BC3">
              <w:rPr>
                <w:b/>
                <w:bCs/>
                <w:sz w:val="20"/>
                <w:szCs w:val="20"/>
              </w:rPr>
              <w:t>435 108,00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Pr>
                <w:b/>
                <w:bCs/>
                <w:sz w:val="20"/>
                <w:szCs w:val="20"/>
              </w:rPr>
              <w:t>279 672,0</w:t>
            </w:r>
            <w:r w:rsidRPr="004D1BC3">
              <w:rPr>
                <w:b/>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sidRPr="004D1BC3">
              <w:rPr>
                <w:b/>
                <w:bCs/>
                <w:sz w:val="20"/>
                <w:szCs w:val="20"/>
              </w:rPr>
              <w:t>0</w:t>
            </w:r>
            <w:r>
              <w:rPr>
                <w:b/>
                <w:bCs/>
                <w:sz w:val="20"/>
                <w:szCs w:val="20"/>
              </w:rPr>
              <w:t>,00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sidRPr="004D1BC3">
              <w:rPr>
                <w:b/>
                <w:bCs/>
                <w:sz w:val="20"/>
                <w:szCs w:val="20"/>
              </w:rPr>
              <w:t>0</w:t>
            </w:r>
            <w:r>
              <w:rPr>
                <w:b/>
                <w:bCs/>
                <w:sz w:val="20"/>
                <w:szCs w:val="20"/>
              </w:rPr>
              <w:t>,00</w:t>
            </w:r>
          </w:p>
        </w:tc>
      </w:tr>
      <w:tr w:rsidR="00727D26" w:rsidRPr="004D1BC3" w:rsidTr="00A70D48">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rPr>
                <w:b/>
                <w:bCs/>
                <w:i/>
                <w:iCs/>
                <w:sz w:val="20"/>
                <w:szCs w:val="20"/>
              </w:rPr>
            </w:pPr>
            <w:r w:rsidRPr="004D1BC3">
              <w:rPr>
                <w:i/>
                <w:iCs/>
                <w:sz w:val="20"/>
                <w:szCs w:val="20"/>
              </w:rPr>
              <w:t>    Rozpočtové prostriedky</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Cs/>
                <w:sz w:val="20"/>
                <w:szCs w:val="20"/>
              </w:rPr>
            </w:pPr>
            <w:r w:rsidRPr="00A65D35">
              <w:rPr>
                <w:bCs/>
                <w:sz w:val="20"/>
                <w:szCs w:val="20"/>
              </w:rPr>
              <w:t>435 108,00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Cs/>
                <w:sz w:val="20"/>
                <w:szCs w:val="20"/>
              </w:rPr>
            </w:pPr>
            <w:r w:rsidRPr="00A65D35">
              <w:rPr>
                <w:bCs/>
                <w:sz w:val="20"/>
                <w:szCs w:val="20"/>
              </w:rPr>
              <w:t>279 672,0</w:t>
            </w:r>
            <w:r w:rsidRPr="004D1BC3">
              <w:rPr>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Cs/>
                <w:sz w:val="20"/>
                <w:szCs w:val="20"/>
              </w:rPr>
            </w:pPr>
            <w:r w:rsidRPr="00A65D35">
              <w:rPr>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Cs/>
                <w:sz w:val="20"/>
                <w:szCs w:val="20"/>
              </w:rPr>
            </w:pPr>
            <w:r w:rsidRPr="00A65D35">
              <w:rPr>
                <w:bCs/>
                <w:sz w:val="20"/>
                <w:szCs w:val="20"/>
              </w:rPr>
              <w:t>0,00</w:t>
            </w:r>
          </w:p>
        </w:tc>
      </w:tr>
      <w:tr w:rsidR="00727D26" w:rsidRPr="004D1BC3" w:rsidTr="00A70D48">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rPr>
                <w:i/>
                <w:iCs/>
                <w:sz w:val="20"/>
                <w:szCs w:val="20"/>
              </w:rPr>
            </w:pPr>
            <w:r w:rsidRPr="004D1BC3">
              <w:rPr>
                <w:i/>
                <w:iCs/>
                <w:sz w:val="20"/>
                <w:szCs w:val="20"/>
              </w:rPr>
              <w:t>    EÚ zdroje</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sz w:val="20"/>
                <w:szCs w:val="20"/>
              </w:rPr>
            </w:pPr>
            <w:r>
              <w:rPr>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sz w:val="20"/>
                <w:szCs w:val="20"/>
              </w:rPr>
            </w:pPr>
            <w:r>
              <w:rPr>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sz w:val="20"/>
                <w:szCs w:val="20"/>
              </w:rPr>
            </w:pPr>
            <w:r>
              <w:rPr>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sz w:val="20"/>
                <w:szCs w:val="20"/>
              </w:rPr>
            </w:pPr>
            <w:r>
              <w:rPr>
                <w:sz w:val="20"/>
                <w:szCs w:val="20"/>
              </w:rPr>
              <w:t>0,00</w:t>
            </w:r>
          </w:p>
        </w:tc>
      </w:tr>
      <w:tr w:rsidR="00727D26" w:rsidRPr="004D1BC3" w:rsidTr="00A70D48">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rPr>
                <w:i/>
                <w:iCs/>
                <w:sz w:val="20"/>
                <w:szCs w:val="20"/>
              </w:rPr>
            </w:pPr>
            <w:r w:rsidRPr="004D1BC3">
              <w:rPr>
                <w:i/>
                <w:iCs/>
                <w:sz w:val="20"/>
                <w:szCs w:val="20"/>
              </w:rPr>
              <w:t>    spolufinancovanie</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sz w:val="20"/>
                <w:szCs w:val="20"/>
              </w:rPr>
            </w:pPr>
            <w:r>
              <w:rPr>
                <w:sz w:val="20"/>
                <w:szCs w:val="20"/>
              </w:rPr>
              <w:t>0,0</w:t>
            </w:r>
            <w:r w:rsidRPr="004D1BC3">
              <w:rPr>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sz w:val="20"/>
                <w:szCs w:val="20"/>
              </w:rPr>
            </w:pPr>
            <w:r>
              <w:rPr>
                <w:sz w:val="20"/>
                <w:szCs w:val="20"/>
              </w:rPr>
              <w:t>0,0</w:t>
            </w:r>
            <w:r w:rsidRPr="004D1BC3">
              <w:rPr>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sz w:val="20"/>
                <w:szCs w:val="20"/>
              </w:rPr>
            </w:pPr>
            <w:r>
              <w:rPr>
                <w:sz w:val="20"/>
                <w:szCs w:val="20"/>
              </w:rPr>
              <w:t>0,0</w:t>
            </w:r>
            <w:r w:rsidRPr="004D1BC3">
              <w:rPr>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sz w:val="20"/>
                <w:szCs w:val="20"/>
              </w:rPr>
            </w:pPr>
            <w:r>
              <w:rPr>
                <w:sz w:val="20"/>
                <w:szCs w:val="20"/>
              </w:rPr>
              <w:t>0,0</w:t>
            </w:r>
            <w:r w:rsidRPr="004D1BC3">
              <w:rPr>
                <w:sz w:val="20"/>
                <w:szCs w:val="20"/>
              </w:rPr>
              <w:t>0</w:t>
            </w:r>
          </w:p>
        </w:tc>
      </w:tr>
      <w:tr w:rsidR="00727D26" w:rsidRPr="004D1BC3" w:rsidTr="00A70D48">
        <w:trPr>
          <w:trHeight w:val="125"/>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rPr>
                <w:b/>
                <w:bCs/>
                <w:i/>
                <w:iCs/>
                <w:sz w:val="20"/>
                <w:szCs w:val="20"/>
              </w:rPr>
            </w:pPr>
            <w:r w:rsidRPr="004D1BC3">
              <w:rPr>
                <w:b/>
                <w:bCs/>
                <w:i/>
                <w:iCs/>
                <w:sz w:val="20"/>
                <w:szCs w:val="20"/>
              </w:rPr>
              <w:t>- vplyv na obce</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Pr>
                <w:b/>
                <w:bCs/>
                <w:sz w:val="20"/>
                <w:szCs w:val="20"/>
              </w:rPr>
              <w:t>0,0</w:t>
            </w:r>
            <w:r w:rsidRPr="004D1BC3">
              <w:rPr>
                <w:b/>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Pr>
                <w:b/>
                <w:bCs/>
                <w:sz w:val="20"/>
                <w:szCs w:val="20"/>
              </w:rPr>
              <w:t>0,0</w:t>
            </w:r>
            <w:r w:rsidRPr="004D1BC3">
              <w:rPr>
                <w:b/>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Pr>
                <w:b/>
                <w:bCs/>
                <w:sz w:val="20"/>
                <w:szCs w:val="20"/>
              </w:rPr>
              <w:t>0,0</w:t>
            </w:r>
            <w:r w:rsidRPr="004D1BC3">
              <w:rPr>
                <w:b/>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Pr>
                <w:b/>
                <w:bCs/>
                <w:sz w:val="20"/>
                <w:szCs w:val="20"/>
              </w:rPr>
              <w:t>0,0</w:t>
            </w:r>
            <w:r w:rsidRPr="004D1BC3">
              <w:rPr>
                <w:b/>
                <w:bCs/>
                <w:sz w:val="20"/>
                <w:szCs w:val="20"/>
              </w:rPr>
              <w:t>0</w:t>
            </w:r>
          </w:p>
        </w:tc>
      </w:tr>
      <w:tr w:rsidR="00727D26" w:rsidRPr="004D1BC3" w:rsidTr="00A70D48">
        <w:trPr>
          <w:trHeight w:val="125"/>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rPr>
                <w:b/>
                <w:bCs/>
                <w:i/>
                <w:iCs/>
                <w:sz w:val="20"/>
                <w:szCs w:val="20"/>
              </w:rPr>
            </w:pPr>
            <w:r w:rsidRPr="004D1BC3">
              <w:rPr>
                <w:b/>
                <w:bCs/>
                <w:i/>
                <w:iCs/>
                <w:sz w:val="20"/>
                <w:szCs w:val="20"/>
              </w:rPr>
              <w:t>- vplyv na vyššie územné celky</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Pr>
                <w:b/>
                <w:bCs/>
                <w:sz w:val="20"/>
                <w:szCs w:val="20"/>
              </w:rPr>
              <w:t>0,0</w:t>
            </w:r>
            <w:r w:rsidRPr="004D1BC3">
              <w:rPr>
                <w:b/>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Pr>
                <w:b/>
                <w:bCs/>
                <w:sz w:val="20"/>
                <w:szCs w:val="20"/>
              </w:rPr>
              <w:t>0,0</w:t>
            </w:r>
            <w:r w:rsidRPr="004D1BC3">
              <w:rPr>
                <w:b/>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Pr>
                <w:b/>
                <w:bCs/>
                <w:sz w:val="20"/>
                <w:szCs w:val="20"/>
              </w:rPr>
              <w:t>0,0</w:t>
            </w:r>
            <w:r w:rsidRPr="004D1BC3">
              <w:rPr>
                <w:b/>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Pr>
                <w:b/>
                <w:bCs/>
                <w:sz w:val="20"/>
                <w:szCs w:val="20"/>
              </w:rPr>
              <w:t>0,0</w:t>
            </w:r>
            <w:r w:rsidRPr="004D1BC3">
              <w:rPr>
                <w:b/>
                <w:bCs/>
                <w:sz w:val="20"/>
                <w:szCs w:val="20"/>
              </w:rPr>
              <w:t>0</w:t>
            </w:r>
          </w:p>
        </w:tc>
      </w:tr>
      <w:tr w:rsidR="00727D26" w:rsidRPr="004D1BC3" w:rsidTr="00A70D48">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rPr>
                <w:b/>
                <w:bCs/>
                <w:sz w:val="20"/>
                <w:szCs w:val="20"/>
              </w:rPr>
            </w:pPr>
            <w:r w:rsidRPr="004D1BC3">
              <w:rPr>
                <w:b/>
                <w:bCs/>
                <w:i/>
                <w:iCs/>
                <w:sz w:val="20"/>
                <w:szCs w:val="20"/>
              </w:rPr>
              <w:t>- vplyv na ostatné subjekty verejnej správy</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Pr>
                <w:b/>
                <w:bCs/>
                <w:sz w:val="20"/>
                <w:szCs w:val="20"/>
              </w:rPr>
              <w:t>0,0</w:t>
            </w:r>
            <w:r w:rsidRPr="004D1BC3">
              <w:rPr>
                <w:b/>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Pr>
                <w:b/>
                <w:bCs/>
                <w:sz w:val="20"/>
                <w:szCs w:val="20"/>
              </w:rPr>
              <w:t>0,0</w:t>
            </w:r>
            <w:r w:rsidRPr="004D1BC3">
              <w:rPr>
                <w:b/>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Pr>
                <w:b/>
                <w:bCs/>
                <w:sz w:val="20"/>
                <w:szCs w:val="20"/>
              </w:rPr>
              <w:t>0,0</w:t>
            </w:r>
            <w:r w:rsidRPr="004D1BC3">
              <w:rPr>
                <w:b/>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Pr>
                <w:b/>
                <w:bCs/>
                <w:sz w:val="20"/>
                <w:szCs w:val="20"/>
              </w:rPr>
              <w:t>0,0</w:t>
            </w:r>
            <w:r w:rsidRPr="004D1BC3">
              <w:rPr>
                <w:b/>
                <w:bCs/>
                <w:sz w:val="20"/>
                <w:szCs w:val="20"/>
              </w:rPr>
              <w:t>0</w:t>
            </w:r>
          </w:p>
        </w:tc>
      </w:tr>
      <w:tr w:rsidR="00727D26" w:rsidRPr="004D1BC3" w:rsidTr="00A70D48">
        <w:trPr>
          <w:trHeight w:val="70"/>
          <w:jc w:val="center"/>
        </w:trPr>
        <w:tc>
          <w:tcPr>
            <w:tcW w:w="4661"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727D26" w:rsidRPr="004D1BC3" w:rsidRDefault="00727D26" w:rsidP="00A70D48">
            <w:pPr>
              <w:rPr>
                <w:b/>
                <w:bCs/>
                <w:sz w:val="20"/>
                <w:szCs w:val="20"/>
              </w:rPr>
            </w:pPr>
            <w:r w:rsidRPr="004D1BC3">
              <w:rPr>
                <w:b/>
                <w:bCs/>
                <w:sz w:val="20"/>
                <w:szCs w:val="20"/>
              </w:rPr>
              <w:t xml:space="preserve">Vplyv na počet zamestnancov </w:t>
            </w:r>
          </w:p>
        </w:tc>
        <w:tc>
          <w:tcPr>
            <w:tcW w:w="1267"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sidRPr="004D1BC3">
              <w:rPr>
                <w:b/>
                <w:bCs/>
                <w:sz w:val="20"/>
                <w:szCs w:val="20"/>
              </w:rPr>
              <w:t>0</w:t>
            </w:r>
          </w:p>
        </w:tc>
        <w:tc>
          <w:tcPr>
            <w:tcW w:w="1267"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sidRPr="004D1BC3">
              <w:rPr>
                <w:b/>
                <w:bCs/>
                <w:sz w:val="20"/>
                <w:szCs w:val="20"/>
              </w:rPr>
              <w:t>0</w:t>
            </w:r>
          </w:p>
        </w:tc>
        <w:tc>
          <w:tcPr>
            <w:tcW w:w="1267"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sidRPr="004D1BC3">
              <w:rPr>
                <w:b/>
                <w:bCs/>
                <w:sz w:val="20"/>
                <w:szCs w:val="20"/>
              </w:rPr>
              <w:t>0</w:t>
            </w:r>
          </w:p>
        </w:tc>
        <w:tc>
          <w:tcPr>
            <w:tcW w:w="1267"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sidRPr="004D1BC3">
              <w:rPr>
                <w:b/>
                <w:bCs/>
                <w:sz w:val="20"/>
                <w:szCs w:val="20"/>
              </w:rPr>
              <w:t>0</w:t>
            </w:r>
          </w:p>
        </w:tc>
      </w:tr>
      <w:tr w:rsidR="00727D26" w:rsidRPr="004D1BC3" w:rsidTr="00A70D48">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rPr>
                <w:bCs/>
                <w:i/>
                <w:iCs/>
                <w:sz w:val="20"/>
                <w:szCs w:val="20"/>
              </w:rPr>
            </w:pPr>
            <w:r w:rsidRPr="004D1BC3">
              <w:rPr>
                <w:bCs/>
                <w:i/>
                <w:iCs/>
                <w:sz w:val="20"/>
                <w:szCs w:val="20"/>
              </w:rPr>
              <w:t>- vplyv na ŠR</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Cs/>
                <w:sz w:val="20"/>
                <w:szCs w:val="20"/>
              </w:rPr>
            </w:pPr>
            <w:r w:rsidRPr="004D1BC3">
              <w:rPr>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Cs/>
                <w:sz w:val="20"/>
                <w:szCs w:val="20"/>
              </w:rPr>
            </w:pPr>
            <w:r w:rsidRPr="004D1BC3">
              <w:rPr>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Cs/>
                <w:sz w:val="20"/>
                <w:szCs w:val="20"/>
              </w:rPr>
            </w:pPr>
            <w:r w:rsidRPr="004D1BC3">
              <w:rPr>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Cs/>
                <w:sz w:val="20"/>
                <w:szCs w:val="20"/>
              </w:rPr>
            </w:pPr>
            <w:r w:rsidRPr="004D1BC3">
              <w:rPr>
                <w:bCs/>
                <w:sz w:val="20"/>
                <w:szCs w:val="20"/>
              </w:rPr>
              <w:t>0</w:t>
            </w:r>
          </w:p>
        </w:tc>
      </w:tr>
      <w:tr w:rsidR="00727D26" w:rsidRPr="004D1BC3" w:rsidTr="00A70D48">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rPr>
                <w:bCs/>
                <w:i/>
                <w:iCs/>
                <w:sz w:val="20"/>
                <w:szCs w:val="20"/>
              </w:rPr>
            </w:pPr>
            <w:r w:rsidRPr="004D1BC3">
              <w:rPr>
                <w:bCs/>
                <w:i/>
                <w:iCs/>
                <w:sz w:val="20"/>
                <w:szCs w:val="20"/>
              </w:rPr>
              <w:t>- vplyv na obce</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Cs/>
                <w:sz w:val="20"/>
                <w:szCs w:val="20"/>
              </w:rPr>
            </w:pPr>
            <w:r w:rsidRPr="004D1BC3">
              <w:rPr>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Cs/>
                <w:sz w:val="20"/>
                <w:szCs w:val="20"/>
              </w:rPr>
            </w:pPr>
            <w:r w:rsidRPr="004D1BC3">
              <w:rPr>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Cs/>
                <w:sz w:val="20"/>
                <w:szCs w:val="20"/>
              </w:rPr>
            </w:pPr>
            <w:r w:rsidRPr="004D1BC3">
              <w:rPr>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Cs/>
                <w:sz w:val="20"/>
                <w:szCs w:val="20"/>
              </w:rPr>
            </w:pPr>
            <w:r w:rsidRPr="004D1BC3">
              <w:rPr>
                <w:bCs/>
                <w:sz w:val="20"/>
                <w:szCs w:val="20"/>
              </w:rPr>
              <w:t>0</w:t>
            </w:r>
          </w:p>
        </w:tc>
      </w:tr>
      <w:tr w:rsidR="00727D26" w:rsidRPr="004D1BC3" w:rsidTr="00A70D48">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rPr>
                <w:bCs/>
                <w:i/>
                <w:iCs/>
                <w:sz w:val="20"/>
                <w:szCs w:val="20"/>
              </w:rPr>
            </w:pPr>
            <w:r w:rsidRPr="004D1BC3">
              <w:rPr>
                <w:bCs/>
                <w:i/>
                <w:iCs/>
                <w:sz w:val="20"/>
                <w:szCs w:val="20"/>
              </w:rPr>
              <w:t>- vplyv na vyššie územné celky</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Cs/>
                <w:sz w:val="20"/>
                <w:szCs w:val="20"/>
              </w:rPr>
            </w:pPr>
            <w:r w:rsidRPr="004D1BC3">
              <w:rPr>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Cs/>
                <w:sz w:val="20"/>
                <w:szCs w:val="20"/>
              </w:rPr>
            </w:pPr>
            <w:r w:rsidRPr="004D1BC3">
              <w:rPr>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Cs/>
                <w:sz w:val="20"/>
                <w:szCs w:val="20"/>
              </w:rPr>
            </w:pPr>
            <w:r w:rsidRPr="004D1BC3">
              <w:rPr>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Cs/>
                <w:sz w:val="20"/>
                <w:szCs w:val="20"/>
              </w:rPr>
            </w:pPr>
            <w:r w:rsidRPr="004D1BC3">
              <w:rPr>
                <w:bCs/>
                <w:sz w:val="20"/>
                <w:szCs w:val="20"/>
              </w:rPr>
              <w:t>0</w:t>
            </w:r>
          </w:p>
        </w:tc>
      </w:tr>
      <w:tr w:rsidR="00727D26" w:rsidRPr="004D1BC3" w:rsidTr="00A70D48">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rPr>
                <w:bCs/>
                <w:i/>
                <w:iCs/>
                <w:sz w:val="20"/>
                <w:szCs w:val="20"/>
              </w:rPr>
            </w:pPr>
            <w:r w:rsidRPr="004D1BC3">
              <w:rPr>
                <w:bCs/>
                <w:i/>
                <w:iCs/>
                <w:sz w:val="20"/>
                <w:szCs w:val="20"/>
              </w:rPr>
              <w:t>- vplyv na ostatné subjekty verejnej správy</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Cs/>
                <w:sz w:val="20"/>
                <w:szCs w:val="20"/>
              </w:rPr>
            </w:pPr>
            <w:r w:rsidRPr="004D1BC3">
              <w:rPr>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Cs/>
                <w:sz w:val="20"/>
                <w:szCs w:val="20"/>
              </w:rPr>
            </w:pPr>
            <w:r w:rsidRPr="004D1BC3">
              <w:rPr>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Cs/>
                <w:sz w:val="20"/>
                <w:szCs w:val="20"/>
              </w:rPr>
            </w:pPr>
            <w:r w:rsidRPr="004D1BC3">
              <w:rPr>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Cs/>
                <w:sz w:val="20"/>
                <w:szCs w:val="20"/>
              </w:rPr>
            </w:pPr>
            <w:r w:rsidRPr="004D1BC3">
              <w:rPr>
                <w:bCs/>
                <w:sz w:val="20"/>
                <w:szCs w:val="20"/>
              </w:rPr>
              <w:t>0</w:t>
            </w:r>
          </w:p>
        </w:tc>
      </w:tr>
      <w:tr w:rsidR="00727D26" w:rsidRPr="004D1BC3" w:rsidTr="00A70D48">
        <w:trPr>
          <w:trHeight w:val="70"/>
          <w:jc w:val="center"/>
        </w:trPr>
        <w:tc>
          <w:tcPr>
            <w:tcW w:w="4661"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727D26" w:rsidRPr="004D1BC3" w:rsidRDefault="00727D26" w:rsidP="00A70D48">
            <w:pPr>
              <w:rPr>
                <w:b/>
                <w:bCs/>
                <w:sz w:val="20"/>
                <w:szCs w:val="20"/>
              </w:rPr>
            </w:pPr>
            <w:r w:rsidRPr="004D1BC3">
              <w:rPr>
                <w:b/>
                <w:bCs/>
                <w:sz w:val="20"/>
                <w:szCs w:val="20"/>
              </w:rPr>
              <w:t>Vplyv na mzdové výdavky</w:t>
            </w:r>
          </w:p>
        </w:tc>
        <w:tc>
          <w:tcPr>
            <w:tcW w:w="1267"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sidRPr="004D1BC3">
              <w:rPr>
                <w:b/>
                <w:bCs/>
                <w:sz w:val="20"/>
                <w:szCs w:val="20"/>
              </w:rPr>
              <w:t>0</w:t>
            </w:r>
            <w:r>
              <w:rPr>
                <w:b/>
                <w:bCs/>
                <w:sz w:val="20"/>
                <w:szCs w:val="20"/>
              </w:rPr>
              <w:t>,00</w:t>
            </w:r>
          </w:p>
        </w:tc>
        <w:tc>
          <w:tcPr>
            <w:tcW w:w="1267"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sidRPr="004D1BC3">
              <w:rPr>
                <w:b/>
                <w:bCs/>
                <w:sz w:val="20"/>
                <w:szCs w:val="20"/>
              </w:rPr>
              <w:t>0</w:t>
            </w:r>
            <w:r>
              <w:rPr>
                <w:b/>
                <w:bCs/>
                <w:sz w:val="20"/>
                <w:szCs w:val="20"/>
              </w:rPr>
              <w:t>,00</w:t>
            </w:r>
          </w:p>
        </w:tc>
        <w:tc>
          <w:tcPr>
            <w:tcW w:w="1267"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sidRPr="004D1BC3">
              <w:rPr>
                <w:b/>
                <w:bCs/>
                <w:sz w:val="20"/>
                <w:szCs w:val="20"/>
              </w:rPr>
              <w:t>0</w:t>
            </w:r>
            <w:r>
              <w:rPr>
                <w:b/>
                <w:bCs/>
                <w:sz w:val="20"/>
                <w:szCs w:val="20"/>
              </w:rPr>
              <w:t>,00</w:t>
            </w:r>
          </w:p>
        </w:tc>
        <w:tc>
          <w:tcPr>
            <w:tcW w:w="1267"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sidRPr="004D1BC3">
              <w:rPr>
                <w:b/>
                <w:bCs/>
                <w:sz w:val="20"/>
                <w:szCs w:val="20"/>
              </w:rPr>
              <w:t>0</w:t>
            </w:r>
            <w:r>
              <w:rPr>
                <w:b/>
                <w:bCs/>
                <w:sz w:val="20"/>
                <w:szCs w:val="20"/>
              </w:rPr>
              <w:t>,00</w:t>
            </w:r>
          </w:p>
        </w:tc>
      </w:tr>
      <w:tr w:rsidR="00727D26" w:rsidRPr="004D1BC3" w:rsidTr="00A70D48">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rPr>
                <w:bCs/>
                <w:i/>
                <w:iCs/>
                <w:sz w:val="20"/>
                <w:szCs w:val="20"/>
              </w:rPr>
            </w:pPr>
            <w:r w:rsidRPr="004D1BC3">
              <w:rPr>
                <w:bCs/>
                <w:i/>
                <w:iCs/>
                <w:sz w:val="20"/>
                <w:szCs w:val="20"/>
              </w:rPr>
              <w:t>- vplyv na ŠR</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Cs/>
                <w:sz w:val="20"/>
                <w:szCs w:val="20"/>
              </w:rPr>
            </w:pPr>
            <w:r w:rsidRPr="00A65D35">
              <w:rPr>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Cs/>
                <w:sz w:val="20"/>
                <w:szCs w:val="20"/>
              </w:rPr>
            </w:pPr>
            <w:r w:rsidRPr="00A65D35">
              <w:rPr>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Cs/>
                <w:sz w:val="20"/>
                <w:szCs w:val="20"/>
              </w:rPr>
            </w:pPr>
            <w:r w:rsidRPr="00A65D35">
              <w:rPr>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Cs/>
                <w:sz w:val="20"/>
                <w:szCs w:val="20"/>
              </w:rPr>
            </w:pPr>
            <w:r w:rsidRPr="00A65D35">
              <w:rPr>
                <w:bCs/>
                <w:sz w:val="20"/>
                <w:szCs w:val="20"/>
              </w:rPr>
              <w:t>0,00</w:t>
            </w:r>
          </w:p>
        </w:tc>
      </w:tr>
      <w:tr w:rsidR="00727D26" w:rsidRPr="004D1BC3" w:rsidTr="00A70D48">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rPr>
                <w:bCs/>
                <w:i/>
                <w:iCs/>
                <w:sz w:val="20"/>
                <w:szCs w:val="20"/>
              </w:rPr>
            </w:pPr>
            <w:r w:rsidRPr="004D1BC3">
              <w:rPr>
                <w:bCs/>
                <w:i/>
                <w:iCs/>
                <w:sz w:val="20"/>
                <w:szCs w:val="20"/>
              </w:rPr>
              <w:t>- vplyv na obce</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sz w:val="20"/>
                <w:szCs w:val="20"/>
              </w:rPr>
            </w:pPr>
            <w:r>
              <w:rPr>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sz w:val="20"/>
                <w:szCs w:val="20"/>
              </w:rPr>
            </w:pPr>
            <w:r>
              <w:rPr>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sz w:val="20"/>
                <w:szCs w:val="20"/>
              </w:rPr>
            </w:pPr>
            <w:r>
              <w:rPr>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sz w:val="20"/>
                <w:szCs w:val="20"/>
              </w:rPr>
            </w:pPr>
            <w:r>
              <w:rPr>
                <w:sz w:val="20"/>
                <w:szCs w:val="20"/>
              </w:rPr>
              <w:t>0,00</w:t>
            </w:r>
          </w:p>
        </w:tc>
      </w:tr>
      <w:tr w:rsidR="00727D26" w:rsidRPr="004D1BC3" w:rsidTr="00A70D48">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rPr>
                <w:bCs/>
                <w:i/>
                <w:iCs/>
                <w:sz w:val="20"/>
                <w:szCs w:val="20"/>
              </w:rPr>
            </w:pPr>
            <w:r w:rsidRPr="004D1BC3">
              <w:rPr>
                <w:bCs/>
                <w:i/>
                <w:iCs/>
                <w:sz w:val="20"/>
                <w:szCs w:val="20"/>
              </w:rPr>
              <w:t>- vplyv na vyššie územné celky</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sz w:val="20"/>
                <w:szCs w:val="20"/>
              </w:rPr>
            </w:pPr>
            <w:r>
              <w:rPr>
                <w:sz w:val="20"/>
                <w:szCs w:val="20"/>
              </w:rPr>
              <w:t>0,0</w:t>
            </w:r>
            <w:r w:rsidRPr="004D1BC3">
              <w:rPr>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sz w:val="20"/>
                <w:szCs w:val="20"/>
              </w:rPr>
            </w:pPr>
            <w:r>
              <w:rPr>
                <w:sz w:val="20"/>
                <w:szCs w:val="20"/>
              </w:rPr>
              <w:t>0,0</w:t>
            </w:r>
            <w:r w:rsidRPr="004D1BC3">
              <w:rPr>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sz w:val="20"/>
                <w:szCs w:val="20"/>
              </w:rPr>
            </w:pPr>
            <w:r>
              <w:rPr>
                <w:sz w:val="20"/>
                <w:szCs w:val="20"/>
              </w:rPr>
              <w:t>0,0</w:t>
            </w:r>
            <w:r w:rsidRPr="004D1BC3">
              <w:rPr>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sz w:val="20"/>
                <w:szCs w:val="20"/>
              </w:rPr>
            </w:pPr>
            <w:r>
              <w:rPr>
                <w:sz w:val="20"/>
                <w:szCs w:val="20"/>
              </w:rPr>
              <w:t>0,0</w:t>
            </w:r>
            <w:r w:rsidRPr="004D1BC3">
              <w:rPr>
                <w:sz w:val="20"/>
                <w:szCs w:val="20"/>
              </w:rPr>
              <w:t>0</w:t>
            </w:r>
          </w:p>
        </w:tc>
      </w:tr>
      <w:tr w:rsidR="00727D26" w:rsidRPr="004D1BC3" w:rsidTr="00A70D48">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rPr>
                <w:bCs/>
                <w:sz w:val="20"/>
                <w:szCs w:val="20"/>
              </w:rPr>
            </w:pPr>
            <w:r w:rsidRPr="004D1BC3">
              <w:rPr>
                <w:bCs/>
                <w:i/>
                <w:iCs/>
                <w:sz w:val="20"/>
                <w:szCs w:val="20"/>
              </w:rPr>
              <w:t>- vplyv na ostatné subjekty verejnej správy</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Cs/>
                <w:sz w:val="20"/>
                <w:szCs w:val="20"/>
              </w:rPr>
            </w:pPr>
            <w:r w:rsidRPr="00A65D35">
              <w:rPr>
                <w:bCs/>
                <w:sz w:val="20"/>
                <w:szCs w:val="20"/>
              </w:rPr>
              <w:t>0,0</w:t>
            </w:r>
            <w:r w:rsidRPr="004D1BC3">
              <w:rPr>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Cs/>
                <w:sz w:val="20"/>
                <w:szCs w:val="20"/>
              </w:rPr>
            </w:pPr>
            <w:r w:rsidRPr="00A65D35">
              <w:rPr>
                <w:bCs/>
                <w:sz w:val="20"/>
                <w:szCs w:val="20"/>
              </w:rPr>
              <w:t>0,0</w:t>
            </w:r>
            <w:r w:rsidRPr="004D1BC3">
              <w:rPr>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Cs/>
                <w:sz w:val="20"/>
                <w:szCs w:val="20"/>
              </w:rPr>
            </w:pPr>
            <w:r w:rsidRPr="00A65D35">
              <w:rPr>
                <w:bCs/>
                <w:sz w:val="20"/>
                <w:szCs w:val="20"/>
              </w:rPr>
              <w:t>0,0</w:t>
            </w:r>
            <w:r w:rsidRPr="004D1BC3">
              <w:rPr>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Cs/>
                <w:sz w:val="20"/>
                <w:szCs w:val="20"/>
              </w:rPr>
            </w:pPr>
            <w:r w:rsidRPr="00A65D35">
              <w:rPr>
                <w:bCs/>
                <w:sz w:val="20"/>
                <w:szCs w:val="20"/>
              </w:rPr>
              <w:t>0,0</w:t>
            </w:r>
            <w:r w:rsidRPr="004D1BC3">
              <w:rPr>
                <w:bCs/>
                <w:sz w:val="20"/>
                <w:szCs w:val="20"/>
              </w:rPr>
              <w:t>0</w:t>
            </w:r>
          </w:p>
        </w:tc>
      </w:tr>
      <w:tr w:rsidR="00727D26" w:rsidRPr="004D1BC3" w:rsidTr="00A70D48">
        <w:trPr>
          <w:trHeight w:val="70"/>
          <w:jc w:val="center"/>
        </w:trPr>
        <w:tc>
          <w:tcPr>
            <w:tcW w:w="4661" w:type="dxa"/>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727D26" w:rsidRPr="004D1BC3" w:rsidRDefault="00727D26" w:rsidP="00A70D48">
            <w:pPr>
              <w:rPr>
                <w:b/>
                <w:bCs/>
                <w:sz w:val="20"/>
                <w:szCs w:val="20"/>
              </w:rPr>
            </w:pPr>
            <w:r w:rsidRPr="004D1BC3">
              <w:rPr>
                <w:b/>
                <w:bCs/>
                <w:sz w:val="20"/>
                <w:szCs w:val="20"/>
              </w:rPr>
              <w:t>Financovanie zabezpečené v rozpočte</w:t>
            </w:r>
          </w:p>
        </w:tc>
        <w:tc>
          <w:tcPr>
            <w:tcW w:w="1267" w:type="dxa"/>
            <w:tcBorders>
              <w:top w:val="nil"/>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sidRPr="004D1BC3">
              <w:rPr>
                <w:b/>
                <w:bCs/>
                <w:sz w:val="20"/>
                <w:szCs w:val="20"/>
              </w:rPr>
              <w:t>435 108,00</w:t>
            </w:r>
          </w:p>
        </w:tc>
        <w:tc>
          <w:tcPr>
            <w:tcW w:w="1267" w:type="dxa"/>
            <w:tcBorders>
              <w:top w:val="nil"/>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Pr>
                <w:b/>
                <w:bCs/>
                <w:sz w:val="20"/>
                <w:szCs w:val="20"/>
              </w:rPr>
              <w:t>279 672,0</w:t>
            </w:r>
            <w:r w:rsidRPr="004D1BC3">
              <w:rPr>
                <w:b/>
                <w:bCs/>
                <w:sz w:val="20"/>
                <w:szCs w:val="20"/>
              </w:rPr>
              <w:t>0</w:t>
            </w:r>
          </w:p>
        </w:tc>
        <w:tc>
          <w:tcPr>
            <w:tcW w:w="1267" w:type="dxa"/>
            <w:tcBorders>
              <w:top w:val="nil"/>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Pr>
                <w:b/>
                <w:bCs/>
                <w:sz w:val="20"/>
                <w:szCs w:val="20"/>
              </w:rPr>
              <w:t>0,0</w:t>
            </w:r>
            <w:r w:rsidRPr="004D1BC3">
              <w:rPr>
                <w:b/>
                <w:bCs/>
                <w:sz w:val="20"/>
                <w:szCs w:val="20"/>
              </w:rPr>
              <w:t>0</w:t>
            </w:r>
          </w:p>
        </w:tc>
        <w:tc>
          <w:tcPr>
            <w:tcW w:w="1267" w:type="dxa"/>
            <w:tcBorders>
              <w:top w:val="nil"/>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Pr>
                <w:b/>
                <w:bCs/>
                <w:sz w:val="20"/>
                <w:szCs w:val="20"/>
              </w:rPr>
              <w:t>0,0</w:t>
            </w:r>
            <w:r w:rsidRPr="004D1BC3">
              <w:rPr>
                <w:b/>
                <w:bCs/>
                <w:sz w:val="20"/>
                <w:szCs w:val="20"/>
              </w:rPr>
              <w:t>0</w:t>
            </w:r>
          </w:p>
        </w:tc>
      </w:tr>
      <w:tr w:rsidR="00727D26" w:rsidRPr="004D1BC3" w:rsidTr="00A70D48">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rPr>
                <w:i/>
                <w:sz w:val="20"/>
                <w:szCs w:val="20"/>
              </w:rPr>
            </w:pPr>
            <w:r w:rsidRPr="004D1BC3">
              <w:rPr>
                <w:sz w:val="20"/>
                <w:szCs w:val="20"/>
              </w:rPr>
              <w:t>v tom:</w:t>
            </w:r>
            <w:r w:rsidRPr="004D1BC3">
              <w:rPr>
                <w:i/>
                <w:sz w:val="20"/>
                <w:szCs w:val="20"/>
              </w:rPr>
              <w:t xml:space="preserve"> </w:t>
            </w:r>
            <w:r w:rsidRPr="00A65D35">
              <w:rPr>
                <w:i/>
                <w:sz w:val="20"/>
                <w:szCs w:val="20"/>
              </w:rPr>
              <w:t>kapitola MF SR/0EK 0D IT financované zo ŠR - MF SR (</w:t>
            </w:r>
            <w:proofErr w:type="spellStart"/>
            <w:r w:rsidRPr="00A65D35">
              <w:rPr>
                <w:i/>
                <w:sz w:val="20"/>
                <w:szCs w:val="20"/>
              </w:rPr>
              <w:t>org</w:t>
            </w:r>
            <w:proofErr w:type="spellEnd"/>
            <w:r w:rsidRPr="00A65D35">
              <w:rPr>
                <w:i/>
                <w:sz w:val="20"/>
                <w:szCs w:val="20"/>
              </w:rPr>
              <w:t>. MF SR – úrad)</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sz w:val="20"/>
                <w:szCs w:val="20"/>
              </w:rPr>
            </w:pPr>
            <w:r w:rsidRPr="004D1BC3">
              <w:rPr>
                <w:bCs/>
                <w:sz w:val="20"/>
                <w:szCs w:val="20"/>
              </w:rPr>
              <w:t>127 908,00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A875D5" w:rsidRDefault="00727D26" w:rsidP="00A70D48">
            <w:pPr>
              <w:jc w:val="center"/>
              <w:rPr>
                <w:bCs/>
                <w:sz w:val="20"/>
                <w:szCs w:val="20"/>
              </w:rPr>
            </w:pPr>
            <w:r w:rsidRPr="00A875D5">
              <w:rPr>
                <w:bCs/>
                <w:sz w:val="20"/>
                <w:szCs w:val="20"/>
              </w:rPr>
              <w:t>0</w:t>
            </w:r>
            <w:r>
              <w:rPr>
                <w:bCs/>
                <w:sz w:val="20"/>
                <w:szCs w:val="20"/>
              </w:rPr>
              <w:t>,00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sz w:val="20"/>
                <w:szCs w:val="20"/>
              </w:rPr>
            </w:pPr>
            <w:r>
              <w:rPr>
                <w:sz w:val="20"/>
                <w:szCs w:val="20"/>
              </w:rPr>
              <w:t>0,0</w:t>
            </w:r>
            <w:r w:rsidRPr="004D1BC3">
              <w:rPr>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sz w:val="20"/>
                <w:szCs w:val="20"/>
              </w:rPr>
            </w:pPr>
            <w:r>
              <w:rPr>
                <w:sz w:val="20"/>
                <w:szCs w:val="20"/>
              </w:rPr>
              <w:t>0,0</w:t>
            </w:r>
            <w:r w:rsidRPr="004D1BC3">
              <w:rPr>
                <w:sz w:val="20"/>
                <w:szCs w:val="20"/>
              </w:rPr>
              <w:t>0</w:t>
            </w:r>
          </w:p>
        </w:tc>
      </w:tr>
      <w:tr w:rsidR="00727D26" w:rsidRPr="004D1BC3" w:rsidTr="00A70D48">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rPr>
                <w:i/>
                <w:sz w:val="20"/>
                <w:szCs w:val="20"/>
              </w:rPr>
            </w:pPr>
            <w:r w:rsidRPr="00A65D35">
              <w:rPr>
                <w:i/>
                <w:sz w:val="20"/>
                <w:szCs w:val="20"/>
              </w:rPr>
              <w:t>kapitola MF SR/0EK 0D IT financované zo ŠR - MF SR (</w:t>
            </w:r>
            <w:proofErr w:type="spellStart"/>
            <w:r w:rsidRPr="00A65D35">
              <w:rPr>
                <w:i/>
                <w:sz w:val="20"/>
                <w:szCs w:val="20"/>
              </w:rPr>
              <w:t>org</w:t>
            </w:r>
            <w:proofErr w:type="spellEnd"/>
            <w:r w:rsidRPr="00A65D35">
              <w:rPr>
                <w:i/>
                <w:sz w:val="20"/>
                <w:szCs w:val="20"/>
              </w:rPr>
              <w:t>. FR SR)</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bCs/>
                <w:sz w:val="20"/>
                <w:szCs w:val="20"/>
              </w:rPr>
            </w:pPr>
            <w:r w:rsidRPr="004D1BC3">
              <w:rPr>
                <w:bCs/>
                <w:sz w:val="20"/>
                <w:szCs w:val="20"/>
              </w:rPr>
              <w:t>307 200,00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sz w:val="20"/>
                <w:szCs w:val="20"/>
              </w:rPr>
            </w:pPr>
            <w:r>
              <w:rPr>
                <w:sz w:val="20"/>
                <w:szCs w:val="20"/>
              </w:rPr>
              <w:t>279 672,00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sz w:val="20"/>
                <w:szCs w:val="20"/>
              </w:rPr>
            </w:pPr>
            <w:r>
              <w:rPr>
                <w:sz w:val="20"/>
                <w:szCs w:val="20"/>
              </w:rPr>
              <w:t>0,0</w:t>
            </w:r>
            <w:r w:rsidRPr="004D1BC3">
              <w:rPr>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27D26" w:rsidRPr="004D1BC3" w:rsidRDefault="00727D26" w:rsidP="00A70D48">
            <w:pPr>
              <w:jc w:val="center"/>
              <w:rPr>
                <w:sz w:val="20"/>
                <w:szCs w:val="20"/>
              </w:rPr>
            </w:pPr>
            <w:r>
              <w:rPr>
                <w:sz w:val="20"/>
                <w:szCs w:val="20"/>
              </w:rPr>
              <w:t>0,0</w:t>
            </w:r>
            <w:r w:rsidRPr="004D1BC3">
              <w:rPr>
                <w:sz w:val="20"/>
                <w:szCs w:val="20"/>
              </w:rPr>
              <w:t>0</w:t>
            </w:r>
          </w:p>
        </w:tc>
      </w:tr>
      <w:tr w:rsidR="00727D26" w:rsidRPr="004D1BC3" w:rsidTr="00A70D48">
        <w:trPr>
          <w:trHeight w:val="70"/>
          <w:jc w:val="center"/>
        </w:trPr>
        <w:tc>
          <w:tcPr>
            <w:tcW w:w="4661"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727D26" w:rsidRPr="004D1BC3" w:rsidRDefault="00727D26" w:rsidP="00A70D48">
            <w:pPr>
              <w:rPr>
                <w:b/>
                <w:bCs/>
                <w:sz w:val="20"/>
                <w:szCs w:val="20"/>
              </w:rPr>
            </w:pPr>
            <w:r w:rsidRPr="004D1BC3">
              <w:rPr>
                <w:b/>
                <w:bCs/>
                <w:sz w:val="20"/>
                <w:szCs w:val="20"/>
              </w:rPr>
              <w:t>Iné ako rozpočtové zdroje</w:t>
            </w:r>
          </w:p>
        </w:tc>
        <w:tc>
          <w:tcPr>
            <w:tcW w:w="1267"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Pr>
                <w:b/>
                <w:bCs/>
                <w:sz w:val="20"/>
                <w:szCs w:val="20"/>
              </w:rPr>
              <w:t>0,0</w:t>
            </w:r>
            <w:r w:rsidRPr="004D1BC3">
              <w:rPr>
                <w:b/>
                <w:bCs/>
                <w:sz w:val="20"/>
                <w:szCs w:val="20"/>
              </w:rPr>
              <w:t>0</w:t>
            </w:r>
          </w:p>
        </w:tc>
        <w:tc>
          <w:tcPr>
            <w:tcW w:w="1267"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Pr>
                <w:b/>
                <w:bCs/>
                <w:sz w:val="20"/>
                <w:szCs w:val="20"/>
              </w:rPr>
              <w:t>0,0</w:t>
            </w:r>
            <w:r w:rsidRPr="004D1BC3">
              <w:rPr>
                <w:b/>
                <w:bCs/>
                <w:sz w:val="20"/>
                <w:szCs w:val="20"/>
              </w:rPr>
              <w:t>0</w:t>
            </w:r>
          </w:p>
        </w:tc>
        <w:tc>
          <w:tcPr>
            <w:tcW w:w="1267"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Pr>
                <w:b/>
                <w:bCs/>
                <w:sz w:val="20"/>
                <w:szCs w:val="20"/>
              </w:rPr>
              <w:t>0,0</w:t>
            </w:r>
            <w:r w:rsidRPr="004D1BC3">
              <w:rPr>
                <w:b/>
                <w:bCs/>
                <w:sz w:val="20"/>
                <w:szCs w:val="20"/>
              </w:rPr>
              <w:t>0</w:t>
            </w:r>
          </w:p>
        </w:tc>
        <w:tc>
          <w:tcPr>
            <w:tcW w:w="1267"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Pr>
                <w:b/>
                <w:bCs/>
                <w:sz w:val="20"/>
                <w:szCs w:val="20"/>
              </w:rPr>
              <w:t>0,0</w:t>
            </w:r>
            <w:r w:rsidRPr="004D1BC3">
              <w:rPr>
                <w:b/>
                <w:bCs/>
                <w:sz w:val="20"/>
                <w:szCs w:val="20"/>
              </w:rPr>
              <w:t>0</w:t>
            </w:r>
          </w:p>
        </w:tc>
      </w:tr>
      <w:tr w:rsidR="00727D26" w:rsidRPr="004D1BC3" w:rsidTr="00A70D48">
        <w:trPr>
          <w:trHeight w:val="70"/>
          <w:jc w:val="center"/>
        </w:trPr>
        <w:tc>
          <w:tcPr>
            <w:tcW w:w="4661" w:type="dxa"/>
            <w:tcBorders>
              <w:top w:val="nil"/>
              <w:left w:val="single" w:sz="8" w:space="0" w:color="auto"/>
              <w:bottom w:val="single" w:sz="8" w:space="0" w:color="auto"/>
              <w:right w:val="single" w:sz="8" w:space="0" w:color="auto"/>
            </w:tcBorders>
            <w:shd w:val="clear" w:color="auto" w:fill="A6A6A6"/>
            <w:noWrap/>
            <w:tcMar>
              <w:top w:w="0" w:type="dxa"/>
              <w:left w:w="70" w:type="dxa"/>
              <w:bottom w:w="0" w:type="dxa"/>
              <w:right w:w="70" w:type="dxa"/>
            </w:tcMar>
            <w:vAlign w:val="center"/>
            <w:hideMark/>
          </w:tcPr>
          <w:p w:rsidR="00727D26" w:rsidRPr="004D1BC3" w:rsidRDefault="00727D26" w:rsidP="00A70D48">
            <w:pPr>
              <w:rPr>
                <w:b/>
                <w:bCs/>
                <w:sz w:val="20"/>
                <w:szCs w:val="20"/>
              </w:rPr>
            </w:pPr>
            <w:r>
              <w:rPr>
                <w:b/>
                <w:bCs/>
                <w:sz w:val="20"/>
                <w:szCs w:val="20"/>
              </w:rPr>
              <w:t>Rozpočtovo nekrytý vplyv/</w:t>
            </w:r>
            <w:r w:rsidRPr="004D1BC3">
              <w:rPr>
                <w:b/>
                <w:bCs/>
                <w:sz w:val="20"/>
                <w:szCs w:val="20"/>
              </w:rPr>
              <w:t>úspora</w:t>
            </w:r>
          </w:p>
        </w:tc>
        <w:tc>
          <w:tcPr>
            <w:tcW w:w="1267" w:type="dxa"/>
            <w:tcBorders>
              <w:top w:val="nil"/>
              <w:left w:val="nil"/>
              <w:bottom w:val="single" w:sz="8" w:space="0" w:color="auto"/>
              <w:right w:val="single" w:sz="8" w:space="0" w:color="auto"/>
            </w:tcBorders>
            <w:shd w:val="clear" w:color="auto" w:fill="A6A6A6"/>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Pr>
                <w:b/>
                <w:bCs/>
                <w:sz w:val="20"/>
                <w:szCs w:val="20"/>
              </w:rPr>
              <w:t>0,0</w:t>
            </w:r>
            <w:r w:rsidRPr="004D1BC3">
              <w:rPr>
                <w:b/>
                <w:bCs/>
                <w:sz w:val="20"/>
                <w:szCs w:val="20"/>
              </w:rPr>
              <w:t>0</w:t>
            </w:r>
          </w:p>
        </w:tc>
        <w:tc>
          <w:tcPr>
            <w:tcW w:w="1267" w:type="dxa"/>
            <w:tcBorders>
              <w:top w:val="nil"/>
              <w:left w:val="nil"/>
              <w:bottom w:val="single" w:sz="8" w:space="0" w:color="auto"/>
              <w:right w:val="single" w:sz="8" w:space="0" w:color="auto"/>
            </w:tcBorders>
            <w:shd w:val="clear" w:color="auto" w:fill="A6A6A6"/>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Pr>
                <w:b/>
                <w:bCs/>
                <w:sz w:val="20"/>
                <w:szCs w:val="20"/>
              </w:rPr>
              <w:t>0,0</w:t>
            </w:r>
            <w:r w:rsidRPr="004D1BC3">
              <w:rPr>
                <w:b/>
                <w:bCs/>
                <w:sz w:val="20"/>
                <w:szCs w:val="20"/>
              </w:rPr>
              <w:t>0</w:t>
            </w:r>
          </w:p>
        </w:tc>
        <w:tc>
          <w:tcPr>
            <w:tcW w:w="1267" w:type="dxa"/>
            <w:tcBorders>
              <w:top w:val="nil"/>
              <w:left w:val="nil"/>
              <w:bottom w:val="single" w:sz="8" w:space="0" w:color="auto"/>
              <w:right w:val="single" w:sz="8" w:space="0" w:color="auto"/>
            </w:tcBorders>
            <w:shd w:val="clear" w:color="auto" w:fill="A6A6A6"/>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sidRPr="004D1BC3">
              <w:rPr>
                <w:b/>
                <w:bCs/>
                <w:sz w:val="20"/>
                <w:szCs w:val="20"/>
              </w:rPr>
              <w:t>0</w:t>
            </w:r>
            <w:r>
              <w:rPr>
                <w:b/>
                <w:bCs/>
                <w:sz w:val="20"/>
                <w:szCs w:val="20"/>
              </w:rPr>
              <w:t>,00</w:t>
            </w:r>
          </w:p>
        </w:tc>
        <w:tc>
          <w:tcPr>
            <w:tcW w:w="1267" w:type="dxa"/>
            <w:tcBorders>
              <w:top w:val="nil"/>
              <w:left w:val="nil"/>
              <w:bottom w:val="single" w:sz="8" w:space="0" w:color="auto"/>
              <w:right w:val="single" w:sz="8" w:space="0" w:color="auto"/>
            </w:tcBorders>
            <w:shd w:val="clear" w:color="auto" w:fill="A6A6A6"/>
            <w:noWrap/>
            <w:tcMar>
              <w:top w:w="0" w:type="dxa"/>
              <w:left w:w="70" w:type="dxa"/>
              <w:bottom w:w="0" w:type="dxa"/>
              <w:right w:w="70" w:type="dxa"/>
            </w:tcMar>
            <w:vAlign w:val="center"/>
            <w:hideMark/>
          </w:tcPr>
          <w:p w:rsidR="00727D26" w:rsidRPr="004D1BC3" w:rsidRDefault="00727D26" w:rsidP="00A70D48">
            <w:pPr>
              <w:jc w:val="center"/>
              <w:rPr>
                <w:b/>
                <w:bCs/>
                <w:sz w:val="20"/>
                <w:szCs w:val="20"/>
              </w:rPr>
            </w:pPr>
            <w:r w:rsidRPr="004D1BC3">
              <w:rPr>
                <w:b/>
                <w:bCs/>
                <w:sz w:val="20"/>
                <w:szCs w:val="20"/>
              </w:rPr>
              <w:t>0</w:t>
            </w:r>
            <w:r>
              <w:rPr>
                <w:b/>
                <w:bCs/>
                <w:sz w:val="20"/>
                <w:szCs w:val="20"/>
              </w:rPr>
              <w:t>,00</w:t>
            </w:r>
          </w:p>
        </w:tc>
      </w:tr>
    </w:tbl>
    <w:p w:rsidR="00727D26" w:rsidRDefault="00727D26" w:rsidP="00727D26">
      <w:pPr>
        <w:ind w:hanging="284"/>
        <w:rPr>
          <w:b/>
          <w:bCs/>
          <w:sz w:val="20"/>
          <w:szCs w:val="20"/>
        </w:rPr>
      </w:pPr>
    </w:p>
    <w:p w:rsidR="00727D26" w:rsidRPr="00C749F2" w:rsidRDefault="00727D26" w:rsidP="00727D26">
      <w:pPr>
        <w:ind w:left="-284" w:right="-286"/>
        <w:jc w:val="both"/>
        <w:rPr>
          <w:bCs/>
          <w:sz w:val="20"/>
          <w:szCs w:val="20"/>
        </w:rPr>
      </w:pPr>
    </w:p>
    <w:p w:rsidR="00727D26" w:rsidRPr="003C289B" w:rsidRDefault="00727D26" w:rsidP="00727D26">
      <w:pPr>
        <w:rPr>
          <w:b/>
          <w:bCs/>
        </w:rPr>
      </w:pPr>
      <w:r w:rsidRPr="003C289B">
        <w:rPr>
          <w:b/>
          <w:bCs/>
        </w:rPr>
        <w:br w:type="page"/>
      </w:r>
      <w:r w:rsidRPr="003C289B">
        <w:rPr>
          <w:b/>
          <w:bCs/>
        </w:rPr>
        <w:lastRenderedPageBreak/>
        <w:t>2.1.1. Financovanie návrhu - Návrh na riešenie úbytku príjmov alebo zvýšených výdavkov podľa § 33 ods. 1 zákona č. 523/2004 Z. z. o rozpočtových pravidlách verejnej správy:</w:t>
      </w:r>
    </w:p>
    <w:p w:rsidR="00727D26" w:rsidRDefault="00727D26" w:rsidP="00727D26">
      <w:pPr>
        <w:jc w:val="both"/>
        <w:rPr>
          <w:bCs/>
          <w:sz w:val="20"/>
          <w:szCs w:val="20"/>
        </w:rPr>
      </w:pPr>
    </w:p>
    <w:p w:rsidR="00727D26" w:rsidRPr="00A03BBB" w:rsidRDefault="00727D26" w:rsidP="00727D26">
      <w:pPr>
        <w:jc w:val="both"/>
      </w:pPr>
      <w:r>
        <w:t>Návrh zákona predpokladá negatívny vplyv na rozpočet súvisiaci s úpravou informačných systémov finančnej správy vo výške</w:t>
      </w:r>
      <w:r w:rsidRPr="00A03BBB">
        <w:t xml:space="preserve"> </w:t>
      </w:r>
      <w:r>
        <w:rPr>
          <w:b/>
          <w:bCs/>
        </w:rPr>
        <w:t xml:space="preserve">714 780 eur </w:t>
      </w:r>
      <w:r w:rsidRPr="00A03BBB">
        <w:rPr>
          <w:b/>
          <w:bCs/>
        </w:rPr>
        <w:t>s</w:t>
      </w:r>
      <w:r>
        <w:rPr>
          <w:b/>
          <w:bCs/>
        </w:rPr>
        <w:t> </w:t>
      </w:r>
      <w:r w:rsidRPr="00A03BBB">
        <w:rPr>
          <w:b/>
          <w:bCs/>
        </w:rPr>
        <w:t>DPH</w:t>
      </w:r>
      <w:r>
        <w:rPr>
          <w:b/>
          <w:bCs/>
        </w:rPr>
        <w:t>,</w:t>
      </w:r>
      <w:r w:rsidRPr="00A03BBB">
        <w:t xml:space="preserve"> a to:</w:t>
      </w:r>
    </w:p>
    <w:p w:rsidR="00727D26" w:rsidRDefault="00727D26" w:rsidP="00727D26">
      <w:pPr>
        <w:pStyle w:val="Odsekzoznamu"/>
        <w:numPr>
          <w:ilvl w:val="0"/>
          <w:numId w:val="24"/>
        </w:numPr>
        <w:tabs>
          <w:tab w:val="left" w:pos="360"/>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APV </w:t>
      </w:r>
      <w:proofErr w:type="spellStart"/>
      <w:r>
        <w:rPr>
          <w:rFonts w:ascii="Times New Roman" w:hAnsi="Times New Roman"/>
          <w:sz w:val="24"/>
          <w:szCs w:val="24"/>
        </w:rPr>
        <w:t>SysNeD</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586 872 eur s DPH,</w:t>
      </w:r>
    </w:p>
    <w:p w:rsidR="00727D26" w:rsidRDefault="00727D26" w:rsidP="00727D26">
      <w:pPr>
        <w:pStyle w:val="Odsekzoznamu"/>
        <w:numPr>
          <w:ilvl w:val="0"/>
          <w:numId w:val="24"/>
        </w:numPr>
        <w:tabs>
          <w:tab w:val="left" w:pos="360"/>
        </w:tabs>
        <w:spacing w:after="0" w:line="240" w:lineRule="auto"/>
        <w:ind w:left="284" w:hanging="284"/>
        <w:jc w:val="both"/>
        <w:rPr>
          <w:rFonts w:ascii="Times New Roman" w:hAnsi="Times New Roman"/>
          <w:sz w:val="24"/>
          <w:szCs w:val="24"/>
        </w:rPr>
      </w:pPr>
      <w:r>
        <w:rPr>
          <w:rFonts w:ascii="Times New Roman" w:hAnsi="Times New Roman"/>
          <w:sz w:val="24"/>
          <w:szCs w:val="24"/>
        </w:rPr>
        <w:t>PFS (portál finančnej správy)</w:t>
      </w:r>
      <w:r>
        <w:rPr>
          <w:rFonts w:ascii="Times New Roman" w:hAnsi="Times New Roman"/>
          <w:sz w:val="24"/>
          <w:szCs w:val="24"/>
        </w:rPr>
        <w:tab/>
        <w:t>127 908 eur s DPH.</w:t>
      </w:r>
    </w:p>
    <w:p w:rsidR="00727D26" w:rsidRPr="00A03BBB" w:rsidRDefault="00727D26" w:rsidP="00727D26">
      <w:pPr>
        <w:tabs>
          <w:tab w:val="left" w:pos="360"/>
        </w:tabs>
        <w:jc w:val="both"/>
      </w:pPr>
    </w:p>
    <w:p w:rsidR="00727D26" w:rsidRPr="00A03BBB" w:rsidRDefault="00727D26" w:rsidP="00727D26">
      <w:pPr>
        <w:jc w:val="both"/>
      </w:pPr>
      <w:r w:rsidRPr="00A03BBB">
        <w:t>Do informačných systémov</w:t>
      </w:r>
      <w:r>
        <w:t xml:space="preserve"> finančnej správy</w:t>
      </w:r>
      <w:r w:rsidRPr="00A03BBB">
        <w:t xml:space="preserve"> je potrebné zapracovať:</w:t>
      </w:r>
    </w:p>
    <w:p w:rsidR="00727D26" w:rsidRPr="00A03BBB" w:rsidRDefault="00727D26" w:rsidP="00727D26">
      <w:pPr>
        <w:pStyle w:val="Odsekzoznamu"/>
        <w:numPr>
          <w:ilvl w:val="0"/>
          <w:numId w:val="26"/>
        </w:numPr>
        <w:spacing w:after="0" w:line="240" w:lineRule="auto"/>
        <w:contextualSpacing w:val="0"/>
        <w:jc w:val="both"/>
        <w:rPr>
          <w:rFonts w:ascii="Times New Roman" w:hAnsi="Times New Roman"/>
          <w:sz w:val="24"/>
          <w:szCs w:val="24"/>
        </w:rPr>
      </w:pPr>
      <w:r>
        <w:rPr>
          <w:rFonts w:ascii="Times New Roman" w:hAnsi="Times New Roman"/>
          <w:sz w:val="24"/>
          <w:szCs w:val="24"/>
        </w:rPr>
        <w:t>zavedenie jed</w:t>
      </w:r>
      <w:r w:rsidRPr="00A03BBB">
        <w:rPr>
          <w:rFonts w:ascii="Times New Roman" w:hAnsi="Times New Roman"/>
          <w:sz w:val="24"/>
          <w:szCs w:val="24"/>
        </w:rPr>
        <w:t>nej sad</w:t>
      </w:r>
      <w:r>
        <w:rPr>
          <w:rFonts w:ascii="Times New Roman" w:hAnsi="Times New Roman"/>
          <w:sz w:val="24"/>
          <w:szCs w:val="24"/>
        </w:rPr>
        <w:t>z</w:t>
      </w:r>
      <w:r w:rsidRPr="00A03BBB">
        <w:rPr>
          <w:rFonts w:ascii="Times New Roman" w:hAnsi="Times New Roman"/>
          <w:sz w:val="24"/>
          <w:szCs w:val="24"/>
        </w:rPr>
        <w:t>by dane na motorový benzín a jedne</w:t>
      </w:r>
      <w:r>
        <w:rPr>
          <w:rFonts w:ascii="Times New Roman" w:hAnsi="Times New Roman"/>
          <w:sz w:val="24"/>
          <w:szCs w:val="24"/>
        </w:rPr>
        <w:t>j sadzby dane na motorovú naftu,</w:t>
      </w:r>
    </w:p>
    <w:p w:rsidR="00727D26" w:rsidRPr="00A03BBB" w:rsidRDefault="00727D26" w:rsidP="00727D26">
      <w:pPr>
        <w:pStyle w:val="Odsekzoznamu"/>
        <w:numPr>
          <w:ilvl w:val="0"/>
          <w:numId w:val="26"/>
        </w:numPr>
        <w:spacing w:after="0" w:line="240" w:lineRule="auto"/>
        <w:contextualSpacing w:val="0"/>
        <w:jc w:val="both"/>
        <w:rPr>
          <w:rFonts w:ascii="Times New Roman" w:hAnsi="Times New Roman"/>
          <w:sz w:val="24"/>
          <w:szCs w:val="24"/>
        </w:rPr>
      </w:pPr>
      <w:r w:rsidRPr="00A03BBB">
        <w:rPr>
          <w:rFonts w:ascii="Times New Roman" w:hAnsi="Times New Roman"/>
          <w:sz w:val="24"/>
          <w:szCs w:val="24"/>
        </w:rPr>
        <w:t>úpravu sadzby dane na skvapalnené plynné uhľovodíky</w:t>
      </w:r>
      <w:r>
        <w:rPr>
          <w:rFonts w:ascii="Times New Roman" w:hAnsi="Times New Roman"/>
          <w:sz w:val="24"/>
          <w:szCs w:val="24"/>
        </w:rPr>
        <w:t>,</w:t>
      </w:r>
    </w:p>
    <w:p w:rsidR="00727D26" w:rsidRPr="00A03BBB" w:rsidRDefault="00727D26" w:rsidP="00727D26">
      <w:pPr>
        <w:pStyle w:val="Odsekzoznamu"/>
        <w:numPr>
          <w:ilvl w:val="0"/>
          <w:numId w:val="26"/>
        </w:numPr>
        <w:spacing w:after="0" w:line="240" w:lineRule="auto"/>
        <w:contextualSpacing w:val="0"/>
        <w:jc w:val="both"/>
        <w:rPr>
          <w:rFonts w:ascii="Times New Roman" w:hAnsi="Times New Roman"/>
          <w:sz w:val="24"/>
          <w:szCs w:val="24"/>
        </w:rPr>
      </w:pPr>
      <w:r w:rsidRPr="00A03BBB">
        <w:rPr>
          <w:rFonts w:ascii="Times New Roman" w:hAnsi="Times New Roman"/>
          <w:sz w:val="24"/>
          <w:szCs w:val="24"/>
        </w:rPr>
        <w:t>zmeny v evidencii užívateľských podnikov</w:t>
      </w:r>
      <w:r>
        <w:rPr>
          <w:rFonts w:ascii="Times New Roman" w:hAnsi="Times New Roman"/>
          <w:sz w:val="24"/>
          <w:szCs w:val="24"/>
        </w:rPr>
        <w:t>,</w:t>
      </w:r>
    </w:p>
    <w:p w:rsidR="00727D26" w:rsidRPr="00A03BBB" w:rsidRDefault="00727D26" w:rsidP="00727D26">
      <w:pPr>
        <w:pStyle w:val="Odsekzoznamu"/>
        <w:numPr>
          <w:ilvl w:val="0"/>
          <w:numId w:val="26"/>
        </w:numPr>
        <w:spacing w:after="0" w:line="240" w:lineRule="auto"/>
        <w:contextualSpacing w:val="0"/>
        <w:jc w:val="both"/>
        <w:rPr>
          <w:rFonts w:ascii="Times New Roman" w:hAnsi="Times New Roman"/>
          <w:sz w:val="24"/>
          <w:szCs w:val="24"/>
        </w:rPr>
      </w:pPr>
      <w:r w:rsidRPr="00A03BBB">
        <w:rPr>
          <w:rFonts w:ascii="Times New Roman" w:hAnsi="Times New Roman"/>
          <w:sz w:val="24"/>
          <w:szCs w:val="24"/>
        </w:rPr>
        <w:t>zmeny u obchodníkov s vybraným minerálnym olejom</w:t>
      </w:r>
      <w:r>
        <w:rPr>
          <w:rFonts w:ascii="Times New Roman" w:hAnsi="Times New Roman"/>
          <w:sz w:val="24"/>
          <w:szCs w:val="24"/>
        </w:rPr>
        <w:t>,</w:t>
      </w:r>
    </w:p>
    <w:p w:rsidR="00727D26" w:rsidRPr="00A03BBB" w:rsidRDefault="00727D26" w:rsidP="00727D26">
      <w:pPr>
        <w:pStyle w:val="Odsekzoznamu"/>
        <w:numPr>
          <w:ilvl w:val="0"/>
          <w:numId w:val="26"/>
        </w:numPr>
        <w:spacing w:after="0" w:line="240" w:lineRule="auto"/>
        <w:contextualSpacing w:val="0"/>
        <w:jc w:val="both"/>
        <w:rPr>
          <w:rFonts w:ascii="Times New Roman" w:hAnsi="Times New Roman"/>
          <w:sz w:val="24"/>
          <w:szCs w:val="24"/>
        </w:rPr>
      </w:pPr>
      <w:r w:rsidRPr="00A03BBB">
        <w:rPr>
          <w:rFonts w:ascii="Times New Roman" w:hAnsi="Times New Roman"/>
          <w:sz w:val="24"/>
          <w:szCs w:val="24"/>
        </w:rPr>
        <w:t>štruktúrovaný formulár užívat</w:t>
      </w:r>
      <w:r>
        <w:rPr>
          <w:rFonts w:ascii="Times New Roman" w:hAnsi="Times New Roman"/>
          <w:sz w:val="24"/>
          <w:szCs w:val="24"/>
        </w:rPr>
        <w:t>eľského podniku na webovom sídle</w:t>
      </w:r>
      <w:r w:rsidRPr="00A03BBB">
        <w:rPr>
          <w:rFonts w:ascii="Times New Roman" w:hAnsi="Times New Roman"/>
          <w:sz w:val="24"/>
          <w:szCs w:val="24"/>
        </w:rPr>
        <w:t xml:space="preserve"> FR SR</w:t>
      </w:r>
      <w:r>
        <w:rPr>
          <w:rFonts w:ascii="Times New Roman" w:hAnsi="Times New Roman"/>
          <w:sz w:val="24"/>
          <w:szCs w:val="24"/>
        </w:rPr>
        <w:t>,</w:t>
      </w:r>
    </w:p>
    <w:p w:rsidR="00727D26" w:rsidRPr="00A03BBB" w:rsidRDefault="00727D26" w:rsidP="00727D26">
      <w:pPr>
        <w:pStyle w:val="Odsekzoznamu"/>
        <w:numPr>
          <w:ilvl w:val="0"/>
          <w:numId w:val="26"/>
        </w:numPr>
        <w:spacing w:after="0" w:line="240" w:lineRule="auto"/>
        <w:contextualSpacing w:val="0"/>
        <w:jc w:val="both"/>
        <w:rPr>
          <w:rFonts w:ascii="Times New Roman" w:hAnsi="Times New Roman"/>
          <w:sz w:val="24"/>
          <w:szCs w:val="24"/>
        </w:rPr>
      </w:pPr>
      <w:r w:rsidRPr="00A03BBB">
        <w:rPr>
          <w:rFonts w:ascii="Times New Roman" w:hAnsi="Times New Roman"/>
          <w:sz w:val="24"/>
          <w:szCs w:val="24"/>
        </w:rPr>
        <w:t>zmeny v elektronickej databáze, ktorá obsahuje register daňových subjektov</w:t>
      </w:r>
      <w:r>
        <w:rPr>
          <w:rFonts w:ascii="Times New Roman" w:hAnsi="Times New Roman"/>
          <w:sz w:val="24"/>
          <w:szCs w:val="24"/>
        </w:rPr>
        <w:t>,</w:t>
      </w:r>
    </w:p>
    <w:p w:rsidR="00727D26" w:rsidRPr="00A03BBB" w:rsidRDefault="00727D26" w:rsidP="00727D26">
      <w:pPr>
        <w:pStyle w:val="Odsekzoznamu"/>
        <w:numPr>
          <w:ilvl w:val="0"/>
          <w:numId w:val="26"/>
        </w:numPr>
        <w:spacing w:after="0" w:line="240" w:lineRule="auto"/>
        <w:contextualSpacing w:val="0"/>
        <w:jc w:val="both"/>
        <w:rPr>
          <w:rFonts w:ascii="Times New Roman" w:hAnsi="Times New Roman"/>
          <w:sz w:val="24"/>
          <w:szCs w:val="24"/>
        </w:rPr>
      </w:pPr>
      <w:r>
        <w:rPr>
          <w:rFonts w:ascii="Times New Roman" w:hAnsi="Times New Roman"/>
          <w:sz w:val="24"/>
          <w:szCs w:val="24"/>
        </w:rPr>
        <w:t>nový typ daňového subjektu,</w:t>
      </w:r>
    </w:p>
    <w:p w:rsidR="00727D26" w:rsidRPr="00A03BBB" w:rsidRDefault="00727D26" w:rsidP="00727D26">
      <w:pPr>
        <w:pStyle w:val="Odsekzoznamu"/>
        <w:numPr>
          <w:ilvl w:val="0"/>
          <w:numId w:val="26"/>
        </w:numPr>
        <w:spacing w:after="0" w:line="240" w:lineRule="auto"/>
        <w:contextualSpacing w:val="0"/>
        <w:jc w:val="both"/>
        <w:rPr>
          <w:rFonts w:ascii="Times New Roman" w:hAnsi="Times New Roman"/>
          <w:sz w:val="24"/>
          <w:szCs w:val="24"/>
        </w:rPr>
      </w:pPr>
      <w:r w:rsidRPr="00A03BBB">
        <w:rPr>
          <w:rFonts w:ascii="Times New Roman" w:hAnsi="Times New Roman"/>
          <w:sz w:val="24"/>
          <w:szCs w:val="24"/>
        </w:rPr>
        <w:t xml:space="preserve">nový typ prepravy v rámci </w:t>
      </w:r>
      <w:proofErr w:type="spellStart"/>
      <w:r w:rsidRPr="00A03BBB">
        <w:rPr>
          <w:rFonts w:ascii="Times New Roman" w:hAnsi="Times New Roman"/>
          <w:sz w:val="24"/>
          <w:szCs w:val="24"/>
        </w:rPr>
        <w:t>elektornického</w:t>
      </w:r>
      <w:proofErr w:type="spellEnd"/>
      <w:r w:rsidRPr="00A03BBB">
        <w:rPr>
          <w:rFonts w:ascii="Times New Roman" w:hAnsi="Times New Roman"/>
          <w:sz w:val="24"/>
          <w:szCs w:val="24"/>
        </w:rPr>
        <w:t xml:space="preserve"> systému EMCS</w:t>
      </w:r>
      <w:r>
        <w:rPr>
          <w:rFonts w:ascii="Times New Roman" w:hAnsi="Times New Roman"/>
          <w:sz w:val="24"/>
          <w:szCs w:val="24"/>
        </w:rPr>
        <w:t>,</w:t>
      </w:r>
    </w:p>
    <w:p w:rsidR="00727D26" w:rsidRPr="00385231" w:rsidRDefault="00727D26" w:rsidP="00727D26">
      <w:pPr>
        <w:pStyle w:val="Odsekzoznamu"/>
        <w:numPr>
          <w:ilvl w:val="0"/>
          <w:numId w:val="26"/>
        </w:numPr>
        <w:spacing w:after="0" w:line="240" w:lineRule="auto"/>
        <w:contextualSpacing w:val="0"/>
        <w:jc w:val="both"/>
        <w:rPr>
          <w:rFonts w:ascii="Times New Roman" w:hAnsi="Times New Roman"/>
          <w:sz w:val="24"/>
          <w:szCs w:val="24"/>
        </w:rPr>
      </w:pPr>
      <w:r w:rsidRPr="00A03BBB">
        <w:rPr>
          <w:rFonts w:ascii="Times New Roman" w:hAnsi="Times New Roman"/>
          <w:sz w:val="24"/>
          <w:szCs w:val="24"/>
        </w:rPr>
        <w:t>normy strát</w:t>
      </w:r>
      <w:r>
        <w:rPr>
          <w:rFonts w:ascii="Times New Roman" w:hAnsi="Times New Roman"/>
          <w:sz w:val="24"/>
          <w:szCs w:val="24"/>
        </w:rPr>
        <w:t>.</w:t>
      </w:r>
    </w:p>
    <w:p w:rsidR="00727D26" w:rsidRPr="008530BD" w:rsidRDefault="00727D26" w:rsidP="00727D26">
      <w:pPr>
        <w:jc w:val="both"/>
      </w:pPr>
      <w:r w:rsidRPr="008530BD">
        <w:t>Financovanie predmetných výdavkov bude zabezpečené v rámci limitov rozpočtu verejnej správy na príslušné rozpočtové roky.</w:t>
      </w:r>
    </w:p>
    <w:p w:rsidR="00727D26" w:rsidRPr="008530BD" w:rsidRDefault="00727D26" w:rsidP="00727D26">
      <w:pPr>
        <w:jc w:val="both"/>
        <w:rPr>
          <w:bCs/>
        </w:rPr>
      </w:pPr>
    </w:p>
    <w:p w:rsidR="00727D26" w:rsidRPr="003C289B" w:rsidRDefault="00727D26" w:rsidP="00727D26">
      <w:pPr>
        <w:rPr>
          <w:b/>
          <w:bCs/>
        </w:rPr>
      </w:pPr>
      <w:r w:rsidRPr="00652F8D">
        <w:rPr>
          <w:b/>
          <w:bCs/>
        </w:rPr>
        <w:t>2.2. Popis a charakteristika návrhu</w:t>
      </w:r>
    </w:p>
    <w:p w:rsidR="00727D26" w:rsidRPr="00330A6B" w:rsidRDefault="00727D26" w:rsidP="00727D26">
      <w:pPr>
        <w:rPr>
          <w:sz w:val="20"/>
          <w:szCs w:val="20"/>
        </w:rPr>
      </w:pPr>
    </w:p>
    <w:p w:rsidR="00727D26" w:rsidRPr="003C289B" w:rsidRDefault="00727D26" w:rsidP="00727D26">
      <w:pPr>
        <w:jc w:val="both"/>
        <w:rPr>
          <w:b/>
          <w:bCs/>
        </w:rPr>
      </w:pPr>
      <w:r w:rsidRPr="003C289B">
        <w:rPr>
          <w:b/>
          <w:bCs/>
        </w:rPr>
        <w:t>2.2.1. Popis návrhu:</w:t>
      </w:r>
    </w:p>
    <w:p w:rsidR="00727D26" w:rsidRPr="00B32D44" w:rsidRDefault="00727D26" w:rsidP="00727D26">
      <w:pPr>
        <w:jc w:val="both"/>
        <w:rPr>
          <w:bCs/>
        </w:rPr>
      </w:pPr>
    </w:p>
    <w:p w:rsidR="00727D26" w:rsidRPr="00B32D44" w:rsidRDefault="00727D26" w:rsidP="00727D26">
      <w:pPr>
        <w:pStyle w:val="Bezriadkovania"/>
        <w:jc w:val="both"/>
        <w:rPr>
          <w:rFonts w:ascii="Times New Roman" w:hAnsi="Times New Roman"/>
          <w:sz w:val="24"/>
          <w:szCs w:val="24"/>
        </w:rPr>
      </w:pPr>
      <w:r w:rsidRPr="00B32D44">
        <w:rPr>
          <w:rFonts w:ascii="Times New Roman" w:hAnsi="Times New Roman"/>
          <w:sz w:val="24"/>
          <w:szCs w:val="24"/>
        </w:rPr>
        <w:t xml:space="preserve">Návrh zákona transponuje smernicu Rady (EÚ) 2020/262 z 19. decembra 2019, ktorou sa stanovuje všeobecný systém spotrebných daní do legislatívy Slovenskej republiky. </w:t>
      </w:r>
    </w:p>
    <w:p w:rsidR="00727D26" w:rsidRPr="00B32D44" w:rsidRDefault="00727D26" w:rsidP="00727D26">
      <w:pPr>
        <w:pStyle w:val="Bezriadkovania"/>
        <w:jc w:val="both"/>
        <w:rPr>
          <w:rFonts w:ascii="Times New Roman" w:hAnsi="Times New Roman"/>
          <w:sz w:val="24"/>
          <w:szCs w:val="24"/>
        </w:rPr>
      </w:pPr>
      <w:r w:rsidRPr="00B32D44">
        <w:rPr>
          <w:rFonts w:ascii="Times New Roman" w:hAnsi="Times New Roman"/>
          <w:sz w:val="24"/>
          <w:szCs w:val="24"/>
        </w:rPr>
        <w:t>V súvislosti s transpozíciou tejto smernice sa predovšetkým</w:t>
      </w:r>
    </w:p>
    <w:p w:rsidR="00727D26" w:rsidRPr="00B32D44" w:rsidRDefault="00727D26" w:rsidP="00727D26">
      <w:pPr>
        <w:pStyle w:val="Odsekzoznamu"/>
        <w:numPr>
          <w:ilvl w:val="0"/>
          <w:numId w:val="24"/>
        </w:numPr>
        <w:spacing w:after="0" w:line="240" w:lineRule="auto"/>
        <w:ind w:left="284" w:hanging="284"/>
        <w:jc w:val="both"/>
        <w:rPr>
          <w:rFonts w:ascii="Times New Roman" w:hAnsi="Times New Roman"/>
          <w:sz w:val="24"/>
          <w:szCs w:val="24"/>
        </w:rPr>
      </w:pPr>
      <w:r w:rsidRPr="00B32D44">
        <w:rPr>
          <w:rFonts w:ascii="Times New Roman" w:hAnsi="Times New Roman"/>
          <w:sz w:val="24"/>
          <w:szCs w:val="24"/>
        </w:rPr>
        <w:t>zavádza nový typ daňového subjektu, ktorým je schválený odosielateľ a schválený príjemca</w:t>
      </w:r>
      <w:r>
        <w:rPr>
          <w:rFonts w:ascii="Times New Roman" w:hAnsi="Times New Roman"/>
          <w:sz w:val="24"/>
          <w:szCs w:val="24"/>
        </w:rPr>
        <w:t xml:space="preserve"> a</w:t>
      </w:r>
    </w:p>
    <w:p w:rsidR="00727D26" w:rsidRPr="00B32D44" w:rsidRDefault="00727D26" w:rsidP="00727D26">
      <w:pPr>
        <w:pStyle w:val="Odsekzoznamu"/>
        <w:numPr>
          <w:ilvl w:val="0"/>
          <w:numId w:val="24"/>
        </w:numPr>
        <w:spacing w:after="0" w:line="240" w:lineRule="auto"/>
        <w:ind w:left="284" w:hanging="284"/>
        <w:jc w:val="both"/>
        <w:rPr>
          <w:rFonts w:ascii="Times New Roman" w:hAnsi="Times New Roman"/>
          <w:sz w:val="24"/>
          <w:szCs w:val="24"/>
        </w:rPr>
      </w:pPr>
      <w:r w:rsidRPr="00B32D44">
        <w:rPr>
          <w:rFonts w:ascii="Times New Roman" w:hAnsi="Times New Roman"/>
          <w:sz w:val="24"/>
          <w:szCs w:val="24"/>
        </w:rPr>
        <w:t>upravuje sa postup pri preprave minerálneho olej v daňovom voľn</w:t>
      </w:r>
      <w:r>
        <w:rPr>
          <w:rFonts w:ascii="Times New Roman" w:hAnsi="Times New Roman"/>
          <w:sz w:val="24"/>
          <w:szCs w:val="24"/>
        </w:rPr>
        <w:t xml:space="preserve">om obehu na podnikateľské účely </w:t>
      </w:r>
      <w:r w:rsidRPr="00B32D44">
        <w:rPr>
          <w:rFonts w:ascii="Times New Roman" w:hAnsi="Times New Roman"/>
          <w:sz w:val="24"/>
          <w:szCs w:val="24"/>
        </w:rPr>
        <w:t>na základe zjednodušeného elektronického administratívneho dokumentu vyhotoveného prostredníctvom elektronického systému</w:t>
      </w:r>
      <w:r>
        <w:rPr>
          <w:rFonts w:ascii="Times New Roman" w:hAnsi="Times New Roman"/>
          <w:sz w:val="24"/>
          <w:szCs w:val="24"/>
        </w:rPr>
        <w:t>.</w:t>
      </w:r>
    </w:p>
    <w:p w:rsidR="00727D26" w:rsidRPr="00B32D44" w:rsidRDefault="00727D26" w:rsidP="00727D26">
      <w:pPr>
        <w:jc w:val="both"/>
        <w:rPr>
          <w:bCs/>
        </w:rPr>
      </w:pPr>
    </w:p>
    <w:p w:rsidR="00727D26" w:rsidRPr="00B32D44" w:rsidRDefault="00727D26" w:rsidP="00727D26">
      <w:pPr>
        <w:jc w:val="both"/>
      </w:pPr>
      <w:r w:rsidRPr="00B32D44">
        <w:rPr>
          <w:bCs/>
        </w:rPr>
        <w:t>V súlade s vykonávacím nariadením Komisie (EÚ) 2019/1776 z 9. októbra 2019, ktorým sa mení príloha I k nariadeniu Rady (EHS) č. 2658/87 o colnej a štatistickej nomenklatúre a o Spoločnom colnom sadzobníku sa upravujú kódy kombinovanej nomenklatúry niektorých minerálnych olejov.</w:t>
      </w:r>
    </w:p>
    <w:p w:rsidR="00727D26" w:rsidRDefault="00727D26" w:rsidP="00727D26">
      <w:pPr>
        <w:jc w:val="both"/>
      </w:pPr>
    </w:p>
    <w:p w:rsidR="00727D26" w:rsidRPr="00B32D44" w:rsidRDefault="00727D26" w:rsidP="00727D26">
      <w:pPr>
        <w:jc w:val="both"/>
      </w:pPr>
      <w:r w:rsidRPr="00B32D44">
        <w:t xml:space="preserve">Návrh zákona tiež na základe podnetov z aplikačnej praxe a návrhov zaslaných daňovými subjektami </w:t>
      </w:r>
      <w:r>
        <w:t>k</w:t>
      </w:r>
      <w:r w:rsidRPr="00B32D44">
        <w:t xml:space="preserve"> pr</w:t>
      </w:r>
      <w:r>
        <w:t>edbežnej informácii rušia, menia a dopĺňajú niektoré ustanovenia zákona o spotrebnej dani z minerálneho oleja.</w:t>
      </w:r>
    </w:p>
    <w:p w:rsidR="00727D26" w:rsidRPr="00B32D44" w:rsidRDefault="00727D26" w:rsidP="00727D26">
      <w:pPr>
        <w:jc w:val="both"/>
      </w:pPr>
    </w:p>
    <w:p w:rsidR="00727D26" w:rsidRPr="003C289B" w:rsidRDefault="00727D26" w:rsidP="00727D26">
      <w:pPr>
        <w:rPr>
          <w:b/>
          <w:bCs/>
        </w:rPr>
      </w:pPr>
      <w:r w:rsidRPr="003C289B">
        <w:rPr>
          <w:b/>
          <w:bCs/>
        </w:rPr>
        <w:t>2.2.2. Charakteristika návrhu:</w:t>
      </w:r>
    </w:p>
    <w:p w:rsidR="00727D26" w:rsidRPr="00330A6B" w:rsidRDefault="00727D26" w:rsidP="00727D26">
      <w:pPr>
        <w:rPr>
          <w:sz w:val="20"/>
          <w:szCs w:val="20"/>
        </w:rPr>
      </w:pPr>
    </w:p>
    <w:p w:rsidR="00727D26" w:rsidRPr="003C289B" w:rsidRDefault="00727D26" w:rsidP="00727D26">
      <w:r w:rsidRPr="003C289B">
        <w:rPr>
          <w:b/>
          <w:bdr w:val="single" w:sz="4" w:space="0" w:color="auto"/>
        </w:rPr>
        <w:t xml:space="preserve"> X </w:t>
      </w:r>
      <w:r w:rsidRPr="003C289B">
        <w:rPr>
          <w:b/>
        </w:rPr>
        <w:t xml:space="preserve">  </w:t>
      </w:r>
      <w:r w:rsidRPr="003C289B">
        <w:t>zmena sadzby</w:t>
      </w:r>
    </w:p>
    <w:p w:rsidR="00727D26" w:rsidRPr="003C289B" w:rsidRDefault="00727D26" w:rsidP="00727D26">
      <w:r w:rsidRPr="003C289B">
        <w:rPr>
          <w:bdr w:val="single" w:sz="4" w:space="0" w:color="auto"/>
        </w:rPr>
        <w:t xml:space="preserve">     </w:t>
      </w:r>
      <w:r w:rsidRPr="003C289B">
        <w:t xml:space="preserve">  zmena v nároku</w:t>
      </w:r>
    </w:p>
    <w:p w:rsidR="00727D26" w:rsidRPr="003C289B" w:rsidRDefault="00727D26" w:rsidP="00727D26">
      <w:r w:rsidRPr="003C289B">
        <w:rPr>
          <w:bdr w:val="single" w:sz="4" w:space="0" w:color="auto"/>
        </w:rPr>
        <w:t xml:space="preserve">     </w:t>
      </w:r>
      <w:r w:rsidRPr="003C289B">
        <w:t xml:space="preserve">  nová služba alebo nariadenie (alebo ich zrušenie)</w:t>
      </w:r>
    </w:p>
    <w:p w:rsidR="00727D26" w:rsidRPr="003C289B" w:rsidRDefault="00727D26" w:rsidP="00727D26">
      <w:r w:rsidRPr="003C289B">
        <w:rPr>
          <w:bdr w:val="single" w:sz="4" w:space="0" w:color="auto"/>
        </w:rPr>
        <w:t xml:space="preserve">     </w:t>
      </w:r>
      <w:r w:rsidRPr="003C289B">
        <w:t xml:space="preserve">  kombinovaný návrh</w:t>
      </w:r>
    </w:p>
    <w:p w:rsidR="00727D26" w:rsidRPr="00385231" w:rsidRDefault="00727D26" w:rsidP="00727D26">
      <w:r w:rsidRPr="003C289B">
        <w:rPr>
          <w:bdr w:val="single" w:sz="4" w:space="0" w:color="auto"/>
        </w:rPr>
        <w:t xml:space="preserve"> </w:t>
      </w:r>
      <w:r w:rsidRPr="00575777">
        <w:rPr>
          <w:b/>
          <w:bdr w:val="single" w:sz="4" w:space="0" w:color="auto"/>
        </w:rPr>
        <w:t>X</w:t>
      </w:r>
      <w:r w:rsidRPr="003C289B">
        <w:rPr>
          <w:bdr w:val="single" w:sz="4" w:space="0" w:color="auto"/>
        </w:rPr>
        <w:t xml:space="preserve"> </w:t>
      </w:r>
      <w:r w:rsidRPr="003C289B">
        <w:t xml:space="preserve">  iné </w:t>
      </w:r>
    </w:p>
    <w:p w:rsidR="00727D26" w:rsidRPr="00B32D44" w:rsidRDefault="00727D26" w:rsidP="00727D26">
      <w:r>
        <w:t xml:space="preserve">Navrhuje sa jedna sadza </w:t>
      </w:r>
      <w:r w:rsidRPr="00B32D44">
        <w:t xml:space="preserve">dane na </w:t>
      </w:r>
    </w:p>
    <w:p w:rsidR="00727D26" w:rsidRPr="00B32D44" w:rsidRDefault="00727D26" w:rsidP="00727D26">
      <w:pPr>
        <w:pStyle w:val="Odsekzoznamu"/>
        <w:numPr>
          <w:ilvl w:val="0"/>
          <w:numId w:val="24"/>
        </w:numPr>
        <w:tabs>
          <w:tab w:val="left" w:pos="360"/>
        </w:tabs>
        <w:spacing w:after="0" w:line="240" w:lineRule="auto"/>
        <w:ind w:left="284" w:hanging="284"/>
        <w:jc w:val="both"/>
        <w:rPr>
          <w:rFonts w:ascii="Times New Roman" w:hAnsi="Times New Roman"/>
          <w:sz w:val="24"/>
          <w:szCs w:val="24"/>
          <w:lang w:eastAsia="sk-SK"/>
        </w:rPr>
      </w:pPr>
      <w:r w:rsidRPr="00B32D44">
        <w:rPr>
          <w:rFonts w:ascii="Times New Roman" w:hAnsi="Times New Roman"/>
          <w:sz w:val="24"/>
          <w:szCs w:val="24"/>
        </w:rPr>
        <w:lastRenderedPageBreak/>
        <w:t>motorový benzín</w:t>
      </w:r>
      <w:r w:rsidRPr="00B32D44">
        <w:rPr>
          <w:rFonts w:ascii="Times New Roman" w:hAnsi="Times New Roman"/>
          <w:sz w:val="24"/>
          <w:szCs w:val="24"/>
          <w:vertAlign w:val="superscript"/>
        </w:rPr>
        <w:t xml:space="preserve"> </w:t>
      </w:r>
      <w:r w:rsidRPr="00B32D44">
        <w:rPr>
          <w:rFonts w:ascii="Times New Roman" w:hAnsi="Times New Roman"/>
          <w:sz w:val="24"/>
          <w:szCs w:val="24"/>
        </w:rPr>
        <w:t>kódu kombinovanej nomenklatúry 2710 12 41, 2710 12 45, 2710 12 49</w:t>
      </w:r>
      <w:r>
        <w:rPr>
          <w:rFonts w:ascii="Times New Roman" w:hAnsi="Times New Roman"/>
          <w:sz w:val="24"/>
          <w:szCs w:val="24"/>
        </w:rPr>
        <w:t xml:space="preserve"> vo výške </w:t>
      </w:r>
      <w:r w:rsidRPr="00BD68AE">
        <w:rPr>
          <w:rFonts w:ascii="Times New Roman" w:hAnsi="Times New Roman"/>
          <w:sz w:val="24"/>
          <w:szCs w:val="24"/>
        </w:rPr>
        <w:t>514</w:t>
      </w:r>
      <w:r w:rsidRPr="00B32D44">
        <w:rPr>
          <w:rFonts w:ascii="Times New Roman" w:hAnsi="Times New Roman"/>
          <w:sz w:val="24"/>
          <w:szCs w:val="24"/>
        </w:rPr>
        <w:t xml:space="preserve"> eur/1 000 l,</w:t>
      </w:r>
    </w:p>
    <w:p w:rsidR="00727D26" w:rsidRDefault="00727D26" w:rsidP="00727D26">
      <w:pPr>
        <w:pStyle w:val="Odsekzoznamu"/>
        <w:numPr>
          <w:ilvl w:val="0"/>
          <w:numId w:val="24"/>
        </w:numPr>
        <w:tabs>
          <w:tab w:val="left" w:pos="360"/>
        </w:tabs>
        <w:spacing w:after="0" w:line="240" w:lineRule="auto"/>
        <w:ind w:left="284" w:hanging="284"/>
        <w:jc w:val="both"/>
        <w:rPr>
          <w:rFonts w:ascii="Times New Roman" w:hAnsi="Times New Roman"/>
          <w:sz w:val="24"/>
          <w:szCs w:val="24"/>
          <w:lang w:eastAsia="sk-SK"/>
        </w:rPr>
      </w:pPr>
      <w:r w:rsidRPr="00B32D44">
        <w:rPr>
          <w:rFonts w:ascii="Times New Roman" w:hAnsi="Times New Roman"/>
          <w:sz w:val="24"/>
          <w:szCs w:val="24"/>
        </w:rPr>
        <w:t>plynový olej (motorovú naftu) kódu kombinovanej nomenklatúry 2710 19 43, 2710 19 46, 2710 19 47, 2710 19 48, 2710 20</w:t>
      </w:r>
      <w:r>
        <w:rPr>
          <w:rFonts w:ascii="Times New Roman" w:hAnsi="Times New Roman"/>
          <w:sz w:val="24"/>
          <w:szCs w:val="24"/>
        </w:rPr>
        <w:t xml:space="preserve"> 11, 2710 20 16 a 2710 20 19</w:t>
      </w:r>
    </w:p>
    <w:p w:rsidR="00727D26" w:rsidRDefault="00727D26" w:rsidP="00727D26">
      <w:pPr>
        <w:pStyle w:val="Odsekzoznamu"/>
        <w:tabs>
          <w:tab w:val="left" w:pos="360"/>
        </w:tabs>
        <w:spacing w:after="0" w:line="240" w:lineRule="auto"/>
        <w:ind w:left="284"/>
        <w:jc w:val="both"/>
        <w:rPr>
          <w:rFonts w:ascii="Times New Roman" w:hAnsi="Times New Roman"/>
          <w:sz w:val="24"/>
          <w:szCs w:val="24"/>
        </w:rPr>
      </w:pPr>
      <w:r>
        <w:rPr>
          <w:rFonts w:ascii="Times New Roman" w:hAnsi="Times New Roman"/>
          <w:sz w:val="24"/>
          <w:szCs w:val="24"/>
        </w:rPr>
        <w:t xml:space="preserve">vo výške </w:t>
      </w:r>
      <w:r w:rsidRPr="00BD68AE">
        <w:rPr>
          <w:rFonts w:ascii="Times New Roman" w:hAnsi="Times New Roman"/>
          <w:sz w:val="24"/>
          <w:szCs w:val="24"/>
        </w:rPr>
        <w:t>368 eur/1 000 l.</w:t>
      </w:r>
    </w:p>
    <w:p w:rsidR="00727D26" w:rsidRPr="00171FB2" w:rsidRDefault="00727D26" w:rsidP="00727D26">
      <w:pPr>
        <w:tabs>
          <w:tab w:val="left" w:pos="360"/>
        </w:tabs>
        <w:jc w:val="both"/>
      </w:pPr>
    </w:p>
    <w:p w:rsidR="00727D26" w:rsidRPr="00FC5D69" w:rsidRDefault="00727D26" w:rsidP="00727D26">
      <w:pPr>
        <w:jc w:val="both"/>
      </w:pPr>
      <w:r>
        <w:rPr>
          <w:bCs/>
          <w:color w:val="000000"/>
        </w:rPr>
        <w:t>Navrhované sadzby spotrebnej dane</w:t>
      </w:r>
      <w:r w:rsidRPr="00FC5D69">
        <w:rPr>
          <w:bCs/>
          <w:color w:val="000000"/>
        </w:rPr>
        <w:t xml:space="preserve"> na motorový benzín </w:t>
      </w:r>
      <w:r>
        <w:rPr>
          <w:bCs/>
          <w:color w:val="000000"/>
        </w:rPr>
        <w:t>a</w:t>
      </w:r>
      <w:r w:rsidRPr="00FC5D69">
        <w:rPr>
          <w:bCs/>
          <w:color w:val="000000"/>
        </w:rPr>
        <w:t xml:space="preserve"> na motorovú naftu </w:t>
      </w:r>
      <w:r>
        <w:rPr>
          <w:bCs/>
          <w:color w:val="000000"/>
        </w:rPr>
        <w:t xml:space="preserve">sa budú uplatňovať </w:t>
      </w:r>
      <w:r w:rsidRPr="00FC5D69">
        <w:rPr>
          <w:bCs/>
          <w:color w:val="000000"/>
        </w:rPr>
        <w:t xml:space="preserve">bez ohľadu na objem </w:t>
      </w:r>
      <w:proofErr w:type="spellStart"/>
      <w:r w:rsidRPr="00FC5D69">
        <w:rPr>
          <w:bCs/>
          <w:color w:val="000000"/>
        </w:rPr>
        <w:t>biopaliva</w:t>
      </w:r>
      <w:proofErr w:type="spellEnd"/>
      <w:r w:rsidRPr="00FC5D69">
        <w:rPr>
          <w:bCs/>
          <w:color w:val="000000"/>
        </w:rPr>
        <w:t xml:space="preserve">, ktoré </w:t>
      </w:r>
      <w:r>
        <w:rPr>
          <w:bCs/>
          <w:color w:val="000000"/>
        </w:rPr>
        <w:t>je</w:t>
      </w:r>
      <w:r w:rsidRPr="00FC5D69">
        <w:rPr>
          <w:bCs/>
          <w:color w:val="000000"/>
        </w:rPr>
        <w:t xml:space="preserve"> v nich primiešané a</w:t>
      </w:r>
      <w:r>
        <w:rPr>
          <w:bCs/>
          <w:color w:val="000000"/>
        </w:rPr>
        <w:t> tiež sa navrhuje neuplatň</w:t>
      </w:r>
      <w:r w:rsidRPr="00FC5D69">
        <w:rPr>
          <w:bCs/>
          <w:color w:val="000000"/>
        </w:rPr>
        <w:t xml:space="preserve">ovať notifikované daňové zvýhodnenie </w:t>
      </w:r>
      <w:r>
        <w:rPr>
          <w:bCs/>
          <w:color w:val="000000"/>
        </w:rPr>
        <w:t xml:space="preserve">na </w:t>
      </w:r>
      <w:proofErr w:type="spellStart"/>
      <w:r>
        <w:rPr>
          <w:bCs/>
          <w:color w:val="000000"/>
        </w:rPr>
        <w:t>biopalivá</w:t>
      </w:r>
      <w:proofErr w:type="spellEnd"/>
      <w:r w:rsidRPr="00FC5D69">
        <w:rPr>
          <w:bCs/>
          <w:color w:val="000000"/>
        </w:rPr>
        <w:t xml:space="preserve"> druhej generácie z dôvodu ich nedostatku na trhu.</w:t>
      </w:r>
    </w:p>
    <w:p w:rsidR="00727D26" w:rsidRPr="005834A0" w:rsidRDefault="00727D26" w:rsidP="00727D26">
      <w:pPr>
        <w:tabs>
          <w:tab w:val="left" w:pos="360"/>
        </w:tabs>
        <w:jc w:val="both"/>
      </w:pPr>
    </w:p>
    <w:p w:rsidR="00727D26" w:rsidRPr="005834A0" w:rsidRDefault="00727D26" w:rsidP="00727D26">
      <w:pPr>
        <w:jc w:val="both"/>
      </w:pPr>
      <w:r w:rsidRPr="005834A0">
        <w:t>Z titulu zjednotenia sadzieb benzínu (</w:t>
      </w:r>
      <w:r>
        <w:t xml:space="preserve">z </w:t>
      </w:r>
      <w:r w:rsidRPr="005834A0">
        <w:t>555 a</w:t>
      </w:r>
      <w:r>
        <w:t> </w:t>
      </w:r>
      <w:r w:rsidRPr="005834A0">
        <w:t>514</w:t>
      </w:r>
      <w:r>
        <w:t xml:space="preserve"> </w:t>
      </w:r>
      <w:r w:rsidRPr="005834A0">
        <w:t>eur/1000 l na 514 eur/1000 l) a nafty (</w:t>
      </w:r>
      <w:r>
        <w:t xml:space="preserve">z </w:t>
      </w:r>
      <w:r w:rsidRPr="005834A0">
        <w:t>393 a</w:t>
      </w:r>
      <w:r>
        <w:t> </w:t>
      </w:r>
      <w:r w:rsidRPr="005834A0">
        <w:t>368</w:t>
      </w:r>
      <w:r>
        <w:t xml:space="preserve"> </w:t>
      </w:r>
      <w:r w:rsidRPr="005834A0">
        <w:t xml:space="preserve">eur/1000 l na 368 eur/1000 l) </w:t>
      </w:r>
      <w:r>
        <w:t xml:space="preserve">od 1. januára </w:t>
      </w:r>
      <w:r w:rsidRPr="005834A0">
        <w:t xml:space="preserve">2021 dôjde k zanedbateľnému výpadku daňových príjmov. Množstvo pohonných látok zdaňovaných vyššou sadzbou </w:t>
      </w:r>
      <w:r>
        <w:t xml:space="preserve">dane </w:t>
      </w:r>
      <w:r w:rsidRPr="005834A0">
        <w:t>je minimálne, v roku 2019 činilo 0,2 %</w:t>
      </w:r>
      <w:r>
        <w:t xml:space="preserve"> z</w:t>
      </w:r>
      <w:r w:rsidRPr="005834A0">
        <w:t xml:space="preserve"> celkového objemu benzínu a 1,6 % </w:t>
      </w:r>
      <w:r>
        <w:t xml:space="preserve">z </w:t>
      </w:r>
      <w:r w:rsidRPr="005834A0">
        <w:t>objemu nafty. Priemer rokov 2017-2019 je na úrovni 0,2 % pri benzíne a 1,8 % pri nafte. Zjednotenie sadzieb zníži daňové príjmy nasledovne:</w:t>
      </w:r>
    </w:p>
    <w:p w:rsidR="00727D26" w:rsidRPr="005834A0" w:rsidRDefault="00727D26" w:rsidP="00727D26">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907"/>
        <w:gridCol w:w="1907"/>
        <w:gridCol w:w="2024"/>
      </w:tblGrid>
      <w:tr w:rsidR="00727D26" w:rsidRPr="005834A0" w:rsidTr="00524381">
        <w:tc>
          <w:tcPr>
            <w:tcW w:w="3148" w:type="dxa"/>
            <w:shd w:val="clear" w:color="auto" w:fill="auto"/>
          </w:tcPr>
          <w:p w:rsidR="00727D26" w:rsidRPr="005834A0" w:rsidRDefault="00727D26" w:rsidP="00524381">
            <w:pPr>
              <w:jc w:val="both"/>
              <w:rPr>
                <w:lang w:eastAsia="en-US"/>
              </w:rPr>
            </w:pPr>
            <w:r w:rsidRPr="005834A0">
              <w:rPr>
                <w:lang w:eastAsia="en-US"/>
              </w:rPr>
              <w:t xml:space="preserve">v tis. eur </w:t>
            </w:r>
          </w:p>
        </w:tc>
        <w:tc>
          <w:tcPr>
            <w:tcW w:w="1935" w:type="dxa"/>
            <w:shd w:val="clear" w:color="auto" w:fill="auto"/>
          </w:tcPr>
          <w:p w:rsidR="00727D26" w:rsidRPr="00524381" w:rsidRDefault="00727D26" w:rsidP="00524381">
            <w:pPr>
              <w:jc w:val="center"/>
              <w:rPr>
                <w:b/>
                <w:lang w:eastAsia="en-US"/>
              </w:rPr>
            </w:pPr>
            <w:r w:rsidRPr="00524381">
              <w:rPr>
                <w:b/>
                <w:lang w:eastAsia="en-US"/>
              </w:rPr>
              <w:t>2021</w:t>
            </w:r>
          </w:p>
        </w:tc>
        <w:tc>
          <w:tcPr>
            <w:tcW w:w="1935" w:type="dxa"/>
            <w:shd w:val="clear" w:color="auto" w:fill="auto"/>
          </w:tcPr>
          <w:p w:rsidR="00727D26" w:rsidRPr="00524381" w:rsidRDefault="00727D26" w:rsidP="00524381">
            <w:pPr>
              <w:jc w:val="center"/>
              <w:rPr>
                <w:b/>
                <w:lang w:eastAsia="en-US"/>
              </w:rPr>
            </w:pPr>
            <w:r w:rsidRPr="00524381">
              <w:rPr>
                <w:b/>
                <w:lang w:eastAsia="en-US"/>
              </w:rPr>
              <w:t>2022</w:t>
            </w:r>
          </w:p>
        </w:tc>
        <w:tc>
          <w:tcPr>
            <w:tcW w:w="2054" w:type="dxa"/>
            <w:shd w:val="clear" w:color="auto" w:fill="auto"/>
          </w:tcPr>
          <w:p w:rsidR="00727D26" w:rsidRPr="00524381" w:rsidRDefault="00727D26" w:rsidP="00524381">
            <w:pPr>
              <w:jc w:val="center"/>
              <w:rPr>
                <w:b/>
                <w:lang w:eastAsia="en-US"/>
              </w:rPr>
            </w:pPr>
            <w:r w:rsidRPr="00524381">
              <w:rPr>
                <w:b/>
                <w:lang w:eastAsia="en-US"/>
              </w:rPr>
              <w:t>2023</w:t>
            </w:r>
          </w:p>
        </w:tc>
      </w:tr>
      <w:tr w:rsidR="00727D26" w:rsidRPr="005834A0" w:rsidTr="00524381">
        <w:tc>
          <w:tcPr>
            <w:tcW w:w="3148" w:type="dxa"/>
            <w:shd w:val="clear" w:color="auto" w:fill="auto"/>
          </w:tcPr>
          <w:p w:rsidR="00727D26" w:rsidRPr="005834A0" w:rsidRDefault="00727D26" w:rsidP="00524381">
            <w:pPr>
              <w:jc w:val="both"/>
              <w:rPr>
                <w:lang w:eastAsia="en-US"/>
              </w:rPr>
            </w:pPr>
            <w:r w:rsidRPr="005834A0">
              <w:rPr>
                <w:lang w:eastAsia="en-US"/>
              </w:rPr>
              <w:t>SD z minerálneho oleja, ESA 2010</w:t>
            </w:r>
          </w:p>
        </w:tc>
        <w:tc>
          <w:tcPr>
            <w:tcW w:w="1935" w:type="dxa"/>
            <w:shd w:val="clear" w:color="auto" w:fill="auto"/>
          </w:tcPr>
          <w:p w:rsidR="00727D26" w:rsidRPr="005834A0" w:rsidRDefault="00727D26" w:rsidP="00524381">
            <w:pPr>
              <w:jc w:val="center"/>
              <w:rPr>
                <w:lang w:eastAsia="en-US"/>
              </w:rPr>
            </w:pPr>
            <w:r w:rsidRPr="005834A0">
              <w:rPr>
                <w:lang w:eastAsia="en-US"/>
              </w:rPr>
              <w:t>-113</w:t>
            </w:r>
          </w:p>
        </w:tc>
        <w:tc>
          <w:tcPr>
            <w:tcW w:w="1935" w:type="dxa"/>
            <w:shd w:val="clear" w:color="auto" w:fill="auto"/>
          </w:tcPr>
          <w:p w:rsidR="00727D26" w:rsidRPr="005834A0" w:rsidRDefault="00727D26" w:rsidP="00524381">
            <w:pPr>
              <w:jc w:val="center"/>
              <w:rPr>
                <w:lang w:eastAsia="en-US"/>
              </w:rPr>
            </w:pPr>
            <w:r w:rsidRPr="005834A0">
              <w:rPr>
                <w:lang w:eastAsia="en-US"/>
              </w:rPr>
              <w:t>-117</w:t>
            </w:r>
          </w:p>
        </w:tc>
        <w:tc>
          <w:tcPr>
            <w:tcW w:w="2054" w:type="dxa"/>
            <w:shd w:val="clear" w:color="auto" w:fill="auto"/>
          </w:tcPr>
          <w:p w:rsidR="00727D26" w:rsidRPr="005834A0" w:rsidRDefault="00727D26" w:rsidP="00524381">
            <w:pPr>
              <w:jc w:val="center"/>
              <w:rPr>
                <w:lang w:eastAsia="en-US"/>
              </w:rPr>
            </w:pPr>
            <w:r w:rsidRPr="005834A0">
              <w:rPr>
                <w:lang w:eastAsia="en-US"/>
              </w:rPr>
              <w:t>-121</w:t>
            </w:r>
          </w:p>
        </w:tc>
      </w:tr>
      <w:tr w:rsidR="00727D26" w:rsidRPr="005834A0" w:rsidTr="00524381">
        <w:tc>
          <w:tcPr>
            <w:tcW w:w="3148" w:type="dxa"/>
            <w:shd w:val="clear" w:color="auto" w:fill="auto"/>
          </w:tcPr>
          <w:p w:rsidR="00727D26" w:rsidRPr="005834A0" w:rsidRDefault="00727D26" w:rsidP="00524381">
            <w:pPr>
              <w:jc w:val="both"/>
              <w:rPr>
                <w:lang w:eastAsia="en-US"/>
              </w:rPr>
            </w:pPr>
            <w:r w:rsidRPr="005834A0">
              <w:rPr>
                <w:lang w:eastAsia="en-US"/>
              </w:rPr>
              <w:t>SD z minerálneho oleja, cash</w:t>
            </w:r>
          </w:p>
        </w:tc>
        <w:tc>
          <w:tcPr>
            <w:tcW w:w="1935" w:type="dxa"/>
            <w:shd w:val="clear" w:color="auto" w:fill="auto"/>
          </w:tcPr>
          <w:p w:rsidR="00727D26" w:rsidRPr="005834A0" w:rsidRDefault="00727D26" w:rsidP="00524381">
            <w:pPr>
              <w:jc w:val="center"/>
              <w:rPr>
                <w:lang w:eastAsia="en-US"/>
              </w:rPr>
            </w:pPr>
            <w:r w:rsidRPr="005834A0">
              <w:rPr>
                <w:lang w:eastAsia="en-US"/>
              </w:rPr>
              <w:t>-103</w:t>
            </w:r>
          </w:p>
        </w:tc>
        <w:tc>
          <w:tcPr>
            <w:tcW w:w="1935" w:type="dxa"/>
            <w:shd w:val="clear" w:color="auto" w:fill="auto"/>
          </w:tcPr>
          <w:p w:rsidR="00727D26" w:rsidRPr="005834A0" w:rsidRDefault="00727D26" w:rsidP="00524381">
            <w:pPr>
              <w:jc w:val="center"/>
              <w:rPr>
                <w:lang w:eastAsia="en-US"/>
              </w:rPr>
            </w:pPr>
            <w:r w:rsidRPr="005834A0">
              <w:rPr>
                <w:lang w:eastAsia="en-US"/>
              </w:rPr>
              <w:t>-117</w:t>
            </w:r>
          </w:p>
        </w:tc>
        <w:tc>
          <w:tcPr>
            <w:tcW w:w="2054" w:type="dxa"/>
            <w:shd w:val="clear" w:color="auto" w:fill="auto"/>
          </w:tcPr>
          <w:p w:rsidR="00727D26" w:rsidRPr="005834A0" w:rsidRDefault="00727D26" w:rsidP="00524381">
            <w:pPr>
              <w:jc w:val="center"/>
              <w:rPr>
                <w:lang w:eastAsia="en-US"/>
              </w:rPr>
            </w:pPr>
            <w:r w:rsidRPr="005834A0">
              <w:rPr>
                <w:lang w:eastAsia="en-US"/>
              </w:rPr>
              <w:t>-120</w:t>
            </w:r>
          </w:p>
        </w:tc>
      </w:tr>
    </w:tbl>
    <w:p w:rsidR="00727D26" w:rsidRDefault="00727D26" w:rsidP="00727D26">
      <w:pPr>
        <w:tabs>
          <w:tab w:val="left" w:pos="360"/>
        </w:tabs>
        <w:jc w:val="both"/>
      </w:pPr>
    </w:p>
    <w:p w:rsidR="00727D26" w:rsidRPr="00B32D44" w:rsidRDefault="00727D26" w:rsidP="00727D26">
      <w:pPr>
        <w:jc w:val="both"/>
      </w:pPr>
      <w:r>
        <w:t>Návrh zákona tiež</w:t>
      </w:r>
    </w:p>
    <w:p w:rsidR="00727D26" w:rsidRPr="00B32D44" w:rsidRDefault="00727D26" w:rsidP="00727D26">
      <w:pPr>
        <w:pStyle w:val="Odsekzoznamu"/>
        <w:numPr>
          <w:ilvl w:val="0"/>
          <w:numId w:val="24"/>
        </w:numPr>
        <w:spacing w:after="0" w:line="240" w:lineRule="auto"/>
        <w:ind w:left="284" w:hanging="284"/>
        <w:jc w:val="both"/>
        <w:rPr>
          <w:rFonts w:ascii="Times New Roman" w:hAnsi="Times New Roman"/>
          <w:sz w:val="24"/>
          <w:szCs w:val="24"/>
        </w:rPr>
      </w:pPr>
      <w:r w:rsidRPr="00B32D44">
        <w:rPr>
          <w:rFonts w:ascii="Times New Roman" w:hAnsi="Times New Roman"/>
          <w:sz w:val="24"/>
          <w:szCs w:val="24"/>
        </w:rPr>
        <w:t xml:space="preserve">upravuje </w:t>
      </w:r>
      <w:r w:rsidRPr="00B32D44">
        <w:rPr>
          <w:rFonts w:ascii="Times New Roman" w:hAnsi="Times New Roman"/>
          <w:bCs/>
          <w:sz w:val="24"/>
          <w:szCs w:val="24"/>
        </w:rPr>
        <w:t>odber a použitie</w:t>
      </w:r>
      <w:r w:rsidRPr="00B32D44">
        <w:rPr>
          <w:rFonts w:ascii="Times New Roman" w:hAnsi="Times New Roman"/>
          <w:sz w:val="24"/>
          <w:szCs w:val="24"/>
        </w:rPr>
        <w:t xml:space="preserve"> daňovo zvýhodneného minerálneho oleja administratívne menej náročným spôsobom,</w:t>
      </w:r>
    </w:p>
    <w:p w:rsidR="00727D26" w:rsidRPr="00B32D44" w:rsidRDefault="00727D26" w:rsidP="00727D26">
      <w:pPr>
        <w:pStyle w:val="Odsekzoznamu"/>
        <w:numPr>
          <w:ilvl w:val="0"/>
          <w:numId w:val="24"/>
        </w:numPr>
        <w:spacing w:after="0" w:line="240" w:lineRule="auto"/>
        <w:ind w:left="284" w:hanging="284"/>
        <w:jc w:val="both"/>
        <w:rPr>
          <w:rFonts w:ascii="Times New Roman" w:hAnsi="Times New Roman"/>
          <w:sz w:val="24"/>
          <w:szCs w:val="24"/>
        </w:rPr>
      </w:pPr>
      <w:r w:rsidRPr="00B32D44">
        <w:rPr>
          <w:rFonts w:ascii="Times New Roman" w:hAnsi="Times New Roman"/>
          <w:sz w:val="24"/>
          <w:szCs w:val="24"/>
        </w:rPr>
        <w:t>ruší platné</w:t>
      </w:r>
      <w:r>
        <w:rPr>
          <w:rFonts w:ascii="Times New Roman" w:hAnsi="Times New Roman"/>
          <w:sz w:val="24"/>
          <w:szCs w:val="24"/>
        </w:rPr>
        <w:t>,</w:t>
      </w:r>
      <w:r w:rsidRPr="00B32D44">
        <w:rPr>
          <w:rFonts w:ascii="Times New Roman" w:hAnsi="Times New Roman"/>
          <w:sz w:val="24"/>
          <w:szCs w:val="24"/>
        </w:rPr>
        <w:t xml:space="preserve"> ale neúčinné ustanovenia upravujúce povinnosť označovať pohonné látky (motorový benzín a motorovú naftu) identifikačnou látkou pred ich uvedením do daňového voľného obehu na daňovom území,</w:t>
      </w:r>
    </w:p>
    <w:p w:rsidR="00727D26" w:rsidRPr="00B32D44" w:rsidRDefault="00727D26" w:rsidP="00727D26">
      <w:pPr>
        <w:pStyle w:val="Odsekzoznamu"/>
        <w:numPr>
          <w:ilvl w:val="0"/>
          <w:numId w:val="24"/>
        </w:numPr>
        <w:tabs>
          <w:tab w:val="left" w:pos="360"/>
        </w:tabs>
        <w:spacing w:after="200" w:line="240" w:lineRule="auto"/>
        <w:ind w:left="284" w:hanging="284"/>
        <w:jc w:val="both"/>
        <w:rPr>
          <w:rFonts w:ascii="Times New Roman" w:hAnsi="Times New Roman"/>
          <w:sz w:val="24"/>
          <w:szCs w:val="24"/>
        </w:rPr>
      </w:pPr>
      <w:r w:rsidRPr="00B32D44">
        <w:rPr>
          <w:rFonts w:ascii="Times New Roman" w:hAnsi="Times New Roman"/>
          <w:sz w:val="24"/>
          <w:szCs w:val="24"/>
        </w:rPr>
        <w:t xml:space="preserve">zavádza povinnosť prepravovať niektoré minerálne oleje (nafta, benzín a LPG) na daňovom území v daňovom voľnom obehu </w:t>
      </w:r>
      <w:r>
        <w:rPr>
          <w:rFonts w:ascii="Times New Roman" w:hAnsi="Times New Roman"/>
          <w:sz w:val="24"/>
          <w:szCs w:val="24"/>
        </w:rPr>
        <w:t xml:space="preserve">v rámci podnikania </w:t>
      </w:r>
      <w:r w:rsidRPr="00B32D44">
        <w:rPr>
          <w:rFonts w:ascii="Times New Roman" w:hAnsi="Times New Roman"/>
          <w:sz w:val="24"/>
          <w:szCs w:val="24"/>
        </w:rPr>
        <w:t>na základe zjednodušeného elektronického administratívneho dokumentu vyhotoveného prostredníctvom elektronického systému,</w:t>
      </w:r>
    </w:p>
    <w:p w:rsidR="00727D26" w:rsidRPr="0079786F" w:rsidRDefault="00727D26" w:rsidP="00727D26">
      <w:pPr>
        <w:pStyle w:val="Odsekzoznamu"/>
        <w:numPr>
          <w:ilvl w:val="0"/>
          <w:numId w:val="24"/>
        </w:numPr>
        <w:spacing w:after="0" w:line="240" w:lineRule="auto"/>
        <w:ind w:left="284" w:hanging="284"/>
        <w:jc w:val="both"/>
        <w:rPr>
          <w:rFonts w:ascii="Times New Roman" w:hAnsi="Times New Roman"/>
          <w:sz w:val="24"/>
          <w:szCs w:val="24"/>
        </w:rPr>
      </w:pPr>
      <w:r w:rsidRPr="00B32D44">
        <w:rPr>
          <w:rFonts w:ascii="Times New Roman" w:hAnsi="Times New Roman"/>
          <w:sz w:val="24"/>
          <w:szCs w:val="24"/>
        </w:rPr>
        <w:t>legislatívno-technicky upravuje súvisiace ustanovenia zákona s navrhovanými zmenami.</w:t>
      </w:r>
    </w:p>
    <w:p w:rsidR="00727D26" w:rsidRPr="0079786F" w:rsidRDefault="00727D26" w:rsidP="00727D26">
      <w:pPr>
        <w:tabs>
          <w:tab w:val="left" w:pos="360"/>
        </w:tabs>
        <w:jc w:val="both"/>
      </w:pPr>
    </w:p>
    <w:p w:rsidR="00727D26" w:rsidRPr="003C289B" w:rsidRDefault="00727D26" w:rsidP="00727D26">
      <w:r w:rsidRPr="003C289B">
        <w:rPr>
          <w:b/>
          <w:bCs/>
        </w:rPr>
        <w:t>2.2.3. Predpoklady vývoja objemu aktivít:</w:t>
      </w:r>
    </w:p>
    <w:p w:rsidR="00727D26" w:rsidRPr="00330A6B" w:rsidRDefault="00727D26" w:rsidP="00727D26">
      <w:pPr>
        <w:rPr>
          <w:sz w:val="20"/>
          <w:szCs w:val="20"/>
        </w:rPr>
      </w:pPr>
    </w:p>
    <w:p w:rsidR="00727D26" w:rsidRDefault="00727D26" w:rsidP="00727D26">
      <w:pPr>
        <w:jc w:val="both"/>
      </w:pPr>
      <w:r w:rsidRPr="003C289B">
        <w:t>Jasne popíšte, v prípade potreby použite nižšie uvedenú tabuľku. Uveďte aj odhady základov daní a/alebo poplatkov, ak sa ich táto zmena týka.</w:t>
      </w:r>
    </w:p>
    <w:p w:rsidR="00727D26" w:rsidRPr="00330A6B" w:rsidRDefault="00727D26" w:rsidP="00727D26">
      <w:pPr>
        <w:jc w:val="both"/>
        <w:rPr>
          <w:sz w:val="20"/>
          <w:szCs w:val="20"/>
        </w:rPr>
      </w:pPr>
    </w:p>
    <w:p w:rsidR="00727D26" w:rsidRPr="003C289B" w:rsidRDefault="00727D26" w:rsidP="00727D26">
      <w:pPr>
        <w:jc w:val="right"/>
        <w:rPr>
          <w:sz w:val="20"/>
          <w:szCs w:val="20"/>
        </w:rPr>
      </w:pPr>
      <w:r w:rsidRPr="003C289B">
        <w:rPr>
          <w:sz w:val="20"/>
          <w:szCs w:val="20"/>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27D26" w:rsidRPr="003C289B" w:rsidTr="00727D26">
        <w:trPr>
          <w:cantSplit/>
          <w:trHeight w:val="70"/>
        </w:trPr>
        <w:tc>
          <w:tcPr>
            <w:tcW w:w="4530" w:type="dxa"/>
            <w:vMerge w:val="restart"/>
            <w:shd w:val="clear" w:color="auto" w:fill="BFBFBF"/>
            <w:vAlign w:val="center"/>
          </w:tcPr>
          <w:p w:rsidR="00727D26" w:rsidRPr="003C289B" w:rsidRDefault="00727D26" w:rsidP="00A70D48">
            <w:pPr>
              <w:autoSpaceDE w:val="0"/>
              <w:autoSpaceDN w:val="0"/>
              <w:adjustRightInd w:val="0"/>
              <w:jc w:val="center"/>
              <w:rPr>
                <w:b/>
                <w:bCs/>
              </w:rPr>
            </w:pPr>
            <w:r w:rsidRPr="003C289B">
              <w:rPr>
                <w:b/>
                <w:bCs/>
              </w:rPr>
              <w:t>Objem aktivít</w:t>
            </w:r>
          </w:p>
        </w:tc>
        <w:tc>
          <w:tcPr>
            <w:tcW w:w="4536" w:type="dxa"/>
            <w:gridSpan w:val="4"/>
            <w:shd w:val="clear" w:color="auto" w:fill="BFBFBF"/>
            <w:vAlign w:val="center"/>
          </w:tcPr>
          <w:p w:rsidR="00727D26" w:rsidRPr="003C289B" w:rsidRDefault="00727D26" w:rsidP="00A70D48">
            <w:pPr>
              <w:autoSpaceDE w:val="0"/>
              <w:autoSpaceDN w:val="0"/>
              <w:adjustRightInd w:val="0"/>
              <w:jc w:val="center"/>
              <w:rPr>
                <w:b/>
                <w:bCs/>
              </w:rPr>
            </w:pPr>
            <w:r w:rsidRPr="003C289B">
              <w:rPr>
                <w:b/>
                <w:bCs/>
              </w:rPr>
              <w:t>Odhadované objemy</w:t>
            </w:r>
          </w:p>
        </w:tc>
      </w:tr>
      <w:tr w:rsidR="00727D26" w:rsidRPr="003C289B" w:rsidTr="00727D26">
        <w:trPr>
          <w:cantSplit/>
          <w:trHeight w:val="70"/>
        </w:trPr>
        <w:tc>
          <w:tcPr>
            <w:tcW w:w="4530" w:type="dxa"/>
            <w:vMerge/>
            <w:shd w:val="clear" w:color="auto" w:fill="BFBFBF"/>
          </w:tcPr>
          <w:p w:rsidR="00727D26" w:rsidRPr="003C289B" w:rsidRDefault="00727D26" w:rsidP="00A70D48">
            <w:pPr>
              <w:autoSpaceDE w:val="0"/>
              <w:autoSpaceDN w:val="0"/>
              <w:adjustRightInd w:val="0"/>
              <w:jc w:val="center"/>
              <w:rPr>
                <w:b/>
                <w:bCs/>
              </w:rPr>
            </w:pPr>
          </w:p>
        </w:tc>
        <w:tc>
          <w:tcPr>
            <w:tcW w:w="1134" w:type="dxa"/>
            <w:shd w:val="clear" w:color="auto" w:fill="BFBFBF"/>
            <w:vAlign w:val="center"/>
          </w:tcPr>
          <w:p w:rsidR="00727D26" w:rsidRPr="003C4322" w:rsidRDefault="00727D26" w:rsidP="00A70D48">
            <w:pPr>
              <w:jc w:val="center"/>
              <w:rPr>
                <w:b/>
                <w:bCs/>
              </w:rPr>
            </w:pPr>
            <w:r>
              <w:rPr>
                <w:b/>
                <w:bCs/>
              </w:rPr>
              <w:t>2020</w:t>
            </w:r>
          </w:p>
        </w:tc>
        <w:tc>
          <w:tcPr>
            <w:tcW w:w="1134" w:type="dxa"/>
            <w:shd w:val="clear" w:color="auto" w:fill="BFBFBF"/>
            <w:vAlign w:val="center"/>
          </w:tcPr>
          <w:p w:rsidR="00727D26" w:rsidRPr="003C4322" w:rsidRDefault="00727D26" w:rsidP="00A70D48">
            <w:pPr>
              <w:jc w:val="center"/>
              <w:rPr>
                <w:b/>
                <w:bCs/>
              </w:rPr>
            </w:pPr>
            <w:r>
              <w:rPr>
                <w:b/>
                <w:bCs/>
              </w:rPr>
              <w:t>2021</w:t>
            </w:r>
          </w:p>
        </w:tc>
        <w:tc>
          <w:tcPr>
            <w:tcW w:w="1134" w:type="dxa"/>
            <w:shd w:val="clear" w:color="auto" w:fill="BFBFBF"/>
            <w:vAlign w:val="center"/>
          </w:tcPr>
          <w:p w:rsidR="00727D26" w:rsidRPr="003C4322" w:rsidRDefault="00727D26" w:rsidP="00A70D48">
            <w:pPr>
              <w:jc w:val="center"/>
              <w:rPr>
                <w:b/>
                <w:bCs/>
              </w:rPr>
            </w:pPr>
            <w:r>
              <w:rPr>
                <w:b/>
                <w:bCs/>
              </w:rPr>
              <w:t>2022</w:t>
            </w:r>
          </w:p>
        </w:tc>
        <w:tc>
          <w:tcPr>
            <w:tcW w:w="1134" w:type="dxa"/>
            <w:shd w:val="clear" w:color="auto" w:fill="BFBFBF"/>
            <w:vAlign w:val="center"/>
          </w:tcPr>
          <w:p w:rsidR="00727D26" w:rsidRPr="003C4322" w:rsidRDefault="00727D26" w:rsidP="00A70D48">
            <w:pPr>
              <w:jc w:val="center"/>
              <w:rPr>
                <w:b/>
                <w:bCs/>
              </w:rPr>
            </w:pPr>
            <w:r>
              <w:rPr>
                <w:b/>
                <w:bCs/>
              </w:rPr>
              <w:t>2023</w:t>
            </w:r>
          </w:p>
        </w:tc>
      </w:tr>
      <w:tr w:rsidR="00727D26" w:rsidRPr="003C289B" w:rsidTr="00A70D48">
        <w:trPr>
          <w:trHeight w:val="70"/>
        </w:trPr>
        <w:tc>
          <w:tcPr>
            <w:tcW w:w="4530" w:type="dxa"/>
          </w:tcPr>
          <w:p w:rsidR="00727D26" w:rsidRPr="003C289B" w:rsidRDefault="00727D26" w:rsidP="00A70D48">
            <w:pPr>
              <w:autoSpaceDE w:val="0"/>
              <w:autoSpaceDN w:val="0"/>
              <w:adjustRightInd w:val="0"/>
              <w:rPr>
                <w:color w:val="000000"/>
              </w:rPr>
            </w:pPr>
            <w:r w:rsidRPr="003C289B">
              <w:rPr>
                <w:color w:val="000000"/>
              </w:rPr>
              <w:t>Indikátor ABC</w:t>
            </w:r>
          </w:p>
        </w:tc>
        <w:tc>
          <w:tcPr>
            <w:tcW w:w="1134" w:type="dxa"/>
          </w:tcPr>
          <w:p w:rsidR="00727D26" w:rsidRPr="003C289B" w:rsidRDefault="00727D26" w:rsidP="00A70D48">
            <w:pPr>
              <w:autoSpaceDE w:val="0"/>
              <w:autoSpaceDN w:val="0"/>
              <w:adjustRightInd w:val="0"/>
              <w:jc w:val="right"/>
              <w:rPr>
                <w:color w:val="000000"/>
              </w:rPr>
            </w:pPr>
          </w:p>
        </w:tc>
        <w:tc>
          <w:tcPr>
            <w:tcW w:w="1134" w:type="dxa"/>
          </w:tcPr>
          <w:p w:rsidR="00727D26" w:rsidRPr="003C289B" w:rsidRDefault="00727D26" w:rsidP="00A70D48">
            <w:pPr>
              <w:autoSpaceDE w:val="0"/>
              <w:autoSpaceDN w:val="0"/>
              <w:adjustRightInd w:val="0"/>
              <w:jc w:val="right"/>
              <w:rPr>
                <w:color w:val="000000"/>
              </w:rPr>
            </w:pPr>
          </w:p>
        </w:tc>
        <w:tc>
          <w:tcPr>
            <w:tcW w:w="1134" w:type="dxa"/>
          </w:tcPr>
          <w:p w:rsidR="00727D26" w:rsidRPr="003C289B" w:rsidRDefault="00727D26" w:rsidP="00A70D48">
            <w:pPr>
              <w:autoSpaceDE w:val="0"/>
              <w:autoSpaceDN w:val="0"/>
              <w:adjustRightInd w:val="0"/>
              <w:jc w:val="right"/>
              <w:rPr>
                <w:color w:val="000000"/>
              </w:rPr>
            </w:pPr>
          </w:p>
        </w:tc>
        <w:tc>
          <w:tcPr>
            <w:tcW w:w="1134" w:type="dxa"/>
          </w:tcPr>
          <w:p w:rsidR="00727D26" w:rsidRPr="003C289B" w:rsidRDefault="00727D26" w:rsidP="00A70D48">
            <w:pPr>
              <w:autoSpaceDE w:val="0"/>
              <w:autoSpaceDN w:val="0"/>
              <w:adjustRightInd w:val="0"/>
              <w:jc w:val="right"/>
              <w:rPr>
                <w:color w:val="000000"/>
              </w:rPr>
            </w:pPr>
          </w:p>
        </w:tc>
      </w:tr>
      <w:tr w:rsidR="00727D26" w:rsidRPr="003C289B" w:rsidTr="00A70D48">
        <w:trPr>
          <w:trHeight w:val="70"/>
        </w:trPr>
        <w:tc>
          <w:tcPr>
            <w:tcW w:w="4530" w:type="dxa"/>
          </w:tcPr>
          <w:p w:rsidR="00727D26" w:rsidRPr="003C289B" w:rsidRDefault="00727D26" w:rsidP="00A70D48">
            <w:pPr>
              <w:autoSpaceDE w:val="0"/>
              <w:autoSpaceDN w:val="0"/>
              <w:adjustRightInd w:val="0"/>
              <w:rPr>
                <w:color w:val="000000"/>
              </w:rPr>
            </w:pPr>
            <w:r w:rsidRPr="003C289B">
              <w:rPr>
                <w:color w:val="000000"/>
              </w:rPr>
              <w:t>Indikátor KLM</w:t>
            </w:r>
          </w:p>
        </w:tc>
        <w:tc>
          <w:tcPr>
            <w:tcW w:w="1134" w:type="dxa"/>
          </w:tcPr>
          <w:p w:rsidR="00727D26" w:rsidRPr="003C289B" w:rsidRDefault="00727D26" w:rsidP="00A70D48">
            <w:pPr>
              <w:autoSpaceDE w:val="0"/>
              <w:autoSpaceDN w:val="0"/>
              <w:adjustRightInd w:val="0"/>
              <w:jc w:val="right"/>
              <w:rPr>
                <w:color w:val="000000"/>
              </w:rPr>
            </w:pPr>
          </w:p>
        </w:tc>
        <w:tc>
          <w:tcPr>
            <w:tcW w:w="1134" w:type="dxa"/>
          </w:tcPr>
          <w:p w:rsidR="00727D26" w:rsidRPr="003C289B" w:rsidRDefault="00727D26" w:rsidP="00A70D48">
            <w:pPr>
              <w:autoSpaceDE w:val="0"/>
              <w:autoSpaceDN w:val="0"/>
              <w:adjustRightInd w:val="0"/>
              <w:jc w:val="right"/>
              <w:rPr>
                <w:color w:val="000000"/>
              </w:rPr>
            </w:pPr>
          </w:p>
        </w:tc>
        <w:tc>
          <w:tcPr>
            <w:tcW w:w="1134" w:type="dxa"/>
          </w:tcPr>
          <w:p w:rsidR="00727D26" w:rsidRPr="003C289B" w:rsidRDefault="00727D26" w:rsidP="00A70D48">
            <w:pPr>
              <w:autoSpaceDE w:val="0"/>
              <w:autoSpaceDN w:val="0"/>
              <w:adjustRightInd w:val="0"/>
              <w:jc w:val="right"/>
              <w:rPr>
                <w:color w:val="000000"/>
              </w:rPr>
            </w:pPr>
          </w:p>
        </w:tc>
        <w:tc>
          <w:tcPr>
            <w:tcW w:w="1134" w:type="dxa"/>
          </w:tcPr>
          <w:p w:rsidR="00727D26" w:rsidRPr="003C289B" w:rsidRDefault="00727D26" w:rsidP="00A70D48">
            <w:pPr>
              <w:autoSpaceDE w:val="0"/>
              <w:autoSpaceDN w:val="0"/>
              <w:adjustRightInd w:val="0"/>
              <w:jc w:val="right"/>
              <w:rPr>
                <w:color w:val="000000"/>
              </w:rPr>
            </w:pPr>
          </w:p>
        </w:tc>
      </w:tr>
      <w:tr w:rsidR="00727D26" w:rsidRPr="003C289B" w:rsidTr="00A70D48">
        <w:trPr>
          <w:trHeight w:val="70"/>
        </w:trPr>
        <w:tc>
          <w:tcPr>
            <w:tcW w:w="4530" w:type="dxa"/>
          </w:tcPr>
          <w:p w:rsidR="00727D26" w:rsidRPr="003C289B" w:rsidRDefault="00727D26" w:rsidP="00A70D48">
            <w:pPr>
              <w:autoSpaceDE w:val="0"/>
              <w:autoSpaceDN w:val="0"/>
              <w:adjustRightInd w:val="0"/>
              <w:rPr>
                <w:color w:val="000000"/>
              </w:rPr>
            </w:pPr>
            <w:r w:rsidRPr="003C289B">
              <w:rPr>
                <w:color w:val="000000"/>
              </w:rPr>
              <w:t>Indikátor XYZ</w:t>
            </w:r>
          </w:p>
        </w:tc>
        <w:tc>
          <w:tcPr>
            <w:tcW w:w="1134" w:type="dxa"/>
          </w:tcPr>
          <w:p w:rsidR="00727D26" w:rsidRPr="003C289B" w:rsidRDefault="00727D26" w:rsidP="00A70D48">
            <w:pPr>
              <w:autoSpaceDE w:val="0"/>
              <w:autoSpaceDN w:val="0"/>
              <w:adjustRightInd w:val="0"/>
              <w:jc w:val="right"/>
              <w:rPr>
                <w:color w:val="000000"/>
              </w:rPr>
            </w:pPr>
          </w:p>
        </w:tc>
        <w:tc>
          <w:tcPr>
            <w:tcW w:w="1134" w:type="dxa"/>
          </w:tcPr>
          <w:p w:rsidR="00727D26" w:rsidRPr="003C289B" w:rsidRDefault="00727D26" w:rsidP="00A70D48">
            <w:pPr>
              <w:autoSpaceDE w:val="0"/>
              <w:autoSpaceDN w:val="0"/>
              <w:adjustRightInd w:val="0"/>
              <w:jc w:val="right"/>
              <w:rPr>
                <w:color w:val="000000"/>
              </w:rPr>
            </w:pPr>
          </w:p>
        </w:tc>
        <w:tc>
          <w:tcPr>
            <w:tcW w:w="1134" w:type="dxa"/>
          </w:tcPr>
          <w:p w:rsidR="00727D26" w:rsidRPr="003C289B" w:rsidRDefault="00727D26" w:rsidP="00A70D48">
            <w:pPr>
              <w:autoSpaceDE w:val="0"/>
              <w:autoSpaceDN w:val="0"/>
              <w:adjustRightInd w:val="0"/>
              <w:jc w:val="right"/>
              <w:rPr>
                <w:color w:val="000000"/>
              </w:rPr>
            </w:pPr>
          </w:p>
        </w:tc>
        <w:tc>
          <w:tcPr>
            <w:tcW w:w="1134" w:type="dxa"/>
          </w:tcPr>
          <w:p w:rsidR="00727D26" w:rsidRPr="003C289B" w:rsidRDefault="00727D26" w:rsidP="00A70D48">
            <w:pPr>
              <w:autoSpaceDE w:val="0"/>
              <w:autoSpaceDN w:val="0"/>
              <w:adjustRightInd w:val="0"/>
              <w:jc w:val="right"/>
              <w:rPr>
                <w:color w:val="000000"/>
              </w:rPr>
            </w:pPr>
          </w:p>
        </w:tc>
      </w:tr>
    </w:tbl>
    <w:p w:rsidR="00727D26" w:rsidRPr="00330A6B" w:rsidRDefault="00727D26" w:rsidP="00727D26">
      <w:pPr>
        <w:rPr>
          <w:sz w:val="20"/>
          <w:szCs w:val="20"/>
        </w:rPr>
      </w:pPr>
    </w:p>
    <w:p w:rsidR="00727D26" w:rsidRPr="00FC1870" w:rsidRDefault="00727D26" w:rsidP="00727D26">
      <w:pPr>
        <w:rPr>
          <w:b/>
          <w:bCs/>
        </w:rPr>
      </w:pPr>
      <w:r w:rsidRPr="003C289B">
        <w:rPr>
          <w:b/>
          <w:bCs/>
        </w:rPr>
        <w:t>2.2.4. Výpočty vplyvov na verejné financie</w:t>
      </w:r>
    </w:p>
    <w:p w:rsidR="00727D26" w:rsidRPr="00385231" w:rsidRDefault="00727D26" w:rsidP="00727D26">
      <w:pPr>
        <w:jc w:val="both"/>
      </w:pPr>
      <w:r w:rsidRPr="003C289B">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727D26" w:rsidRPr="003C289B" w:rsidRDefault="00727D26" w:rsidP="00727D26">
      <w:pPr>
        <w:tabs>
          <w:tab w:val="num" w:pos="1080"/>
        </w:tabs>
        <w:jc w:val="both"/>
        <w:rPr>
          <w:bCs/>
          <w:szCs w:val="20"/>
        </w:rPr>
        <w:sectPr w:rsidR="00727D26" w:rsidRPr="003C289B" w:rsidSect="003C289B">
          <w:headerReference w:type="even" r:id="rId7"/>
          <w:footerReference w:type="even" r:id="rId8"/>
          <w:footerReference w:type="default" r:id="rId9"/>
          <w:headerReference w:type="first" r:id="rId10"/>
          <w:footerReference w:type="first" r:id="rId11"/>
          <w:pgSz w:w="11906" w:h="16838"/>
          <w:pgMar w:top="1134" w:right="1418" w:bottom="1134" w:left="1418" w:header="709" w:footer="709" w:gutter="0"/>
          <w:pgNumType w:start="1"/>
          <w:cols w:space="708"/>
          <w:docGrid w:linePitch="360"/>
        </w:sectPr>
      </w:pPr>
    </w:p>
    <w:p w:rsidR="00727D26" w:rsidRPr="003C289B" w:rsidRDefault="00727D26" w:rsidP="00727D26">
      <w:pPr>
        <w:tabs>
          <w:tab w:val="num" w:pos="1080"/>
        </w:tabs>
        <w:jc w:val="right"/>
        <w:rPr>
          <w:bCs/>
        </w:rPr>
      </w:pPr>
      <w:r w:rsidRPr="003C289B">
        <w:rPr>
          <w:bCs/>
        </w:rPr>
        <w:lastRenderedPageBreak/>
        <w:t xml:space="preserve">Tabuľka č. 3 </w:t>
      </w: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27D26" w:rsidRPr="003C289B" w:rsidTr="00727D26">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727D26" w:rsidRPr="003C289B" w:rsidRDefault="00727D26" w:rsidP="00A70D48">
            <w:pPr>
              <w:jc w:val="center"/>
              <w:rPr>
                <w:b/>
                <w:bCs/>
              </w:rPr>
            </w:pPr>
            <w:r w:rsidRPr="003C289B">
              <w:rPr>
                <w:b/>
                <w:bCs/>
              </w:rPr>
              <w:t xml:space="preserve">Príjmy </w:t>
            </w:r>
            <w:r>
              <w:rPr>
                <w:b/>
                <w:bCs/>
              </w:rPr>
              <w:t>(v eurách)</w:t>
            </w:r>
          </w:p>
        </w:tc>
        <w:tc>
          <w:tcPr>
            <w:tcW w:w="6000" w:type="dxa"/>
            <w:gridSpan w:val="4"/>
            <w:tcBorders>
              <w:top w:val="single" w:sz="4" w:space="0" w:color="auto"/>
              <w:left w:val="nil"/>
              <w:bottom w:val="single" w:sz="4" w:space="0" w:color="auto"/>
              <w:right w:val="single" w:sz="4" w:space="0" w:color="auto"/>
            </w:tcBorders>
            <w:shd w:val="clear" w:color="auto" w:fill="BFBFBF"/>
          </w:tcPr>
          <w:p w:rsidR="00727D26" w:rsidRPr="003C289B" w:rsidRDefault="00727D26" w:rsidP="00A70D48">
            <w:pPr>
              <w:jc w:val="center"/>
              <w:rPr>
                <w:b/>
                <w:bCs/>
              </w:rPr>
            </w:pPr>
            <w:r w:rsidRPr="003C289B">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727D26" w:rsidRPr="003C289B" w:rsidRDefault="00727D26" w:rsidP="00A70D48">
            <w:pPr>
              <w:jc w:val="center"/>
              <w:rPr>
                <w:b/>
                <w:bCs/>
              </w:rPr>
            </w:pPr>
            <w:r w:rsidRPr="003C289B">
              <w:rPr>
                <w:b/>
                <w:bCs/>
              </w:rPr>
              <w:t>poznámka</w:t>
            </w:r>
          </w:p>
        </w:tc>
      </w:tr>
      <w:tr w:rsidR="00727D26" w:rsidRPr="003C289B" w:rsidTr="00727D26">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727D26" w:rsidRPr="003C289B" w:rsidRDefault="00727D26" w:rsidP="00A70D48">
            <w:pPr>
              <w:rPr>
                <w:b/>
                <w:bCs/>
                <w:color w:val="FFFFFF"/>
              </w:rPr>
            </w:pPr>
          </w:p>
        </w:tc>
        <w:tc>
          <w:tcPr>
            <w:tcW w:w="1500" w:type="dxa"/>
            <w:tcBorders>
              <w:top w:val="nil"/>
              <w:left w:val="nil"/>
              <w:bottom w:val="single" w:sz="4" w:space="0" w:color="auto"/>
              <w:right w:val="single" w:sz="4" w:space="0" w:color="auto"/>
            </w:tcBorders>
            <w:shd w:val="clear" w:color="auto" w:fill="BFBFBF"/>
            <w:vAlign w:val="center"/>
          </w:tcPr>
          <w:p w:rsidR="00727D26" w:rsidRPr="003C4322" w:rsidRDefault="00727D26" w:rsidP="00A70D48">
            <w:pPr>
              <w:jc w:val="center"/>
              <w:rPr>
                <w:b/>
                <w:bCs/>
              </w:rPr>
            </w:pPr>
            <w:r>
              <w:rPr>
                <w:b/>
                <w:bCs/>
              </w:rPr>
              <w:t>2020</w:t>
            </w:r>
          </w:p>
        </w:tc>
        <w:tc>
          <w:tcPr>
            <w:tcW w:w="1500" w:type="dxa"/>
            <w:tcBorders>
              <w:top w:val="nil"/>
              <w:left w:val="nil"/>
              <w:bottom w:val="single" w:sz="4" w:space="0" w:color="auto"/>
              <w:right w:val="single" w:sz="4" w:space="0" w:color="auto"/>
            </w:tcBorders>
            <w:shd w:val="clear" w:color="auto" w:fill="BFBFBF"/>
            <w:vAlign w:val="center"/>
          </w:tcPr>
          <w:p w:rsidR="00727D26" w:rsidRPr="003C4322" w:rsidRDefault="00727D26" w:rsidP="00A70D48">
            <w:pPr>
              <w:jc w:val="center"/>
              <w:rPr>
                <w:b/>
                <w:bCs/>
              </w:rPr>
            </w:pPr>
            <w:r>
              <w:rPr>
                <w:b/>
                <w:bCs/>
              </w:rPr>
              <w:t>2021</w:t>
            </w:r>
          </w:p>
        </w:tc>
        <w:tc>
          <w:tcPr>
            <w:tcW w:w="1500" w:type="dxa"/>
            <w:tcBorders>
              <w:top w:val="nil"/>
              <w:left w:val="nil"/>
              <w:bottom w:val="single" w:sz="4" w:space="0" w:color="auto"/>
              <w:right w:val="single" w:sz="4" w:space="0" w:color="auto"/>
            </w:tcBorders>
            <w:shd w:val="clear" w:color="auto" w:fill="BFBFBF"/>
            <w:vAlign w:val="center"/>
          </w:tcPr>
          <w:p w:rsidR="00727D26" w:rsidRPr="003C4322" w:rsidRDefault="00727D26" w:rsidP="00A70D48">
            <w:pPr>
              <w:jc w:val="center"/>
              <w:rPr>
                <w:b/>
                <w:bCs/>
              </w:rPr>
            </w:pPr>
            <w:r>
              <w:rPr>
                <w:b/>
                <w:bCs/>
              </w:rPr>
              <w:t>2022</w:t>
            </w:r>
          </w:p>
        </w:tc>
        <w:tc>
          <w:tcPr>
            <w:tcW w:w="1500" w:type="dxa"/>
            <w:tcBorders>
              <w:top w:val="nil"/>
              <w:left w:val="nil"/>
              <w:bottom w:val="single" w:sz="4" w:space="0" w:color="auto"/>
              <w:right w:val="single" w:sz="4" w:space="0" w:color="auto"/>
            </w:tcBorders>
            <w:shd w:val="clear" w:color="auto" w:fill="BFBFBF"/>
            <w:vAlign w:val="center"/>
          </w:tcPr>
          <w:p w:rsidR="00727D26" w:rsidRPr="003C4322" w:rsidRDefault="00727D26" w:rsidP="00A70D48">
            <w:pPr>
              <w:jc w:val="center"/>
              <w:rPr>
                <w:b/>
                <w:bCs/>
              </w:rPr>
            </w:pPr>
            <w:r>
              <w:rPr>
                <w:b/>
                <w:bCs/>
              </w:rPr>
              <w:t>2023</w:t>
            </w:r>
          </w:p>
        </w:tc>
        <w:tc>
          <w:tcPr>
            <w:tcW w:w="3000" w:type="dxa"/>
            <w:vMerge/>
            <w:tcBorders>
              <w:top w:val="single" w:sz="4" w:space="0" w:color="auto"/>
              <w:left w:val="single" w:sz="4" w:space="0" w:color="auto"/>
              <w:bottom w:val="single" w:sz="4" w:space="0" w:color="auto"/>
              <w:right w:val="single" w:sz="4" w:space="0" w:color="auto"/>
            </w:tcBorders>
            <w:vAlign w:val="center"/>
          </w:tcPr>
          <w:p w:rsidR="00727D26" w:rsidRPr="003C289B" w:rsidRDefault="00727D26" w:rsidP="00A70D48">
            <w:pPr>
              <w:rPr>
                <w:b/>
                <w:bCs/>
                <w:color w:val="FFFFFF"/>
              </w:rPr>
            </w:pPr>
          </w:p>
        </w:tc>
      </w:tr>
      <w:tr w:rsidR="00727D26" w:rsidRPr="003C289B" w:rsidTr="00727D26">
        <w:trPr>
          <w:trHeight w:val="255"/>
        </w:trPr>
        <w:tc>
          <w:tcPr>
            <w:tcW w:w="4950" w:type="dxa"/>
            <w:tcBorders>
              <w:top w:val="nil"/>
              <w:left w:val="single" w:sz="4" w:space="0" w:color="auto"/>
              <w:bottom w:val="single" w:sz="4" w:space="0" w:color="auto"/>
              <w:right w:val="single" w:sz="4" w:space="0" w:color="auto"/>
            </w:tcBorders>
          </w:tcPr>
          <w:p w:rsidR="00727D26" w:rsidRPr="003C289B" w:rsidRDefault="00727D26" w:rsidP="00A70D48">
            <w:pPr>
              <w:rPr>
                <w:b/>
                <w:bCs/>
                <w:vertAlign w:val="superscript"/>
              </w:rPr>
            </w:pPr>
            <w:r w:rsidRPr="003C289B">
              <w:rPr>
                <w:b/>
                <w:bCs/>
              </w:rPr>
              <w:t>Daňové príjmy (100)</w:t>
            </w:r>
            <w:r w:rsidRPr="003C289B">
              <w:rPr>
                <w:b/>
                <w:bCs/>
                <w:vertAlign w:val="superscript"/>
              </w:rPr>
              <w:t>1</w:t>
            </w:r>
          </w:p>
        </w:tc>
        <w:tc>
          <w:tcPr>
            <w:tcW w:w="1500" w:type="dxa"/>
            <w:tcBorders>
              <w:top w:val="nil"/>
              <w:left w:val="nil"/>
              <w:bottom w:val="single" w:sz="4" w:space="0" w:color="auto"/>
              <w:right w:val="single" w:sz="4" w:space="0" w:color="auto"/>
            </w:tcBorders>
            <w:shd w:val="clear" w:color="auto" w:fill="FFFFFF"/>
            <w:vAlign w:val="center"/>
          </w:tcPr>
          <w:p w:rsidR="00727D26" w:rsidRPr="003C289B" w:rsidRDefault="00727D26" w:rsidP="00A70D48">
            <w:pPr>
              <w:jc w:val="center"/>
              <w:rPr>
                <w:b/>
                <w:bCs/>
                <w:iCs/>
              </w:rPr>
            </w:pPr>
          </w:p>
        </w:tc>
        <w:tc>
          <w:tcPr>
            <w:tcW w:w="1500" w:type="dxa"/>
            <w:tcBorders>
              <w:top w:val="nil"/>
              <w:left w:val="nil"/>
              <w:bottom w:val="single" w:sz="4" w:space="0" w:color="auto"/>
              <w:right w:val="single" w:sz="4" w:space="0" w:color="auto"/>
            </w:tcBorders>
            <w:vAlign w:val="center"/>
          </w:tcPr>
          <w:p w:rsidR="00727D26" w:rsidRPr="00BF74A1" w:rsidRDefault="00727D26" w:rsidP="00A70D48">
            <w:pPr>
              <w:pStyle w:val="Odsekzoznamu"/>
              <w:spacing w:after="0" w:line="240" w:lineRule="auto"/>
              <w:ind w:left="0" w:firstLine="2"/>
              <w:jc w:val="center"/>
              <w:rPr>
                <w:rFonts w:ascii="Times New Roman" w:hAnsi="Times New Roman"/>
                <w:b/>
                <w:bCs/>
                <w:iCs/>
                <w:sz w:val="24"/>
                <w:szCs w:val="24"/>
                <w:lang w:eastAsia="sk-SK"/>
              </w:rPr>
            </w:pPr>
            <w:r>
              <w:rPr>
                <w:rFonts w:ascii="Times New Roman" w:hAnsi="Times New Roman"/>
                <w:b/>
                <w:bCs/>
                <w:iCs/>
                <w:sz w:val="24"/>
                <w:szCs w:val="24"/>
                <w:lang w:eastAsia="sk-SK"/>
              </w:rPr>
              <w:t>- 113 000</w:t>
            </w:r>
          </w:p>
        </w:tc>
        <w:tc>
          <w:tcPr>
            <w:tcW w:w="1500" w:type="dxa"/>
            <w:tcBorders>
              <w:top w:val="nil"/>
              <w:left w:val="nil"/>
              <w:bottom w:val="single" w:sz="4" w:space="0" w:color="auto"/>
              <w:right w:val="single" w:sz="4" w:space="0" w:color="auto"/>
            </w:tcBorders>
            <w:vAlign w:val="center"/>
          </w:tcPr>
          <w:p w:rsidR="00727D26" w:rsidRPr="00BF74A1" w:rsidRDefault="00727D26" w:rsidP="00A70D48">
            <w:pPr>
              <w:pStyle w:val="Odsekzoznamu"/>
              <w:spacing w:after="0" w:line="240" w:lineRule="auto"/>
              <w:ind w:left="0" w:firstLine="2"/>
              <w:jc w:val="center"/>
              <w:rPr>
                <w:rFonts w:ascii="Times New Roman" w:hAnsi="Times New Roman"/>
                <w:b/>
                <w:bCs/>
                <w:iCs/>
                <w:sz w:val="24"/>
                <w:szCs w:val="24"/>
                <w:lang w:eastAsia="sk-SK"/>
              </w:rPr>
            </w:pPr>
            <w:r>
              <w:rPr>
                <w:rFonts w:ascii="Times New Roman" w:hAnsi="Times New Roman"/>
                <w:b/>
                <w:bCs/>
                <w:iCs/>
                <w:sz w:val="24"/>
                <w:szCs w:val="24"/>
                <w:lang w:eastAsia="sk-SK"/>
              </w:rPr>
              <w:t>- 117 000</w:t>
            </w:r>
          </w:p>
        </w:tc>
        <w:tc>
          <w:tcPr>
            <w:tcW w:w="1500" w:type="dxa"/>
            <w:tcBorders>
              <w:top w:val="nil"/>
              <w:left w:val="nil"/>
              <w:bottom w:val="single" w:sz="4" w:space="0" w:color="auto"/>
              <w:right w:val="single" w:sz="4" w:space="0" w:color="auto"/>
            </w:tcBorders>
            <w:vAlign w:val="center"/>
          </w:tcPr>
          <w:p w:rsidR="00727D26" w:rsidRPr="00BF74A1" w:rsidRDefault="00727D26" w:rsidP="00A70D48">
            <w:pPr>
              <w:pStyle w:val="Odsekzoznamu"/>
              <w:spacing w:after="0" w:line="240" w:lineRule="auto"/>
              <w:ind w:left="0" w:firstLine="2"/>
              <w:jc w:val="center"/>
              <w:rPr>
                <w:rFonts w:ascii="Times New Roman" w:hAnsi="Times New Roman"/>
                <w:b/>
                <w:bCs/>
                <w:iCs/>
                <w:sz w:val="24"/>
                <w:szCs w:val="24"/>
                <w:lang w:eastAsia="sk-SK"/>
              </w:rPr>
            </w:pPr>
            <w:r>
              <w:rPr>
                <w:rFonts w:ascii="Times New Roman" w:hAnsi="Times New Roman"/>
                <w:b/>
                <w:bCs/>
                <w:iCs/>
                <w:sz w:val="24"/>
                <w:szCs w:val="24"/>
                <w:lang w:eastAsia="sk-SK"/>
              </w:rPr>
              <w:t>- 121 000</w:t>
            </w:r>
          </w:p>
        </w:tc>
        <w:tc>
          <w:tcPr>
            <w:tcW w:w="3000" w:type="dxa"/>
            <w:tcBorders>
              <w:top w:val="nil"/>
              <w:left w:val="nil"/>
              <w:bottom w:val="single" w:sz="4" w:space="0" w:color="auto"/>
              <w:right w:val="single" w:sz="4" w:space="0" w:color="auto"/>
            </w:tcBorders>
            <w:noWrap/>
            <w:vAlign w:val="bottom"/>
          </w:tcPr>
          <w:p w:rsidR="00727D26" w:rsidRPr="003C289B" w:rsidRDefault="00727D26" w:rsidP="00A70D48">
            <w:r w:rsidRPr="003C289B">
              <w:t> </w:t>
            </w:r>
          </w:p>
        </w:tc>
      </w:tr>
      <w:tr w:rsidR="00727D26" w:rsidRPr="003C289B" w:rsidTr="00A70D48">
        <w:trPr>
          <w:trHeight w:val="255"/>
        </w:trPr>
        <w:tc>
          <w:tcPr>
            <w:tcW w:w="4950" w:type="dxa"/>
            <w:tcBorders>
              <w:top w:val="nil"/>
              <w:left w:val="single" w:sz="4" w:space="0" w:color="auto"/>
              <w:bottom w:val="single" w:sz="4" w:space="0" w:color="auto"/>
              <w:right w:val="single" w:sz="4" w:space="0" w:color="auto"/>
            </w:tcBorders>
          </w:tcPr>
          <w:p w:rsidR="00727D26" w:rsidRPr="003C289B" w:rsidRDefault="00727D26" w:rsidP="00A70D48">
            <w:pPr>
              <w:rPr>
                <w:b/>
                <w:bCs/>
              </w:rPr>
            </w:pPr>
            <w:r w:rsidRPr="003C289B">
              <w:rPr>
                <w:b/>
                <w:bCs/>
              </w:rPr>
              <w:t>Nedaňové príjmy (200)</w:t>
            </w:r>
            <w:r w:rsidRPr="003C289B">
              <w:rPr>
                <w:b/>
                <w:bCs/>
                <w:vertAlign w:val="superscript"/>
              </w:rPr>
              <w:t>1</w:t>
            </w:r>
          </w:p>
        </w:tc>
        <w:tc>
          <w:tcPr>
            <w:tcW w:w="1500" w:type="dxa"/>
            <w:tcBorders>
              <w:top w:val="nil"/>
              <w:left w:val="nil"/>
              <w:bottom w:val="single" w:sz="4" w:space="0" w:color="auto"/>
              <w:right w:val="single" w:sz="4" w:space="0" w:color="auto"/>
            </w:tcBorders>
          </w:tcPr>
          <w:p w:rsidR="00727D26" w:rsidRPr="003C289B" w:rsidRDefault="00727D26" w:rsidP="00A70D48">
            <w:pPr>
              <w:jc w:val="center"/>
              <w:rPr>
                <w:b/>
                <w:bCs/>
              </w:rPr>
            </w:pPr>
          </w:p>
        </w:tc>
        <w:tc>
          <w:tcPr>
            <w:tcW w:w="1500" w:type="dxa"/>
            <w:tcBorders>
              <w:top w:val="nil"/>
              <w:left w:val="nil"/>
              <w:bottom w:val="single" w:sz="4" w:space="0" w:color="auto"/>
              <w:right w:val="single" w:sz="4" w:space="0" w:color="auto"/>
            </w:tcBorders>
          </w:tcPr>
          <w:p w:rsidR="00727D26" w:rsidRPr="003C289B" w:rsidRDefault="00727D26" w:rsidP="00A70D48">
            <w:pPr>
              <w:jc w:val="center"/>
              <w:rPr>
                <w:b/>
                <w:bCs/>
              </w:rPr>
            </w:pPr>
          </w:p>
        </w:tc>
        <w:tc>
          <w:tcPr>
            <w:tcW w:w="1500" w:type="dxa"/>
            <w:tcBorders>
              <w:top w:val="nil"/>
              <w:left w:val="nil"/>
              <w:bottom w:val="single" w:sz="4" w:space="0" w:color="auto"/>
              <w:right w:val="single" w:sz="4" w:space="0" w:color="auto"/>
            </w:tcBorders>
          </w:tcPr>
          <w:p w:rsidR="00727D26" w:rsidRPr="003C289B" w:rsidRDefault="00727D26" w:rsidP="00A70D48">
            <w:pPr>
              <w:jc w:val="center"/>
              <w:rPr>
                <w:b/>
                <w:bCs/>
              </w:rPr>
            </w:pPr>
          </w:p>
        </w:tc>
        <w:tc>
          <w:tcPr>
            <w:tcW w:w="1500" w:type="dxa"/>
            <w:tcBorders>
              <w:top w:val="nil"/>
              <w:left w:val="nil"/>
              <w:bottom w:val="single" w:sz="4" w:space="0" w:color="auto"/>
              <w:right w:val="single" w:sz="4" w:space="0" w:color="auto"/>
            </w:tcBorders>
          </w:tcPr>
          <w:p w:rsidR="00727D26" w:rsidRPr="003C289B" w:rsidRDefault="00727D26" w:rsidP="00A70D48">
            <w:pPr>
              <w:jc w:val="center"/>
              <w:rPr>
                <w:b/>
                <w:bCs/>
              </w:rPr>
            </w:pPr>
          </w:p>
        </w:tc>
        <w:tc>
          <w:tcPr>
            <w:tcW w:w="3000" w:type="dxa"/>
            <w:tcBorders>
              <w:top w:val="nil"/>
              <w:left w:val="nil"/>
              <w:bottom w:val="single" w:sz="4" w:space="0" w:color="auto"/>
              <w:right w:val="single" w:sz="4" w:space="0" w:color="auto"/>
            </w:tcBorders>
            <w:noWrap/>
            <w:vAlign w:val="bottom"/>
          </w:tcPr>
          <w:p w:rsidR="00727D26" w:rsidRPr="003C289B" w:rsidRDefault="00727D26" w:rsidP="00A70D48">
            <w:r w:rsidRPr="003C289B">
              <w:t> </w:t>
            </w:r>
          </w:p>
        </w:tc>
      </w:tr>
      <w:tr w:rsidR="00727D26" w:rsidRPr="003C289B" w:rsidTr="00727D26">
        <w:trPr>
          <w:trHeight w:val="255"/>
        </w:trPr>
        <w:tc>
          <w:tcPr>
            <w:tcW w:w="4950" w:type="dxa"/>
            <w:tcBorders>
              <w:top w:val="nil"/>
              <w:left w:val="single" w:sz="4" w:space="0" w:color="auto"/>
              <w:bottom w:val="single" w:sz="4" w:space="0" w:color="auto"/>
              <w:right w:val="single" w:sz="4" w:space="0" w:color="auto"/>
            </w:tcBorders>
          </w:tcPr>
          <w:p w:rsidR="00727D26" w:rsidRPr="003C289B" w:rsidRDefault="00727D26" w:rsidP="00A70D48">
            <w:pPr>
              <w:rPr>
                <w:b/>
                <w:bCs/>
              </w:rPr>
            </w:pPr>
            <w:r w:rsidRPr="003C289B">
              <w:rPr>
                <w:b/>
                <w:bCs/>
              </w:rPr>
              <w:t>Granty a transfery (300)</w:t>
            </w:r>
            <w:r w:rsidRPr="003C289B">
              <w:rPr>
                <w:b/>
                <w:bCs/>
                <w:vertAlign w:val="superscript"/>
              </w:rPr>
              <w:t>1</w:t>
            </w:r>
          </w:p>
        </w:tc>
        <w:tc>
          <w:tcPr>
            <w:tcW w:w="1500" w:type="dxa"/>
            <w:tcBorders>
              <w:top w:val="nil"/>
              <w:left w:val="nil"/>
              <w:bottom w:val="single" w:sz="4" w:space="0" w:color="auto"/>
              <w:right w:val="single" w:sz="4" w:space="0" w:color="auto"/>
            </w:tcBorders>
            <w:shd w:val="clear" w:color="auto" w:fill="FFFFFF"/>
          </w:tcPr>
          <w:p w:rsidR="00727D26" w:rsidRPr="003C289B" w:rsidRDefault="00727D26" w:rsidP="00A70D48">
            <w:pPr>
              <w:jc w:val="center"/>
              <w:rPr>
                <w:b/>
                <w:bCs/>
              </w:rPr>
            </w:pPr>
          </w:p>
        </w:tc>
        <w:tc>
          <w:tcPr>
            <w:tcW w:w="1500" w:type="dxa"/>
            <w:tcBorders>
              <w:top w:val="nil"/>
              <w:left w:val="nil"/>
              <w:bottom w:val="single" w:sz="4" w:space="0" w:color="auto"/>
              <w:right w:val="single" w:sz="4" w:space="0" w:color="auto"/>
            </w:tcBorders>
            <w:shd w:val="clear" w:color="auto" w:fill="FFFFFF"/>
          </w:tcPr>
          <w:p w:rsidR="00727D26" w:rsidRPr="003C289B" w:rsidRDefault="00727D26" w:rsidP="00A70D48">
            <w:pPr>
              <w:jc w:val="center"/>
              <w:rPr>
                <w:b/>
                <w:bCs/>
              </w:rPr>
            </w:pPr>
          </w:p>
        </w:tc>
        <w:tc>
          <w:tcPr>
            <w:tcW w:w="1500" w:type="dxa"/>
            <w:tcBorders>
              <w:top w:val="nil"/>
              <w:left w:val="nil"/>
              <w:bottom w:val="single" w:sz="4" w:space="0" w:color="auto"/>
              <w:right w:val="single" w:sz="4" w:space="0" w:color="auto"/>
            </w:tcBorders>
            <w:shd w:val="clear" w:color="auto" w:fill="FFFFFF"/>
          </w:tcPr>
          <w:p w:rsidR="00727D26" w:rsidRPr="003C289B" w:rsidRDefault="00727D26" w:rsidP="00A70D48">
            <w:pPr>
              <w:jc w:val="center"/>
              <w:rPr>
                <w:b/>
                <w:bCs/>
              </w:rPr>
            </w:pPr>
          </w:p>
        </w:tc>
        <w:tc>
          <w:tcPr>
            <w:tcW w:w="1500" w:type="dxa"/>
            <w:tcBorders>
              <w:top w:val="nil"/>
              <w:left w:val="nil"/>
              <w:bottom w:val="single" w:sz="4" w:space="0" w:color="auto"/>
              <w:right w:val="single" w:sz="4" w:space="0" w:color="auto"/>
            </w:tcBorders>
            <w:shd w:val="clear" w:color="auto" w:fill="FFFFFF"/>
          </w:tcPr>
          <w:p w:rsidR="00727D26" w:rsidRPr="003C289B" w:rsidRDefault="00727D26" w:rsidP="00A70D48">
            <w:pPr>
              <w:jc w:val="center"/>
              <w:rPr>
                <w:b/>
                <w:bCs/>
              </w:rPr>
            </w:pPr>
          </w:p>
        </w:tc>
        <w:tc>
          <w:tcPr>
            <w:tcW w:w="3000" w:type="dxa"/>
            <w:tcBorders>
              <w:top w:val="nil"/>
              <w:left w:val="nil"/>
              <w:bottom w:val="single" w:sz="4" w:space="0" w:color="auto"/>
              <w:right w:val="single" w:sz="4" w:space="0" w:color="auto"/>
            </w:tcBorders>
            <w:noWrap/>
            <w:vAlign w:val="bottom"/>
          </w:tcPr>
          <w:p w:rsidR="00727D26" w:rsidRPr="003C289B" w:rsidRDefault="00727D26" w:rsidP="00A70D48">
            <w:r w:rsidRPr="003C289B">
              <w:t> </w:t>
            </w:r>
          </w:p>
        </w:tc>
      </w:tr>
      <w:tr w:rsidR="00727D26" w:rsidRPr="003C289B" w:rsidTr="00727D26">
        <w:trPr>
          <w:trHeight w:val="255"/>
        </w:trPr>
        <w:tc>
          <w:tcPr>
            <w:tcW w:w="4950" w:type="dxa"/>
            <w:tcBorders>
              <w:top w:val="nil"/>
              <w:left w:val="single" w:sz="4" w:space="0" w:color="auto"/>
              <w:bottom w:val="single" w:sz="4" w:space="0" w:color="auto"/>
              <w:right w:val="single" w:sz="4" w:space="0" w:color="auto"/>
            </w:tcBorders>
          </w:tcPr>
          <w:p w:rsidR="00727D26" w:rsidRPr="003C289B" w:rsidRDefault="00727D26" w:rsidP="00A70D48">
            <w:pPr>
              <w:rPr>
                <w:b/>
                <w:bCs/>
              </w:rPr>
            </w:pPr>
            <w:r w:rsidRPr="003C289B">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FF"/>
          </w:tcPr>
          <w:p w:rsidR="00727D26" w:rsidRPr="003C289B" w:rsidRDefault="00727D26" w:rsidP="00A70D48">
            <w:pPr>
              <w:jc w:val="center"/>
              <w:rPr>
                <w:b/>
                <w:bCs/>
              </w:rPr>
            </w:pPr>
          </w:p>
        </w:tc>
        <w:tc>
          <w:tcPr>
            <w:tcW w:w="1500" w:type="dxa"/>
            <w:tcBorders>
              <w:top w:val="nil"/>
              <w:left w:val="nil"/>
              <w:bottom w:val="single" w:sz="4" w:space="0" w:color="auto"/>
              <w:right w:val="single" w:sz="4" w:space="0" w:color="auto"/>
            </w:tcBorders>
            <w:shd w:val="clear" w:color="auto" w:fill="FFFFFF"/>
          </w:tcPr>
          <w:p w:rsidR="00727D26" w:rsidRPr="003C289B" w:rsidRDefault="00727D26" w:rsidP="00A70D48">
            <w:pPr>
              <w:jc w:val="center"/>
              <w:rPr>
                <w:b/>
                <w:bCs/>
              </w:rPr>
            </w:pPr>
          </w:p>
        </w:tc>
        <w:tc>
          <w:tcPr>
            <w:tcW w:w="1500" w:type="dxa"/>
            <w:tcBorders>
              <w:top w:val="nil"/>
              <w:left w:val="nil"/>
              <w:bottom w:val="single" w:sz="4" w:space="0" w:color="auto"/>
              <w:right w:val="single" w:sz="4" w:space="0" w:color="auto"/>
            </w:tcBorders>
            <w:shd w:val="clear" w:color="auto" w:fill="FFFFFF"/>
          </w:tcPr>
          <w:p w:rsidR="00727D26" w:rsidRPr="003C289B" w:rsidRDefault="00727D26" w:rsidP="00A70D48">
            <w:pPr>
              <w:jc w:val="center"/>
              <w:rPr>
                <w:b/>
                <w:bCs/>
              </w:rPr>
            </w:pPr>
          </w:p>
        </w:tc>
        <w:tc>
          <w:tcPr>
            <w:tcW w:w="1500" w:type="dxa"/>
            <w:tcBorders>
              <w:top w:val="nil"/>
              <w:left w:val="nil"/>
              <w:bottom w:val="single" w:sz="4" w:space="0" w:color="auto"/>
              <w:right w:val="single" w:sz="4" w:space="0" w:color="auto"/>
            </w:tcBorders>
            <w:shd w:val="clear" w:color="auto" w:fill="FFFFFF"/>
          </w:tcPr>
          <w:p w:rsidR="00727D26" w:rsidRPr="003C289B" w:rsidRDefault="00727D26" w:rsidP="00A70D48">
            <w:pPr>
              <w:jc w:val="center"/>
              <w:rPr>
                <w:b/>
                <w:bCs/>
              </w:rPr>
            </w:pPr>
          </w:p>
        </w:tc>
        <w:tc>
          <w:tcPr>
            <w:tcW w:w="3000" w:type="dxa"/>
            <w:tcBorders>
              <w:top w:val="nil"/>
              <w:left w:val="nil"/>
              <w:bottom w:val="single" w:sz="4" w:space="0" w:color="auto"/>
              <w:right w:val="single" w:sz="4" w:space="0" w:color="auto"/>
            </w:tcBorders>
            <w:noWrap/>
            <w:vAlign w:val="bottom"/>
          </w:tcPr>
          <w:p w:rsidR="00727D26" w:rsidRPr="003C289B" w:rsidRDefault="00727D26" w:rsidP="00A70D48">
            <w:r w:rsidRPr="003C289B">
              <w:t> </w:t>
            </w:r>
          </w:p>
        </w:tc>
      </w:tr>
      <w:tr w:rsidR="00727D26" w:rsidRPr="003C289B" w:rsidTr="00727D26">
        <w:trPr>
          <w:trHeight w:val="255"/>
        </w:trPr>
        <w:tc>
          <w:tcPr>
            <w:tcW w:w="4950" w:type="dxa"/>
            <w:tcBorders>
              <w:top w:val="nil"/>
              <w:left w:val="single" w:sz="4" w:space="0" w:color="auto"/>
              <w:bottom w:val="single" w:sz="4" w:space="0" w:color="auto"/>
              <w:right w:val="single" w:sz="4" w:space="0" w:color="auto"/>
            </w:tcBorders>
          </w:tcPr>
          <w:p w:rsidR="00727D26" w:rsidRPr="003C289B" w:rsidRDefault="00727D26" w:rsidP="00A70D48">
            <w:pPr>
              <w:rPr>
                <w:b/>
                <w:bCs/>
              </w:rPr>
            </w:pPr>
            <w:r w:rsidRPr="003C289B">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FF"/>
          </w:tcPr>
          <w:p w:rsidR="00727D26" w:rsidRPr="003C289B" w:rsidRDefault="00727D26" w:rsidP="00A70D48">
            <w:pPr>
              <w:jc w:val="center"/>
              <w:rPr>
                <w:b/>
                <w:bCs/>
              </w:rPr>
            </w:pPr>
          </w:p>
        </w:tc>
        <w:tc>
          <w:tcPr>
            <w:tcW w:w="1500" w:type="dxa"/>
            <w:tcBorders>
              <w:top w:val="nil"/>
              <w:left w:val="nil"/>
              <w:bottom w:val="single" w:sz="4" w:space="0" w:color="auto"/>
              <w:right w:val="single" w:sz="4" w:space="0" w:color="auto"/>
            </w:tcBorders>
            <w:shd w:val="clear" w:color="auto" w:fill="FFFFFF"/>
          </w:tcPr>
          <w:p w:rsidR="00727D26" w:rsidRPr="003C289B" w:rsidRDefault="00727D26" w:rsidP="00A70D48">
            <w:pPr>
              <w:jc w:val="center"/>
              <w:rPr>
                <w:b/>
                <w:bCs/>
              </w:rPr>
            </w:pPr>
          </w:p>
        </w:tc>
        <w:tc>
          <w:tcPr>
            <w:tcW w:w="1500" w:type="dxa"/>
            <w:tcBorders>
              <w:top w:val="nil"/>
              <w:left w:val="nil"/>
              <w:bottom w:val="single" w:sz="4" w:space="0" w:color="auto"/>
              <w:right w:val="single" w:sz="4" w:space="0" w:color="auto"/>
            </w:tcBorders>
            <w:shd w:val="clear" w:color="auto" w:fill="FFFFFF"/>
          </w:tcPr>
          <w:p w:rsidR="00727D26" w:rsidRPr="003C289B" w:rsidRDefault="00727D26" w:rsidP="00A70D48">
            <w:pPr>
              <w:jc w:val="center"/>
              <w:rPr>
                <w:b/>
                <w:bCs/>
              </w:rPr>
            </w:pPr>
          </w:p>
        </w:tc>
        <w:tc>
          <w:tcPr>
            <w:tcW w:w="1500" w:type="dxa"/>
            <w:tcBorders>
              <w:top w:val="nil"/>
              <w:left w:val="nil"/>
              <w:bottom w:val="single" w:sz="4" w:space="0" w:color="auto"/>
              <w:right w:val="single" w:sz="4" w:space="0" w:color="auto"/>
            </w:tcBorders>
            <w:shd w:val="clear" w:color="auto" w:fill="FFFFFF"/>
          </w:tcPr>
          <w:p w:rsidR="00727D26" w:rsidRPr="003C289B" w:rsidRDefault="00727D26" w:rsidP="00A70D48">
            <w:pPr>
              <w:jc w:val="center"/>
              <w:rPr>
                <w:b/>
                <w:bCs/>
              </w:rPr>
            </w:pPr>
          </w:p>
        </w:tc>
        <w:tc>
          <w:tcPr>
            <w:tcW w:w="3000" w:type="dxa"/>
            <w:tcBorders>
              <w:top w:val="nil"/>
              <w:left w:val="nil"/>
              <w:bottom w:val="single" w:sz="4" w:space="0" w:color="auto"/>
              <w:right w:val="single" w:sz="4" w:space="0" w:color="auto"/>
            </w:tcBorders>
            <w:noWrap/>
            <w:vAlign w:val="bottom"/>
          </w:tcPr>
          <w:p w:rsidR="00727D26" w:rsidRPr="003C289B" w:rsidRDefault="00727D26" w:rsidP="00A70D48">
            <w:r w:rsidRPr="003C289B">
              <w:t> </w:t>
            </w:r>
          </w:p>
        </w:tc>
      </w:tr>
      <w:tr w:rsidR="00727D26" w:rsidRPr="003C289B" w:rsidTr="00727D26">
        <w:trPr>
          <w:trHeight w:val="255"/>
        </w:trPr>
        <w:tc>
          <w:tcPr>
            <w:tcW w:w="4950" w:type="dxa"/>
            <w:tcBorders>
              <w:top w:val="nil"/>
              <w:left w:val="single" w:sz="4" w:space="0" w:color="auto"/>
              <w:bottom w:val="single" w:sz="4" w:space="0" w:color="auto"/>
              <w:right w:val="single" w:sz="4" w:space="0" w:color="auto"/>
            </w:tcBorders>
            <w:shd w:val="clear" w:color="auto" w:fill="BFBFBF"/>
          </w:tcPr>
          <w:p w:rsidR="00727D26" w:rsidRPr="003C289B" w:rsidRDefault="00727D26" w:rsidP="00A70D48">
            <w:pPr>
              <w:rPr>
                <w:b/>
                <w:bCs/>
              </w:rPr>
            </w:pPr>
            <w:r w:rsidRPr="003C289B">
              <w:rPr>
                <w:b/>
                <w:bCs/>
              </w:rPr>
              <w:t>Dopad na príjmy verejnej správy celkom</w:t>
            </w:r>
          </w:p>
        </w:tc>
        <w:tc>
          <w:tcPr>
            <w:tcW w:w="1500" w:type="dxa"/>
            <w:tcBorders>
              <w:top w:val="nil"/>
              <w:left w:val="nil"/>
              <w:bottom w:val="single" w:sz="4" w:space="0" w:color="auto"/>
              <w:right w:val="single" w:sz="4" w:space="0" w:color="auto"/>
            </w:tcBorders>
            <w:shd w:val="clear" w:color="auto" w:fill="BFBFBF"/>
            <w:vAlign w:val="center"/>
          </w:tcPr>
          <w:p w:rsidR="00727D26" w:rsidRPr="003C289B" w:rsidRDefault="00727D26" w:rsidP="00A70D48">
            <w:pPr>
              <w:jc w:val="center"/>
              <w:rPr>
                <w:b/>
                <w:bCs/>
                <w:iCs/>
              </w:rPr>
            </w:pPr>
          </w:p>
        </w:tc>
        <w:tc>
          <w:tcPr>
            <w:tcW w:w="1500" w:type="dxa"/>
            <w:tcBorders>
              <w:top w:val="nil"/>
              <w:left w:val="nil"/>
              <w:bottom w:val="single" w:sz="4" w:space="0" w:color="auto"/>
              <w:right w:val="single" w:sz="4" w:space="0" w:color="auto"/>
            </w:tcBorders>
            <w:shd w:val="clear" w:color="auto" w:fill="BFBFBF"/>
            <w:vAlign w:val="center"/>
          </w:tcPr>
          <w:p w:rsidR="00727D26" w:rsidRPr="00BF74A1" w:rsidRDefault="00727D26" w:rsidP="00A70D48">
            <w:pPr>
              <w:pStyle w:val="Odsekzoznamu"/>
              <w:spacing w:after="0" w:line="240" w:lineRule="auto"/>
              <w:ind w:left="0" w:firstLine="2"/>
              <w:jc w:val="center"/>
              <w:rPr>
                <w:rFonts w:ascii="Times New Roman" w:hAnsi="Times New Roman"/>
                <w:b/>
                <w:bCs/>
                <w:iCs/>
                <w:sz w:val="24"/>
                <w:szCs w:val="24"/>
                <w:lang w:eastAsia="sk-SK"/>
              </w:rPr>
            </w:pPr>
            <w:r>
              <w:rPr>
                <w:rFonts w:ascii="Times New Roman" w:hAnsi="Times New Roman"/>
                <w:b/>
                <w:bCs/>
                <w:iCs/>
                <w:sz w:val="24"/>
                <w:szCs w:val="24"/>
                <w:lang w:eastAsia="sk-SK"/>
              </w:rPr>
              <w:t>- 113 000</w:t>
            </w:r>
          </w:p>
        </w:tc>
        <w:tc>
          <w:tcPr>
            <w:tcW w:w="1500" w:type="dxa"/>
            <w:tcBorders>
              <w:top w:val="nil"/>
              <w:left w:val="nil"/>
              <w:bottom w:val="single" w:sz="4" w:space="0" w:color="auto"/>
              <w:right w:val="single" w:sz="4" w:space="0" w:color="auto"/>
            </w:tcBorders>
            <w:shd w:val="clear" w:color="auto" w:fill="BFBFBF"/>
            <w:vAlign w:val="center"/>
          </w:tcPr>
          <w:p w:rsidR="00727D26" w:rsidRPr="00BF74A1" w:rsidRDefault="00727D26" w:rsidP="00A70D48">
            <w:pPr>
              <w:pStyle w:val="Odsekzoznamu"/>
              <w:spacing w:after="0" w:line="240" w:lineRule="auto"/>
              <w:ind w:left="0" w:firstLine="2"/>
              <w:jc w:val="center"/>
              <w:rPr>
                <w:rFonts w:ascii="Times New Roman" w:hAnsi="Times New Roman"/>
                <w:b/>
                <w:bCs/>
                <w:iCs/>
                <w:sz w:val="24"/>
                <w:szCs w:val="24"/>
                <w:lang w:eastAsia="sk-SK"/>
              </w:rPr>
            </w:pPr>
            <w:r>
              <w:rPr>
                <w:rFonts w:ascii="Times New Roman" w:hAnsi="Times New Roman"/>
                <w:b/>
                <w:bCs/>
                <w:iCs/>
                <w:sz w:val="24"/>
                <w:szCs w:val="24"/>
                <w:lang w:eastAsia="sk-SK"/>
              </w:rPr>
              <w:t>- 117 000</w:t>
            </w:r>
          </w:p>
        </w:tc>
        <w:tc>
          <w:tcPr>
            <w:tcW w:w="1500" w:type="dxa"/>
            <w:tcBorders>
              <w:top w:val="nil"/>
              <w:left w:val="nil"/>
              <w:bottom w:val="single" w:sz="4" w:space="0" w:color="auto"/>
              <w:right w:val="single" w:sz="4" w:space="0" w:color="auto"/>
            </w:tcBorders>
            <w:shd w:val="clear" w:color="auto" w:fill="BFBFBF"/>
            <w:vAlign w:val="center"/>
          </w:tcPr>
          <w:p w:rsidR="00727D26" w:rsidRPr="00BF74A1" w:rsidRDefault="00727D26" w:rsidP="00A70D48">
            <w:pPr>
              <w:pStyle w:val="Odsekzoznamu"/>
              <w:spacing w:after="0" w:line="240" w:lineRule="auto"/>
              <w:ind w:left="0" w:firstLine="2"/>
              <w:jc w:val="center"/>
              <w:rPr>
                <w:rFonts w:ascii="Times New Roman" w:hAnsi="Times New Roman"/>
                <w:b/>
                <w:bCs/>
                <w:iCs/>
                <w:sz w:val="24"/>
                <w:szCs w:val="24"/>
                <w:lang w:eastAsia="sk-SK"/>
              </w:rPr>
            </w:pPr>
            <w:r>
              <w:rPr>
                <w:rFonts w:ascii="Times New Roman" w:hAnsi="Times New Roman"/>
                <w:b/>
                <w:bCs/>
                <w:iCs/>
                <w:sz w:val="24"/>
                <w:szCs w:val="24"/>
                <w:lang w:eastAsia="sk-SK"/>
              </w:rPr>
              <w:t>- 121 000</w:t>
            </w:r>
          </w:p>
        </w:tc>
        <w:tc>
          <w:tcPr>
            <w:tcW w:w="3000" w:type="dxa"/>
            <w:tcBorders>
              <w:top w:val="nil"/>
              <w:left w:val="nil"/>
              <w:bottom w:val="single" w:sz="4" w:space="0" w:color="auto"/>
              <w:right w:val="single" w:sz="4" w:space="0" w:color="auto"/>
            </w:tcBorders>
            <w:shd w:val="clear" w:color="auto" w:fill="BFBFBF"/>
            <w:noWrap/>
            <w:vAlign w:val="bottom"/>
          </w:tcPr>
          <w:p w:rsidR="00727D26" w:rsidRPr="003C289B" w:rsidRDefault="00727D26" w:rsidP="00A70D48">
            <w:r w:rsidRPr="003C289B">
              <w:t> </w:t>
            </w:r>
          </w:p>
        </w:tc>
      </w:tr>
    </w:tbl>
    <w:p w:rsidR="00727D26" w:rsidRPr="00D3116B" w:rsidRDefault="00727D26" w:rsidP="00727D26">
      <w:pPr>
        <w:tabs>
          <w:tab w:val="num" w:pos="1080"/>
        </w:tabs>
        <w:jc w:val="both"/>
        <w:rPr>
          <w:bCs/>
          <w:sz w:val="20"/>
          <w:szCs w:val="20"/>
        </w:rPr>
      </w:pPr>
      <w:r w:rsidRPr="003C289B">
        <w:rPr>
          <w:bCs/>
          <w:sz w:val="20"/>
          <w:szCs w:val="20"/>
        </w:rPr>
        <w:t>1 –  príjmy rozpísať až do položiek p</w:t>
      </w:r>
      <w:r>
        <w:rPr>
          <w:bCs/>
          <w:sz w:val="20"/>
          <w:szCs w:val="20"/>
        </w:rPr>
        <w:t>latnej ekonomickej klasifikácie</w:t>
      </w:r>
    </w:p>
    <w:p w:rsidR="00727D26" w:rsidRPr="001D4349" w:rsidRDefault="00727D26" w:rsidP="00727D26">
      <w:pPr>
        <w:tabs>
          <w:tab w:val="num" w:pos="1080"/>
        </w:tabs>
        <w:jc w:val="both"/>
        <w:rPr>
          <w:bCs/>
          <w:sz w:val="20"/>
          <w:szCs w:val="20"/>
        </w:rPr>
      </w:pPr>
    </w:p>
    <w:p w:rsidR="00727D26" w:rsidRPr="003C289B" w:rsidRDefault="00727D26" w:rsidP="00727D26">
      <w:pPr>
        <w:tabs>
          <w:tab w:val="num" w:pos="1080"/>
        </w:tabs>
        <w:jc w:val="both"/>
        <w:rPr>
          <w:b/>
          <w:bCs/>
          <w:szCs w:val="20"/>
        </w:rPr>
      </w:pPr>
      <w:r w:rsidRPr="003C289B">
        <w:rPr>
          <w:b/>
          <w:bCs/>
          <w:szCs w:val="20"/>
        </w:rPr>
        <w:t>Poznámka:</w:t>
      </w:r>
    </w:p>
    <w:p w:rsidR="00727D26" w:rsidRPr="00C13F01" w:rsidRDefault="00727D26" w:rsidP="00727D26">
      <w:pPr>
        <w:tabs>
          <w:tab w:val="num" w:pos="1080"/>
        </w:tabs>
        <w:jc w:val="both"/>
        <w:rPr>
          <w:bCs/>
          <w:szCs w:val="20"/>
        </w:rPr>
      </w:pPr>
      <w:r w:rsidRPr="003C289B">
        <w:rPr>
          <w:bCs/>
          <w:szCs w:val="20"/>
        </w:rPr>
        <w:t>Ak sa vplyv týka viacerých subjektov verejnej správy, vypĺňa sa samos</w:t>
      </w:r>
      <w:r>
        <w:rPr>
          <w:bCs/>
          <w:szCs w:val="20"/>
        </w:rPr>
        <w:t>tatná tabuľka za každý subjekt.</w:t>
      </w:r>
    </w:p>
    <w:p w:rsidR="00727D26" w:rsidRDefault="00727D26" w:rsidP="00727D26">
      <w:pPr>
        <w:tabs>
          <w:tab w:val="num" w:pos="1080"/>
        </w:tabs>
        <w:ind w:right="-32"/>
        <w:jc w:val="right"/>
        <w:rPr>
          <w:bCs/>
        </w:rPr>
      </w:pPr>
      <w:r>
        <w:rPr>
          <w:bCs/>
        </w:rPr>
        <w:t xml:space="preserve">Tabuľka č. 4 </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27D26" w:rsidRPr="003C289B" w:rsidTr="00727D26">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727D26" w:rsidRPr="003C289B" w:rsidRDefault="00727D26" w:rsidP="00A70D48">
            <w:pPr>
              <w:jc w:val="center"/>
              <w:rPr>
                <w:b/>
                <w:bCs/>
                <w:sz w:val="20"/>
                <w:szCs w:val="20"/>
              </w:rPr>
            </w:pPr>
            <w:r w:rsidRPr="003C289B">
              <w:rPr>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rsidR="00727D26" w:rsidRPr="003C289B" w:rsidRDefault="00727D26" w:rsidP="00A70D48">
            <w:pPr>
              <w:jc w:val="center"/>
              <w:rPr>
                <w:b/>
                <w:bCs/>
                <w:sz w:val="20"/>
                <w:szCs w:val="20"/>
              </w:rPr>
            </w:pPr>
            <w:r w:rsidRPr="003C289B">
              <w:rPr>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727D26" w:rsidRPr="003C289B" w:rsidRDefault="00727D26" w:rsidP="00A70D48">
            <w:pPr>
              <w:jc w:val="center"/>
              <w:rPr>
                <w:b/>
                <w:bCs/>
              </w:rPr>
            </w:pPr>
            <w:r w:rsidRPr="003C289B">
              <w:rPr>
                <w:b/>
                <w:bCs/>
              </w:rPr>
              <w:t>poznámka</w:t>
            </w:r>
          </w:p>
        </w:tc>
      </w:tr>
      <w:tr w:rsidR="00727D26" w:rsidRPr="003C289B" w:rsidTr="00727D26">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27D26" w:rsidRPr="003C289B" w:rsidRDefault="00727D26" w:rsidP="00A70D48">
            <w:pPr>
              <w:rPr>
                <w:b/>
                <w:bCs/>
                <w:color w:val="FFFFFF"/>
                <w:sz w:val="20"/>
                <w:szCs w:val="20"/>
              </w:rPr>
            </w:pPr>
          </w:p>
        </w:tc>
        <w:tc>
          <w:tcPr>
            <w:tcW w:w="1540" w:type="dxa"/>
            <w:tcBorders>
              <w:top w:val="nil"/>
              <w:left w:val="nil"/>
              <w:bottom w:val="single" w:sz="4" w:space="0" w:color="auto"/>
              <w:right w:val="single" w:sz="4" w:space="0" w:color="auto"/>
            </w:tcBorders>
            <w:shd w:val="clear" w:color="auto" w:fill="BFBFBF"/>
            <w:vAlign w:val="center"/>
          </w:tcPr>
          <w:p w:rsidR="00727D26" w:rsidRPr="001C3710" w:rsidRDefault="00727D26" w:rsidP="00A70D48">
            <w:pPr>
              <w:jc w:val="center"/>
              <w:rPr>
                <w:b/>
                <w:bCs/>
                <w:sz w:val="20"/>
                <w:szCs w:val="20"/>
              </w:rPr>
            </w:pPr>
            <w:r w:rsidRPr="001C3710">
              <w:rPr>
                <w:b/>
                <w:bCs/>
                <w:sz w:val="20"/>
                <w:szCs w:val="20"/>
              </w:rPr>
              <w:t>2020</w:t>
            </w:r>
          </w:p>
        </w:tc>
        <w:tc>
          <w:tcPr>
            <w:tcW w:w="1540" w:type="dxa"/>
            <w:tcBorders>
              <w:top w:val="nil"/>
              <w:left w:val="nil"/>
              <w:bottom w:val="single" w:sz="4" w:space="0" w:color="auto"/>
              <w:right w:val="single" w:sz="4" w:space="0" w:color="auto"/>
            </w:tcBorders>
            <w:shd w:val="clear" w:color="auto" w:fill="BFBFBF"/>
            <w:vAlign w:val="center"/>
          </w:tcPr>
          <w:p w:rsidR="00727D26" w:rsidRPr="001C3710" w:rsidRDefault="00727D26" w:rsidP="00A70D48">
            <w:pPr>
              <w:jc w:val="center"/>
              <w:rPr>
                <w:b/>
                <w:bCs/>
                <w:sz w:val="20"/>
                <w:szCs w:val="20"/>
              </w:rPr>
            </w:pPr>
            <w:r w:rsidRPr="001C3710">
              <w:rPr>
                <w:b/>
                <w:bCs/>
                <w:sz w:val="20"/>
                <w:szCs w:val="20"/>
              </w:rPr>
              <w:t>2021</w:t>
            </w:r>
          </w:p>
        </w:tc>
        <w:tc>
          <w:tcPr>
            <w:tcW w:w="1540" w:type="dxa"/>
            <w:tcBorders>
              <w:top w:val="nil"/>
              <w:left w:val="nil"/>
              <w:bottom w:val="single" w:sz="4" w:space="0" w:color="auto"/>
              <w:right w:val="single" w:sz="4" w:space="0" w:color="auto"/>
            </w:tcBorders>
            <w:shd w:val="clear" w:color="auto" w:fill="BFBFBF"/>
            <w:vAlign w:val="center"/>
          </w:tcPr>
          <w:p w:rsidR="00727D26" w:rsidRPr="001C3710" w:rsidRDefault="00727D26" w:rsidP="00A70D48">
            <w:pPr>
              <w:jc w:val="center"/>
              <w:rPr>
                <w:b/>
                <w:bCs/>
                <w:sz w:val="20"/>
                <w:szCs w:val="20"/>
              </w:rPr>
            </w:pPr>
            <w:r w:rsidRPr="001C3710">
              <w:rPr>
                <w:b/>
                <w:bCs/>
                <w:sz w:val="20"/>
                <w:szCs w:val="20"/>
              </w:rPr>
              <w:t>2022</w:t>
            </w:r>
          </w:p>
        </w:tc>
        <w:tc>
          <w:tcPr>
            <w:tcW w:w="1540" w:type="dxa"/>
            <w:tcBorders>
              <w:top w:val="nil"/>
              <w:left w:val="nil"/>
              <w:bottom w:val="single" w:sz="4" w:space="0" w:color="auto"/>
              <w:right w:val="single" w:sz="4" w:space="0" w:color="auto"/>
            </w:tcBorders>
            <w:shd w:val="clear" w:color="auto" w:fill="BFBFBF"/>
            <w:vAlign w:val="center"/>
          </w:tcPr>
          <w:p w:rsidR="00727D26" w:rsidRPr="001C3710" w:rsidRDefault="00727D26" w:rsidP="00A70D48">
            <w:pPr>
              <w:jc w:val="center"/>
              <w:rPr>
                <w:b/>
                <w:bCs/>
                <w:sz w:val="20"/>
                <w:szCs w:val="20"/>
              </w:rPr>
            </w:pPr>
            <w:r w:rsidRPr="001C3710">
              <w:rPr>
                <w:b/>
                <w:bCs/>
                <w:sz w:val="20"/>
                <w:szCs w:val="20"/>
              </w:rPr>
              <w:t>2023</w:t>
            </w:r>
          </w:p>
        </w:tc>
        <w:tc>
          <w:tcPr>
            <w:tcW w:w="2220" w:type="dxa"/>
            <w:vMerge/>
            <w:tcBorders>
              <w:top w:val="single" w:sz="4" w:space="0" w:color="auto"/>
              <w:left w:val="single" w:sz="4" w:space="0" w:color="auto"/>
              <w:bottom w:val="single" w:sz="4" w:space="0" w:color="auto"/>
              <w:right w:val="single" w:sz="4" w:space="0" w:color="auto"/>
            </w:tcBorders>
            <w:vAlign w:val="center"/>
          </w:tcPr>
          <w:p w:rsidR="00727D26" w:rsidRPr="003C289B" w:rsidRDefault="00727D26" w:rsidP="00A70D48">
            <w:pPr>
              <w:rPr>
                <w:b/>
                <w:bCs/>
                <w:color w:val="FFFFFF"/>
              </w:rPr>
            </w:pPr>
          </w:p>
        </w:tc>
      </w:tr>
      <w:tr w:rsidR="00727D26" w:rsidRPr="003C289B" w:rsidTr="00A70D48">
        <w:trPr>
          <w:trHeight w:val="255"/>
        </w:trPr>
        <w:tc>
          <w:tcPr>
            <w:tcW w:w="7070" w:type="dxa"/>
            <w:tcBorders>
              <w:top w:val="nil"/>
              <w:left w:val="single" w:sz="4" w:space="0" w:color="auto"/>
              <w:bottom w:val="single" w:sz="4" w:space="0" w:color="auto"/>
              <w:right w:val="single" w:sz="4" w:space="0" w:color="auto"/>
            </w:tcBorders>
          </w:tcPr>
          <w:p w:rsidR="00727D26" w:rsidRPr="003C289B" w:rsidRDefault="00727D26" w:rsidP="00A70D48">
            <w:pPr>
              <w:rPr>
                <w:b/>
                <w:bCs/>
                <w:sz w:val="20"/>
                <w:szCs w:val="20"/>
              </w:rPr>
            </w:pPr>
            <w:r w:rsidRPr="003C289B">
              <w:rPr>
                <w:b/>
                <w:bCs/>
                <w:sz w:val="20"/>
                <w:szCs w:val="20"/>
              </w:rPr>
              <w:t>Bežné výdavky (600)</w:t>
            </w:r>
          </w:p>
        </w:tc>
        <w:tc>
          <w:tcPr>
            <w:tcW w:w="1540" w:type="dxa"/>
            <w:tcBorders>
              <w:top w:val="nil"/>
              <w:left w:val="nil"/>
              <w:bottom w:val="single" w:sz="4" w:space="0" w:color="auto"/>
              <w:right w:val="single" w:sz="4" w:space="0" w:color="auto"/>
            </w:tcBorders>
          </w:tcPr>
          <w:p w:rsidR="00727D26" w:rsidRPr="003C289B" w:rsidRDefault="00727D26" w:rsidP="00A70D48">
            <w:pPr>
              <w:jc w:val="center"/>
              <w:rPr>
                <w:b/>
                <w:bCs/>
                <w:sz w:val="20"/>
                <w:szCs w:val="20"/>
              </w:rPr>
            </w:pPr>
            <w:r>
              <w:rPr>
                <w:b/>
                <w:bCs/>
                <w:sz w:val="20"/>
                <w:szCs w:val="20"/>
              </w:rPr>
              <w:t>0,00</w:t>
            </w:r>
          </w:p>
        </w:tc>
        <w:tc>
          <w:tcPr>
            <w:tcW w:w="1540" w:type="dxa"/>
            <w:tcBorders>
              <w:top w:val="nil"/>
              <w:left w:val="nil"/>
              <w:bottom w:val="single" w:sz="4" w:space="0" w:color="auto"/>
              <w:right w:val="single" w:sz="4" w:space="0" w:color="auto"/>
            </w:tcBorders>
          </w:tcPr>
          <w:p w:rsidR="00727D26" w:rsidRPr="002A41AE" w:rsidRDefault="00727D26" w:rsidP="00A70D48">
            <w:pPr>
              <w:jc w:val="center"/>
              <w:rPr>
                <w:b/>
                <w:bCs/>
                <w:sz w:val="20"/>
                <w:szCs w:val="20"/>
              </w:rPr>
            </w:pPr>
            <w:r>
              <w:rPr>
                <w:b/>
                <w:sz w:val="20"/>
                <w:szCs w:val="20"/>
              </w:rPr>
              <w:t>0,00</w:t>
            </w:r>
          </w:p>
        </w:tc>
        <w:tc>
          <w:tcPr>
            <w:tcW w:w="1540" w:type="dxa"/>
            <w:tcBorders>
              <w:top w:val="nil"/>
              <w:left w:val="nil"/>
              <w:bottom w:val="single" w:sz="4" w:space="0" w:color="auto"/>
              <w:right w:val="single" w:sz="4" w:space="0" w:color="auto"/>
            </w:tcBorders>
          </w:tcPr>
          <w:p w:rsidR="00727D26" w:rsidRPr="002A41AE" w:rsidRDefault="00727D26" w:rsidP="00A70D48">
            <w:pPr>
              <w:jc w:val="center"/>
              <w:rPr>
                <w:b/>
                <w:bCs/>
                <w:sz w:val="20"/>
                <w:szCs w:val="20"/>
              </w:rPr>
            </w:pPr>
            <w:r>
              <w:rPr>
                <w:b/>
                <w:sz w:val="20"/>
                <w:szCs w:val="20"/>
              </w:rPr>
              <w:t>0,00</w:t>
            </w:r>
          </w:p>
        </w:tc>
        <w:tc>
          <w:tcPr>
            <w:tcW w:w="1540" w:type="dxa"/>
            <w:tcBorders>
              <w:top w:val="nil"/>
              <w:left w:val="nil"/>
              <w:bottom w:val="single" w:sz="4" w:space="0" w:color="auto"/>
              <w:right w:val="single" w:sz="4" w:space="0" w:color="auto"/>
            </w:tcBorders>
          </w:tcPr>
          <w:p w:rsidR="00727D26" w:rsidRPr="002A41AE" w:rsidRDefault="00727D26" w:rsidP="00A70D48">
            <w:pPr>
              <w:jc w:val="center"/>
              <w:rPr>
                <w:b/>
                <w:bCs/>
                <w:sz w:val="20"/>
                <w:szCs w:val="20"/>
              </w:rPr>
            </w:pPr>
            <w:r>
              <w:rPr>
                <w:b/>
                <w:sz w:val="20"/>
                <w:szCs w:val="20"/>
              </w:rPr>
              <w:t>0,00</w:t>
            </w:r>
          </w:p>
        </w:tc>
        <w:tc>
          <w:tcPr>
            <w:tcW w:w="2220" w:type="dxa"/>
            <w:tcBorders>
              <w:top w:val="nil"/>
              <w:left w:val="nil"/>
              <w:bottom w:val="single" w:sz="4" w:space="0" w:color="auto"/>
              <w:right w:val="single" w:sz="4" w:space="0" w:color="auto"/>
            </w:tcBorders>
            <w:noWrap/>
            <w:vAlign w:val="bottom"/>
          </w:tcPr>
          <w:p w:rsidR="00727D26" w:rsidRPr="003C289B" w:rsidRDefault="00727D26" w:rsidP="00A70D48">
            <w:r w:rsidRPr="003C289B">
              <w:t> </w:t>
            </w:r>
          </w:p>
        </w:tc>
      </w:tr>
      <w:tr w:rsidR="00727D26" w:rsidRPr="003C289B" w:rsidTr="00A70D48">
        <w:trPr>
          <w:trHeight w:val="255"/>
        </w:trPr>
        <w:tc>
          <w:tcPr>
            <w:tcW w:w="7070" w:type="dxa"/>
            <w:tcBorders>
              <w:top w:val="nil"/>
              <w:left w:val="single" w:sz="4" w:space="0" w:color="auto"/>
              <w:bottom w:val="single" w:sz="4" w:space="0" w:color="auto"/>
              <w:right w:val="single" w:sz="4" w:space="0" w:color="auto"/>
            </w:tcBorders>
          </w:tcPr>
          <w:p w:rsidR="00727D26" w:rsidRPr="003C289B" w:rsidRDefault="00727D26" w:rsidP="00A70D48">
            <w:pPr>
              <w:rPr>
                <w:sz w:val="20"/>
                <w:szCs w:val="20"/>
              </w:rPr>
            </w:pPr>
            <w:r w:rsidRPr="003C289B">
              <w:rPr>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727D26" w:rsidRPr="008073FC" w:rsidRDefault="00727D26" w:rsidP="00A70D48">
            <w:pPr>
              <w:jc w:val="center"/>
              <w:rPr>
                <w:bCs/>
                <w:sz w:val="20"/>
                <w:szCs w:val="20"/>
              </w:rPr>
            </w:pPr>
            <w:r w:rsidRPr="008073FC">
              <w:rPr>
                <w:bCs/>
                <w:sz w:val="20"/>
                <w:szCs w:val="20"/>
              </w:rPr>
              <w:t>0,00</w:t>
            </w:r>
          </w:p>
        </w:tc>
        <w:tc>
          <w:tcPr>
            <w:tcW w:w="1540" w:type="dxa"/>
            <w:tcBorders>
              <w:top w:val="nil"/>
              <w:left w:val="nil"/>
              <w:bottom w:val="single" w:sz="4" w:space="0" w:color="auto"/>
              <w:right w:val="single" w:sz="4" w:space="0" w:color="auto"/>
            </w:tcBorders>
          </w:tcPr>
          <w:p w:rsidR="00727D26" w:rsidRPr="008073FC" w:rsidRDefault="00727D26" w:rsidP="00A70D48">
            <w:pPr>
              <w:jc w:val="center"/>
              <w:rPr>
                <w:bCs/>
                <w:sz w:val="20"/>
                <w:szCs w:val="20"/>
              </w:rPr>
            </w:pPr>
            <w:r w:rsidRPr="008073FC">
              <w:rPr>
                <w:sz w:val="20"/>
                <w:szCs w:val="20"/>
              </w:rPr>
              <w:t>0,00</w:t>
            </w:r>
          </w:p>
        </w:tc>
        <w:tc>
          <w:tcPr>
            <w:tcW w:w="1540" w:type="dxa"/>
            <w:tcBorders>
              <w:top w:val="nil"/>
              <w:left w:val="nil"/>
              <w:bottom w:val="single" w:sz="4" w:space="0" w:color="auto"/>
              <w:right w:val="single" w:sz="4" w:space="0" w:color="auto"/>
            </w:tcBorders>
          </w:tcPr>
          <w:p w:rsidR="00727D26" w:rsidRPr="008073FC" w:rsidRDefault="00727D26" w:rsidP="00A70D48">
            <w:pPr>
              <w:jc w:val="center"/>
              <w:rPr>
                <w:bCs/>
                <w:sz w:val="20"/>
                <w:szCs w:val="20"/>
              </w:rPr>
            </w:pPr>
            <w:r w:rsidRPr="008073FC">
              <w:rPr>
                <w:sz w:val="20"/>
                <w:szCs w:val="20"/>
              </w:rPr>
              <w:t>0,00</w:t>
            </w:r>
          </w:p>
        </w:tc>
        <w:tc>
          <w:tcPr>
            <w:tcW w:w="1540" w:type="dxa"/>
            <w:tcBorders>
              <w:top w:val="nil"/>
              <w:left w:val="nil"/>
              <w:bottom w:val="single" w:sz="4" w:space="0" w:color="auto"/>
              <w:right w:val="single" w:sz="4" w:space="0" w:color="auto"/>
            </w:tcBorders>
          </w:tcPr>
          <w:p w:rsidR="00727D26" w:rsidRPr="008073FC" w:rsidRDefault="00727D26" w:rsidP="00A70D48">
            <w:pPr>
              <w:jc w:val="center"/>
              <w:rPr>
                <w:bCs/>
                <w:sz w:val="20"/>
                <w:szCs w:val="20"/>
              </w:rPr>
            </w:pPr>
            <w:r w:rsidRPr="008073FC">
              <w:rPr>
                <w:sz w:val="20"/>
                <w:szCs w:val="20"/>
              </w:rPr>
              <w:t>0,00</w:t>
            </w:r>
          </w:p>
        </w:tc>
        <w:tc>
          <w:tcPr>
            <w:tcW w:w="2220" w:type="dxa"/>
            <w:tcBorders>
              <w:top w:val="nil"/>
              <w:left w:val="nil"/>
              <w:bottom w:val="single" w:sz="4" w:space="0" w:color="auto"/>
              <w:right w:val="single" w:sz="4" w:space="0" w:color="auto"/>
            </w:tcBorders>
            <w:noWrap/>
            <w:vAlign w:val="bottom"/>
          </w:tcPr>
          <w:p w:rsidR="00727D26" w:rsidRPr="003C289B" w:rsidRDefault="00727D26" w:rsidP="00A70D48">
            <w:r w:rsidRPr="003C289B">
              <w:t> </w:t>
            </w:r>
          </w:p>
        </w:tc>
      </w:tr>
      <w:tr w:rsidR="00727D26" w:rsidRPr="003C289B" w:rsidTr="00A70D48">
        <w:trPr>
          <w:trHeight w:val="255"/>
        </w:trPr>
        <w:tc>
          <w:tcPr>
            <w:tcW w:w="7070" w:type="dxa"/>
            <w:tcBorders>
              <w:top w:val="nil"/>
              <w:left w:val="single" w:sz="4" w:space="0" w:color="auto"/>
              <w:bottom w:val="single" w:sz="4" w:space="0" w:color="auto"/>
              <w:right w:val="single" w:sz="4" w:space="0" w:color="auto"/>
            </w:tcBorders>
          </w:tcPr>
          <w:p w:rsidR="00727D26" w:rsidRPr="003C289B" w:rsidRDefault="00727D26" w:rsidP="00A70D48">
            <w:pPr>
              <w:rPr>
                <w:sz w:val="20"/>
                <w:szCs w:val="20"/>
                <w:vertAlign w:val="superscript"/>
              </w:rPr>
            </w:pPr>
            <w:r w:rsidRPr="003C289B">
              <w:rPr>
                <w:sz w:val="20"/>
                <w:szCs w:val="20"/>
              </w:rPr>
              <w:t xml:space="preserve">  Poistné a príspevok do poisťovní (620)</w:t>
            </w:r>
          </w:p>
        </w:tc>
        <w:tc>
          <w:tcPr>
            <w:tcW w:w="1540" w:type="dxa"/>
            <w:tcBorders>
              <w:top w:val="nil"/>
              <w:left w:val="nil"/>
              <w:bottom w:val="single" w:sz="4" w:space="0" w:color="auto"/>
              <w:right w:val="single" w:sz="4" w:space="0" w:color="auto"/>
            </w:tcBorders>
          </w:tcPr>
          <w:p w:rsidR="00727D26" w:rsidRPr="008073FC" w:rsidRDefault="00727D26" w:rsidP="00A70D48">
            <w:pPr>
              <w:jc w:val="center"/>
              <w:rPr>
                <w:bCs/>
                <w:sz w:val="20"/>
                <w:szCs w:val="20"/>
              </w:rPr>
            </w:pPr>
            <w:r w:rsidRPr="008073FC">
              <w:rPr>
                <w:bCs/>
                <w:sz w:val="20"/>
                <w:szCs w:val="20"/>
              </w:rPr>
              <w:t>0,00</w:t>
            </w:r>
          </w:p>
        </w:tc>
        <w:tc>
          <w:tcPr>
            <w:tcW w:w="1540" w:type="dxa"/>
            <w:tcBorders>
              <w:top w:val="nil"/>
              <w:left w:val="nil"/>
              <w:bottom w:val="single" w:sz="4" w:space="0" w:color="auto"/>
              <w:right w:val="single" w:sz="4" w:space="0" w:color="auto"/>
            </w:tcBorders>
          </w:tcPr>
          <w:p w:rsidR="00727D26" w:rsidRPr="008073FC" w:rsidRDefault="00727D26" w:rsidP="00A70D48">
            <w:pPr>
              <w:jc w:val="center"/>
              <w:rPr>
                <w:bCs/>
                <w:sz w:val="20"/>
                <w:szCs w:val="20"/>
              </w:rPr>
            </w:pPr>
            <w:r w:rsidRPr="008073FC">
              <w:rPr>
                <w:sz w:val="20"/>
                <w:szCs w:val="20"/>
              </w:rPr>
              <w:t>0,00</w:t>
            </w:r>
          </w:p>
        </w:tc>
        <w:tc>
          <w:tcPr>
            <w:tcW w:w="1540" w:type="dxa"/>
            <w:tcBorders>
              <w:top w:val="nil"/>
              <w:left w:val="nil"/>
              <w:bottom w:val="single" w:sz="4" w:space="0" w:color="auto"/>
              <w:right w:val="single" w:sz="4" w:space="0" w:color="auto"/>
            </w:tcBorders>
          </w:tcPr>
          <w:p w:rsidR="00727D26" w:rsidRPr="008073FC" w:rsidRDefault="00727D26" w:rsidP="00A70D48">
            <w:pPr>
              <w:jc w:val="center"/>
              <w:rPr>
                <w:bCs/>
                <w:sz w:val="20"/>
                <w:szCs w:val="20"/>
              </w:rPr>
            </w:pPr>
            <w:r w:rsidRPr="008073FC">
              <w:rPr>
                <w:sz w:val="20"/>
                <w:szCs w:val="20"/>
              </w:rPr>
              <w:t>0,00</w:t>
            </w:r>
          </w:p>
        </w:tc>
        <w:tc>
          <w:tcPr>
            <w:tcW w:w="1540" w:type="dxa"/>
            <w:tcBorders>
              <w:top w:val="nil"/>
              <w:left w:val="nil"/>
              <w:bottom w:val="single" w:sz="4" w:space="0" w:color="auto"/>
              <w:right w:val="single" w:sz="4" w:space="0" w:color="auto"/>
            </w:tcBorders>
          </w:tcPr>
          <w:p w:rsidR="00727D26" w:rsidRPr="008073FC" w:rsidRDefault="00727D26" w:rsidP="00A70D48">
            <w:pPr>
              <w:jc w:val="center"/>
              <w:rPr>
                <w:bCs/>
                <w:sz w:val="20"/>
                <w:szCs w:val="20"/>
              </w:rPr>
            </w:pPr>
            <w:r w:rsidRPr="008073FC">
              <w:rPr>
                <w:sz w:val="20"/>
                <w:szCs w:val="20"/>
              </w:rPr>
              <w:t>0,00</w:t>
            </w:r>
          </w:p>
        </w:tc>
        <w:tc>
          <w:tcPr>
            <w:tcW w:w="2220" w:type="dxa"/>
            <w:tcBorders>
              <w:top w:val="nil"/>
              <w:left w:val="nil"/>
              <w:bottom w:val="single" w:sz="4" w:space="0" w:color="auto"/>
              <w:right w:val="single" w:sz="4" w:space="0" w:color="auto"/>
            </w:tcBorders>
            <w:noWrap/>
            <w:vAlign w:val="bottom"/>
          </w:tcPr>
          <w:p w:rsidR="00727D26" w:rsidRPr="003C289B" w:rsidRDefault="00727D26" w:rsidP="00A70D48">
            <w:r w:rsidRPr="003C289B">
              <w:t> </w:t>
            </w:r>
          </w:p>
        </w:tc>
      </w:tr>
      <w:tr w:rsidR="00727D26" w:rsidRPr="003C289B" w:rsidTr="00A70D48">
        <w:trPr>
          <w:trHeight w:val="255"/>
        </w:trPr>
        <w:tc>
          <w:tcPr>
            <w:tcW w:w="7070" w:type="dxa"/>
            <w:tcBorders>
              <w:top w:val="nil"/>
              <w:left w:val="single" w:sz="4" w:space="0" w:color="auto"/>
              <w:bottom w:val="single" w:sz="4" w:space="0" w:color="auto"/>
              <w:right w:val="single" w:sz="4" w:space="0" w:color="auto"/>
            </w:tcBorders>
          </w:tcPr>
          <w:p w:rsidR="00727D26" w:rsidRPr="003C289B" w:rsidRDefault="00727D26" w:rsidP="00A70D48">
            <w:pPr>
              <w:rPr>
                <w:sz w:val="20"/>
                <w:szCs w:val="20"/>
                <w:vertAlign w:val="superscript"/>
              </w:rPr>
            </w:pPr>
            <w:r w:rsidRPr="003C289B">
              <w:rPr>
                <w:sz w:val="20"/>
                <w:szCs w:val="20"/>
              </w:rPr>
              <w:t xml:space="preserve">  Tovary a služby (630)</w:t>
            </w:r>
            <w:r w:rsidRPr="003C289B">
              <w:rPr>
                <w:sz w:val="20"/>
                <w:szCs w:val="20"/>
                <w:vertAlign w:val="superscript"/>
              </w:rPr>
              <w:t>2</w:t>
            </w:r>
          </w:p>
        </w:tc>
        <w:tc>
          <w:tcPr>
            <w:tcW w:w="1540" w:type="dxa"/>
            <w:tcBorders>
              <w:top w:val="nil"/>
              <w:left w:val="nil"/>
              <w:bottom w:val="single" w:sz="4" w:space="0" w:color="auto"/>
              <w:right w:val="single" w:sz="4" w:space="0" w:color="auto"/>
            </w:tcBorders>
          </w:tcPr>
          <w:p w:rsidR="00727D26" w:rsidRPr="008073FC" w:rsidRDefault="00727D26" w:rsidP="00A70D48">
            <w:pPr>
              <w:jc w:val="center"/>
              <w:rPr>
                <w:bCs/>
                <w:sz w:val="20"/>
                <w:szCs w:val="20"/>
              </w:rPr>
            </w:pPr>
            <w:r w:rsidRPr="008073FC">
              <w:rPr>
                <w:bCs/>
                <w:sz w:val="20"/>
                <w:szCs w:val="20"/>
              </w:rPr>
              <w:t>0,00</w:t>
            </w:r>
          </w:p>
        </w:tc>
        <w:tc>
          <w:tcPr>
            <w:tcW w:w="1540" w:type="dxa"/>
            <w:tcBorders>
              <w:top w:val="nil"/>
              <w:left w:val="nil"/>
              <w:bottom w:val="single" w:sz="4" w:space="0" w:color="auto"/>
              <w:right w:val="single" w:sz="4" w:space="0" w:color="auto"/>
            </w:tcBorders>
          </w:tcPr>
          <w:p w:rsidR="00727D26" w:rsidRPr="008073FC" w:rsidRDefault="00727D26" w:rsidP="00A70D48">
            <w:pPr>
              <w:jc w:val="center"/>
              <w:rPr>
                <w:bCs/>
                <w:sz w:val="20"/>
                <w:szCs w:val="20"/>
              </w:rPr>
            </w:pPr>
            <w:r w:rsidRPr="008073FC">
              <w:rPr>
                <w:sz w:val="20"/>
                <w:szCs w:val="20"/>
              </w:rPr>
              <w:t>0,00</w:t>
            </w:r>
          </w:p>
        </w:tc>
        <w:tc>
          <w:tcPr>
            <w:tcW w:w="1540" w:type="dxa"/>
            <w:tcBorders>
              <w:top w:val="nil"/>
              <w:left w:val="nil"/>
              <w:bottom w:val="single" w:sz="4" w:space="0" w:color="auto"/>
              <w:right w:val="single" w:sz="4" w:space="0" w:color="auto"/>
            </w:tcBorders>
          </w:tcPr>
          <w:p w:rsidR="00727D26" w:rsidRPr="008073FC" w:rsidRDefault="00727D26" w:rsidP="00A70D48">
            <w:pPr>
              <w:jc w:val="center"/>
              <w:rPr>
                <w:bCs/>
                <w:sz w:val="20"/>
                <w:szCs w:val="20"/>
              </w:rPr>
            </w:pPr>
            <w:r w:rsidRPr="008073FC">
              <w:rPr>
                <w:sz w:val="20"/>
                <w:szCs w:val="20"/>
              </w:rPr>
              <w:t>0,00</w:t>
            </w:r>
          </w:p>
        </w:tc>
        <w:tc>
          <w:tcPr>
            <w:tcW w:w="1540" w:type="dxa"/>
            <w:tcBorders>
              <w:top w:val="nil"/>
              <w:left w:val="nil"/>
              <w:bottom w:val="single" w:sz="4" w:space="0" w:color="auto"/>
              <w:right w:val="single" w:sz="4" w:space="0" w:color="auto"/>
            </w:tcBorders>
          </w:tcPr>
          <w:p w:rsidR="00727D26" w:rsidRPr="008073FC" w:rsidRDefault="00727D26" w:rsidP="00A70D48">
            <w:pPr>
              <w:jc w:val="center"/>
              <w:rPr>
                <w:bCs/>
                <w:sz w:val="20"/>
                <w:szCs w:val="20"/>
              </w:rPr>
            </w:pPr>
            <w:r w:rsidRPr="008073FC">
              <w:rPr>
                <w:sz w:val="20"/>
                <w:szCs w:val="20"/>
              </w:rPr>
              <w:t>0,00</w:t>
            </w:r>
          </w:p>
        </w:tc>
        <w:tc>
          <w:tcPr>
            <w:tcW w:w="2220" w:type="dxa"/>
            <w:tcBorders>
              <w:top w:val="nil"/>
              <w:left w:val="nil"/>
              <w:bottom w:val="single" w:sz="4" w:space="0" w:color="auto"/>
              <w:right w:val="single" w:sz="4" w:space="0" w:color="auto"/>
            </w:tcBorders>
            <w:noWrap/>
            <w:vAlign w:val="bottom"/>
          </w:tcPr>
          <w:p w:rsidR="00727D26" w:rsidRPr="003C289B" w:rsidRDefault="00727D26" w:rsidP="00A70D48">
            <w:r w:rsidRPr="003C289B">
              <w:t> </w:t>
            </w:r>
          </w:p>
        </w:tc>
      </w:tr>
      <w:tr w:rsidR="00727D26" w:rsidRPr="003C289B" w:rsidTr="00A70D48">
        <w:trPr>
          <w:trHeight w:val="255"/>
        </w:trPr>
        <w:tc>
          <w:tcPr>
            <w:tcW w:w="7070" w:type="dxa"/>
            <w:tcBorders>
              <w:top w:val="nil"/>
              <w:left w:val="single" w:sz="4" w:space="0" w:color="auto"/>
              <w:bottom w:val="single" w:sz="4" w:space="0" w:color="auto"/>
              <w:right w:val="single" w:sz="4" w:space="0" w:color="auto"/>
            </w:tcBorders>
          </w:tcPr>
          <w:p w:rsidR="00727D26" w:rsidRPr="003C289B" w:rsidRDefault="00727D26" w:rsidP="00A70D48">
            <w:pPr>
              <w:rPr>
                <w:sz w:val="20"/>
                <w:szCs w:val="20"/>
              </w:rPr>
            </w:pPr>
            <w:r w:rsidRPr="003C289B">
              <w:rPr>
                <w:sz w:val="20"/>
                <w:szCs w:val="20"/>
              </w:rPr>
              <w:t xml:space="preserve">  Bežné transfery (640)</w:t>
            </w:r>
            <w:r w:rsidRPr="003C289B">
              <w:rPr>
                <w:sz w:val="20"/>
                <w:szCs w:val="20"/>
                <w:vertAlign w:val="superscript"/>
              </w:rPr>
              <w:t>2</w:t>
            </w:r>
          </w:p>
        </w:tc>
        <w:tc>
          <w:tcPr>
            <w:tcW w:w="1540" w:type="dxa"/>
            <w:tcBorders>
              <w:top w:val="nil"/>
              <w:left w:val="nil"/>
              <w:bottom w:val="single" w:sz="4" w:space="0" w:color="auto"/>
              <w:right w:val="single" w:sz="4" w:space="0" w:color="auto"/>
            </w:tcBorders>
          </w:tcPr>
          <w:p w:rsidR="00727D26" w:rsidRPr="008073FC" w:rsidRDefault="00727D26" w:rsidP="00A70D48">
            <w:pPr>
              <w:jc w:val="center"/>
              <w:rPr>
                <w:bCs/>
                <w:sz w:val="20"/>
                <w:szCs w:val="20"/>
              </w:rPr>
            </w:pPr>
            <w:r w:rsidRPr="008073FC">
              <w:rPr>
                <w:bCs/>
                <w:sz w:val="20"/>
                <w:szCs w:val="20"/>
              </w:rPr>
              <w:t>0,00</w:t>
            </w:r>
          </w:p>
        </w:tc>
        <w:tc>
          <w:tcPr>
            <w:tcW w:w="1540" w:type="dxa"/>
            <w:tcBorders>
              <w:top w:val="nil"/>
              <w:left w:val="nil"/>
              <w:bottom w:val="single" w:sz="4" w:space="0" w:color="auto"/>
              <w:right w:val="single" w:sz="4" w:space="0" w:color="auto"/>
            </w:tcBorders>
          </w:tcPr>
          <w:p w:rsidR="00727D26" w:rsidRPr="008073FC" w:rsidRDefault="00727D26" w:rsidP="00A70D48">
            <w:pPr>
              <w:jc w:val="center"/>
              <w:rPr>
                <w:bCs/>
                <w:sz w:val="20"/>
                <w:szCs w:val="20"/>
              </w:rPr>
            </w:pPr>
            <w:r w:rsidRPr="008073FC">
              <w:rPr>
                <w:sz w:val="20"/>
                <w:szCs w:val="20"/>
              </w:rPr>
              <w:t>0,00</w:t>
            </w:r>
          </w:p>
        </w:tc>
        <w:tc>
          <w:tcPr>
            <w:tcW w:w="1540" w:type="dxa"/>
            <w:tcBorders>
              <w:top w:val="nil"/>
              <w:left w:val="nil"/>
              <w:bottom w:val="single" w:sz="4" w:space="0" w:color="auto"/>
              <w:right w:val="single" w:sz="4" w:space="0" w:color="auto"/>
            </w:tcBorders>
          </w:tcPr>
          <w:p w:rsidR="00727D26" w:rsidRPr="008073FC" w:rsidRDefault="00727D26" w:rsidP="00A70D48">
            <w:pPr>
              <w:jc w:val="center"/>
              <w:rPr>
                <w:bCs/>
                <w:sz w:val="20"/>
                <w:szCs w:val="20"/>
              </w:rPr>
            </w:pPr>
            <w:r w:rsidRPr="008073FC">
              <w:rPr>
                <w:sz w:val="20"/>
                <w:szCs w:val="20"/>
              </w:rPr>
              <w:t>0,00</w:t>
            </w:r>
          </w:p>
        </w:tc>
        <w:tc>
          <w:tcPr>
            <w:tcW w:w="1540" w:type="dxa"/>
            <w:tcBorders>
              <w:top w:val="nil"/>
              <w:left w:val="nil"/>
              <w:bottom w:val="single" w:sz="4" w:space="0" w:color="auto"/>
              <w:right w:val="single" w:sz="4" w:space="0" w:color="auto"/>
            </w:tcBorders>
          </w:tcPr>
          <w:p w:rsidR="00727D26" w:rsidRPr="008073FC" w:rsidRDefault="00727D26" w:rsidP="00A70D48">
            <w:pPr>
              <w:jc w:val="center"/>
              <w:rPr>
                <w:bCs/>
                <w:sz w:val="20"/>
                <w:szCs w:val="20"/>
              </w:rPr>
            </w:pPr>
            <w:r w:rsidRPr="008073FC">
              <w:rPr>
                <w:sz w:val="20"/>
                <w:szCs w:val="20"/>
              </w:rPr>
              <w:t>0,00</w:t>
            </w:r>
          </w:p>
        </w:tc>
        <w:tc>
          <w:tcPr>
            <w:tcW w:w="2220" w:type="dxa"/>
            <w:tcBorders>
              <w:top w:val="nil"/>
              <w:left w:val="nil"/>
              <w:bottom w:val="single" w:sz="4" w:space="0" w:color="auto"/>
              <w:right w:val="single" w:sz="4" w:space="0" w:color="auto"/>
            </w:tcBorders>
            <w:noWrap/>
            <w:vAlign w:val="bottom"/>
          </w:tcPr>
          <w:p w:rsidR="00727D26" w:rsidRPr="003C289B" w:rsidRDefault="00727D26" w:rsidP="00A70D48">
            <w:r w:rsidRPr="003C289B">
              <w:t> </w:t>
            </w:r>
          </w:p>
        </w:tc>
      </w:tr>
      <w:tr w:rsidR="00727D26" w:rsidRPr="003C289B" w:rsidTr="00A70D48">
        <w:trPr>
          <w:trHeight w:val="255"/>
        </w:trPr>
        <w:tc>
          <w:tcPr>
            <w:tcW w:w="7070" w:type="dxa"/>
            <w:tcBorders>
              <w:top w:val="nil"/>
              <w:left w:val="single" w:sz="4" w:space="0" w:color="auto"/>
              <w:bottom w:val="single" w:sz="4" w:space="0" w:color="auto"/>
              <w:right w:val="single" w:sz="4" w:space="0" w:color="auto"/>
            </w:tcBorders>
            <w:vAlign w:val="center"/>
          </w:tcPr>
          <w:p w:rsidR="00727D26" w:rsidRPr="003C289B" w:rsidRDefault="00727D26" w:rsidP="00A70D48">
            <w:pPr>
              <w:rPr>
                <w:sz w:val="20"/>
                <w:szCs w:val="20"/>
              </w:rPr>
            </w:pPr>
            <w:r w:rsidRPr="003C289B">
              <w:rPr>
                <w:sz w:val="20"/>
                <w:szCs w:val="20"/>
              </w:rPr>
              <w:t xml:space="preserve">  Splácanie úrokov a ostatné platby súvisiace s </w:t>
            </w:r>
            <w:r w:rsidRPr="003C289B">
              <w:t xml:space="preserve"> </w:t>
            </w:r>
            <w:r w:rsidRPr="003C289B">
              <w:rPr>
                <w:sz w:val="20"/>
                <w:szCs w:val="20"/>
              </w:rPr>
              <w:t>úverom, pôžičkou, návratnou finančnou výpomocou a finančným prenájmom (650)</w:t>
            </w:r>
            <w:r w:rsidRPr="003C289B">
              <w:rPr>
                <w:sz w:val="20"/>
                <w:szCs w:val="20"/>
                <w:vertAlign w:val="superscript"/>
              </w:rPr>
              <w:t>2</w:t>
            </w:r>
          </w:p>
        </w:tc>
        <w:tc>
          <w:tcPr>
            <w:tcW w:w="1540" w:type="dxa"/>
            <w:tcBorders>
              <w:top w:val="nil"/>
              <w:left w:val="nil"/>
              <w:bottom w:val="single" w:sz="4" w:space="0" w:color="auto"/>
              <w:right w:val="single" w:sz="4" w:space="0" w:color="auto"/>
            </w:tcBorders>
          </w:tcPr>
          <w:p w:rsidR="00727D26" w:rsidRPr="008073FC" w:rsidRDefault="00727D26" w:rsidP="00A70D48">
            <w:pPr>
              <w:jc w:val="center"/>
              <w:rPr>
                <w:bCs/>
                <w:sz w:val="20"/>
                <w:szCs w:val="20"/>
              </w:rPr>
            </w:pPr>
            <w:r w:rsidRPr="008073FC">
              <w:rPr>
                <w:bCs/>
                <w:sz w:val="20"/>
                <w:szCs w:val="20"/>
              </w:rPr>
              <w:t>0,00</w:t>
            </w:r>
          </w:p>
        </w:tc>
        <w:tc>
          <w:tcPr>
            <w:tcW w:w="1540" w:type="dxa"/>
            <w:tcBorders>
              <w:top w:val="nil"/>
              <w:left w:val="nil"/>
              <w:bottom w:val="single" w:sz="4" w:space="0" w:color="auto"/>
              <w:right w:val="single" w:sz="4" w:space="0" w:color="auto"/>
            </w:tcBorders>
          </w:tcPr>
          <w:p w:rsidR="00727D26" w:rsidRPr="008073FC" w:rsidRDefault="00727D26" w:rsidP="00A70D48">
            <w:pPr>
              <w:jc w:val="center"/>
              <w:rPr>
                <w:bCs/>
                <w:sz w:val="20"/>
                <w:szCs w:val="20"/>
              </w:rPr>
            </w:pPr>
            <w:r w:rsidRPr="008073FC">
              <w:rPr>
                <w:sz w:val="20"/>
                <w:szCs w:val="20"/>
              </w:rPr>
              <w:t>0,00</w:t>
            </w:r>
          </w:p>
        </w:tc>
        <w:tc>
          <w:tcPr>
            <w:tcW w:w="1540" w:type="dxa"/>
            <w:tcBorders>
              <w:top w:val="nil"/>
              <w:left w:val="nil"/>
              <w:bottom w:val="single" w:sz="4" w:space="0" w:color="auto"/>
              <w:right w:val="single" w:sz="4" w:space="0" w:color="auto"/>
            </w:tcBorders>
          </w:tcPr>
          <w:p w:rsidR="00727D26" w:rsidRPr="008073FC" w:rsidRDefault="00727D26" w:rsidP="00A70D48">
            <w:pPr>
              <w:jc w:val="center"/>
              <w:rPr>
                <w:bCs/>
                <w:sz w:val="20"/>
                <w:szCs w:val="20"/>
              </w:rPr>
            </w:pPr>
            <w:r w:rsidRPr="008073FC">
              <w:rPr>
                <w:sz w:val="20"/>
                <w:szCs w:val="20"/>
              </w:rPr>
              <w:t>0,00</w:t>
            </w:r>
          </w:p>
        </w:tc>
        <w:tc>
          <w:tcPr>
            <w:tcW w:w="1540" w:type="dxa"/>
            <w:tcBorders>
              <w:top w:val="nil"/>
              <w:left w:val="nil"/>
              <w:bottom w:val="single" w:sz="4" w:space="0" w:color="auto"/>
              <w:right w:val="single" w:sz="4" w:space="0" w:color="auto"/>
            </w:tcBorders>
          </w:tcPr>
          <w:p w:rsidR="00727D26" w:rsidRPr="008073FC" w:rsidRDefault="00727D26" w:rsidP="00A70D48">
            <w:pPr>
              <w:jc w:val="center"/>
              <w:rPr>
                <w:bCs/>
                <w:sz w:val="20"/>
                <w:szCs w:val="20"/>
              </w:rPr>
            </w:pPr>
            <w:r w:rsidRPr="008073FC">
              <w:rPr>
                <w:sz w:val="20"/>
                <w:szCs w:val="20"/>
              </w:rPr>
              <w:t>0,00</w:t>
            </w:r>
          </w:p>
        </w:tc>
        <w:tc>
          <w:tcPr>
            <w:tcW w:w="2220" w:type="dxa"/>
            <w:tcBorders>
              <w:top w:val="nil"/>
              <w:left w:val="nil"/>
              <w:bottom w:val="single" w:sz="4" w:space="0" w:color="auto"/>
              <w:right w:val="single" w:sz="4" w:space="0" w:color="auto"/>
            </w:tcBorders>
            <w:noWrap/>
            <w:vAlign w:val="bottom"/>
          </w:tcPr>
          <w:p w:rsidR="00727D26" w:rsidRPr="003C289B" w:rsidRDefault="00727D26" w:rsidP="00A70D48"/>
        </w:tc>
      </w:tr>
      <w:tr w:rsidR="00727D26" w:rsidRPr="003C289B" w:rsidTr="00A70D48">
        <w:trPr>
          <w:trHeight w:val="255"/>
        </w:trPr>
        <w:tc>
          <w:tcPr>
            <w:tcW w:w="7070" w:type="dxa"/>
            <w:tcBorders>
              <w:top w:val="nil"/>
              <w:left w:val="single" w:sz="4" w:space="0" w:color="auto"/>
              <w:bottom w:val="single" w:sz="4" w:space="0" w:color="auto"/>
              <w:right w:val="single" w:sz="4" w:space="0" w:color="auto"/>
            </w:tcBorders>
          </w:tcPr>
          <w:p w:rsidR="00727D26" w:rsidRPr="003C289B" w:rsidRDefault="00727D26" w:rsidP="00A70D48">
            <w:pPr>
              <w:rPr>
                <w:b/>
                <w:bCs/>
                <w:sz w:val="20"/>
                <w:szCs w:val="20"/>
              </w:rPr>
            </w:pPr>
            <w:r w:rsidRPr="003C289B">
              <w:rPr>
                <w:b/>
                <w:bCs/>
                <w:sz w:val="20"/>
                <w:szCs w:val="20"/>
              </w:rPr>
              <w:t>Kapitálové výdavky (700)</w:t>
            </w:r>
          </w:p>
        </w:tc>
        <w:tc>
          <w:tcPr>
            <w:tcW w:w="1540" w:type="dxa"/>
            <w:tcBorders>
              <w:top w:val="nil"/>
              <w:left w:val="nil"/>
              <w:bottom w:val="single" w:sz="4" w:space="0" w:color="auto"/>
              <w:right w:val="single" w:sz="4" w:space="0" w:color="auto"/>
            </w:tcBorders>
          </w:tcPr>
          <w:p w:rsidR="00727D26" w:rsidRPr="00AE18E8" w:rsidRDefault="00727D26" w:rsidP="00A70D48">
            <w:pPr>
              <w:jc w:val="center"/>
              <w:rPr>
                <w:b/>
                <w:bCs/>
                <w:sz w:val="20"/>
                <w:szCs w:val="20"/>
              </w:rPr>
            </w:pPr>
            <w:r w:rsidRPr="00AE18E8">
              <w:rPr>
                <w:b/>
                <w:sz w:val="20"/>
                <w:szCs w:val="20"/>
              </w:rPr>
              <w:t>435</w:t>
            </w:r>
            <w:r>
              <w:rPr>
                <w:b/>
                <w:sz w:val="20"/>
                <w:szCs w:val="20"/>
              </w:rPr>
              <w:t> </w:t>
            </w:r>
            <w:r w:rsidRPr="00AE18E8">
              <w:rPr>
                <w:b/>
                <w:sz w:val="20"/>
                <w:szCs w:val="20"/>
              </w:rPr>
              <w:t>108</w:t>
            </w:r>
            <w:r>
              <w:rPr>
                <w:b/>
                <w:sz w:val="20"/>
                <w:szCs w:val="20"/>
              </w:rPr>
              <w:t>,00</w:t>
            </w:r>
          </w:p>
        </w:tc>
        <w:tc>
          <w:tcPr>
            <w:tcW w:w="1540" w:type="dxa"/>
            <w:tcBorders>
              <w:top w:val="nil"/>
              <w:left w:val="nil"/>
              <w:bottom w:val="single" w:sz="4" w:space="0" w:color="auto"/>
              <w:right w:val="single" w:sz="4" w:space="0" w:color="auto"/>
            </w:tcBorders>
          </w:tcPr>
          <w:p w:rsidR="00727D26" w:rsidRPr="00FC5D69" w:rsidRDefault="00727D26" w:rsidP="00A70D48">
            <w:pPr>
              <w:jc w:val="center"/>
              <w:rPr>
                <w:b/>
                <w:bCs/>
                <w:sz w:val="20"/>
                <w:szCs w:val="20"/>
              </w:rPr>
            </w:pPr>
            <w:r w:rsidRPr="00FC5D69">
              <w:rPr>
                <w:b/>
                <w:sz w:val="20"/>
                <w:szCs w:val="20"/>
              </w:rPr>
              <w:t>279</w:t>
            </w:r>
            <w:r>
              <w:rPr>
                <w:b/>
                <w:sz w:val="20"/>
                <w:szCs w:val="20"/>
              </w:rPr>
              <w:t> </w:t>
            </w:r>
            <w:r w:rsidRPr="00FC5D69">
              <w:rPr>
                <w:b/>
                <w:sz w:val="20"/>
                <w:szCs w:val="20"/>
              </w:rPr>
              <w:t>672</w:t>
            </w:r>
            <w:r>
              <w:rPr>
                <w:b/>
                <w:sz w:val="20"/>
                <w:szCs w:val="20"/>
              </w:rPr>
              <w:t>,00</w:t>
            </w:r>
          </w:p>
        </w:tc>
        <w:tc>
          <w:tcPr>
            <w:tcW w:w="1540" w:type="dxa"/>
            <w:tcBorders>
              <w:top w:val="nil"/>
              <w:left w:val="nil"/>
              <w:bottom w:val="single" w:sz="4" w:space="0" w:color="auto"/>
              <w:right w:val="single" w:sz="4" w:space="0" w:color="auto"/>
            </w:tcBorders>
          </w:tcPr>
          <w:p w:rsidR="00727D26" w:rsidRPr="003C289B" w:rsidRDefault="00727D26" w:rsidP="00A70D48">
            <w:pPr>
              <w:jc w:val="center"/>
              <w:rPr>
                <w:b/>
                <w:bCs/>
                <w:sz w:val="20"/>
                <w:szCs w:val="20"/>
              </w:rPr>
            </w:pPr>
            <w:r>
              <w:rPr>
                <w:b/>
                <w:bCs/>
                <w:sz w:val="20"/>
                <w:szCs w:val="20"/>
              </w:rPr>
              <w:t>0,00</w:t>
            </w:r>
          </w:p>
        </w:tc>
        <w:tc>
          <w:tcPr>
            <w:tcW w:w="1540" w:type="dxa"/>
            <w:tcBorders>
              <w:top w:val="nil"/>
              <w:left w:val="nil"/>
              <w:bottom w:val="single" w:sz="4" w:space="0" w:color="auto"/>
              <w:right w:val="single" w:sz="4" w:space="0" w:color="auto"/>
            </w:tcBorders>
          </w:tcPr>
          <w:p w:rsidR="00727D26" w:rsidRPr="003C289B" w:rsidRDefault="00727D26" w:rsidP="00A70D48">
            <w:pPr>
              <w:jc w:val="center"/>
              <w:rPr>
                <w:b/>
                <w:bCs/>
                <w:sz w:val="20"/>
                <w:szCs w:val="20"/>
              </w:rPr>
            </w:pPr>
            <w:r>
              <w:rPr>
                <w:b/>
                <w:bCs/>
                <w:sz w:val="20"/>
                <w:szCs w:val="20"/>
              </w:rPr>
              <w:t>0,00</w:t>
            </w:r>
          </w:p>
        </w:tc>
        <w:tc>
          <w:tcPr>
            <w:tcW w:w="2220" w:type="dxa"/>
            <w:tcBorders>
              <w:top w:val="nil"/>
              <w:left w:val="nil"/>
              <w:bottom w:val="single" w:sz="4" w:space="0" w:color="auto"/>
              <w:right w:val="single" w:sz="4" w:space="0" w:color="auto"/>
            </w:tcBorders>
            <w:noWrap/>
            <w:vAlign w:val="bottom"/>
          </w:tcPr>
          <w:p w:rsidR="00727D26" w:rsidRPr="003C289B" w:rsidRDefault="00727D26" w:rsidP="00A70D48">
            <w:r w:rsidRPr="003C289B">
              <w:t> </w:t>
            </w:r>
          </w:p>
        </w:tc>
      </w:tr>
      <w:tr w:rsidR="00727D26" w:rsidRPr="003C289B" w:rsidTr="00A70D48">
        <w:trPr>
          <w:trHeight w:val="255"/>
        </w:trPr>
        <w:tc>
          <w:tcPr>
            <w:tcW w:w="7070" w:type="dxa"/>
            <w:tcBorders>
              <w:top w:val="nil"/>
              <w:left w:val="single" w:sz="4" w:space="0" w:color="auto"/>
              <w:bottom w:val="single" w:sz="4" w:space="0" w:color="auto"/>
              <w:right w:val="single" w:sz="4" w:space="0" w:color="auto"/>
            </w:tcBorders>
          </w:tcPr>
          <w:p w:rsidR="00727D26" w:rsidRPr="003C289B" w:rsidRDefault="00727D26" w:rsidP="00A70D48">
            <w:pPr>
              <w:rPr>
                <w:sz w:val="20"/>
                <w:szCs w:val="20"/>
              </w:rPr>
            </w:pPr>
            <w:r w:rsidRPr="003C289B">
              <w:rPr>
                <w:sz w:val="20"/>
                <w:szCs w:val="20"/>
              </w:rPr>
              <w:t xml:space="preserve">  Obstarávanie kapitálových aktív (710)</w:t>
            </w:r>
            <w:r w:rsidRPr="003C289B">
              <w:rPr>
                <w:sz w:val="20"/>
                <w:szCs w:val="20"/>
                <w:vertAlign w:val="superscript"/>
              </w:rPr>
              <w:t>2</w:t>
            </w:r>
          </w:p>
        </w:tc>
        <w:tc>
          <w:tcPr>
            <w:tcW w:w="1540" w:type="dxa"/>
            <w:tcBorders>
              <w:top w:val="nil"/>
              <w:left w:val="nil"/>
              <w:bottom w:val="single" w:sz="4" w:space="0" w:color="auto"/>
              <w:right w:val="single" w:sz="4" w:space="0" w:color="auto"/>
            </w:tcBorders>
          </w:tcPr>
          <w:p w:rsidR="00727D26" w:rsidRPr="008073FC" w:rsidRDefault="00727D26" w:rsidP="00A70D48">
            <w:pPr>
              <w:jc w:val="center"/>
              <w:rPr>
                <w:bCs/>
                <w:sz w:val="20"/>
                <w:szCs w:val="20"/>
              </w:rPr>
            </w:pPr>
            <w:r w:rsidRPr="008073FC">
              <w:rPr>
                <w:sz w:val="20"/>
                <w:szCs w:val="20"/>
              </w:rPr>
              <w:t>435 108,00</w:t>
            </w:r>
          </w:p>
        </w:tc>
        <w:tc>
          <w:tcPr>
            <w:tcW w:w="1540" w:type="dxa"/>
            <w:tcBorders>
              <w:top w:val="nil"/>
              <w:left w:val="nil"/>
              <w:bottom w:val="single" w:sz="4" w:space="0" w:color="auto"/>
              <w:right w:val="single" w:sz="4" w:space="0" w:color="auto"/>
            </w:tcBorders>
          </w:tcPr>
          <w:p w:rsidR="00727D26" w:rsidRPr="008073FC" w:rsidRDefault="00727D26" w:rsidP="00A70D48">
            <w:pPr>
              <w:jc w:val="center"/>
              <w:rPr>
                <w:bCs/>
                <w:sz w:val="20"/>
                <w:szCs w:val="20"/>
              </w:rPr>
            </w:pPr>
            <w:r w:rsidRPr="008073FC">
              <w:rPr>
                <w:sz w:val="20"/>
                <w:szCs w:val="20"/>
              </w:rPr>
              <w:t>279 672,00</w:t>
            </w:r>
          </w:p>
        </w:tc>
        <w:tc>
          <w:tcPr>
            <w:tcW w:w="1540" w:type="dxa"/>
            <w:tcBorders>
              <w:top w:val="nil"/>
              <w:left w:val="nil"/>
              <w:bottom w:val="single" w:sz="4" w:space="0" w:color="auto"/>
              <w:right w:val="single" w:sz="4" w:space="0" w:color="auto"/>
            </w:tcBorders>
          </w:tcPr>
          <w:p w:rsidR="00727D26" w:rsidRPr="003C289B" w:rsidRDefault="00727D26" w:rsidP="00A70D48">
            <w:pPr>
              <w:jc w:val="center"/>
              <w:rPr>
                <w:b/>
                <w:bCs/>
                <w:sz w:val="20"/>
                <w:szCs w:val="20"/>
              </w:rPr>
            </w:pPr>
            <w:r>
              <w:rPr>
                <w:b/>
                <w:bCs/>
                <w:sz w:val="20"/>
                <w:szCs w:val="20"/>
              </w:rPr>
              <w:t>0,00</w:t>
            </w:r>
          </w:p>
        </w:tc>
        <w:tc>
          <w:tcPr>
            <w:tcW w:w="1540" w:type="dxa"/>
            <w:tcBorders>
              <w:top w:val="nil"/>
              <w:left w:val="nil"/>
              <w:bottom w:val="single" w:sz="4" w:space="0" w:color="auto"/>
              <w:right w:val="single" w:sz="4" w:space="0" w:color="auto"/>
            </w:tcBorders>
          </w:tcPr>
          <w:p w:rsidR="00727D26" w:rsidRPr="003C289B" w:rsidRDefault="00727D26" w:rsidP="00A70D48">
            <w:pPr>
              <w:jc w:val="center"/>
              <w:rPr>
                <w:b/>
                <w:bCs/>
                <w:sz w:val="20"/>
                <w:szCs w:val="20"/>
              </w:rPr>
            </w:pPr>
            <w:r>
              <w:rPr>
                <w:b/>
                <w:bCs/>
                <w:sz w:val="20"/>
                <w:szCs w:val="20"/>
              </w:rPr>
              <w:t>0,00</w:t>
            </w:r>
          </w:p>
        </w:tc>
        <w:tc>
          <w:tcPr>
            <w:tcW w:w="2220" w:type="dxa"/>
            <w:tcBorders>
              <w:top w:val="nil"/>
              <w:left w:val="nil"/>
              <w:bottom w:val="single" w:sz="4" w:space="0" w:color="auto"/>
              <w:right w:val="single" w:sz="4" w:space="0" w:color="auto"/>
            </w:tcBorders>
            <w:noWrap/>
            <w:vAlign w:val="bottom"/>
          </w:tcPr>
          <w:p w:rsidR="00727D26" w:rsidRPr="003C289B" w:rsidRDefault="00727D26" w:rsidP="00A70D48">
            <w:r w:rsidRPr="003C289B">
              <w:t> </w:t>
            </w:r>
          </w:p>
        </w:tc>
      </w:tr>
      <w:tr w:rsidR="00727D26" w:rsidRPr="003C289B" w:rsidTr="00A70D48">
        <w:trPr>
          <w:trHeight w:val="255"/>
        </w:trPr>
        <w:tc>
          <w:tcPr>
            <w:tcW w:w="7070" w:type="dxa"/>
            <w:tcBorders>
              <w:top w:val="nil"/>
              <w:left w:val="single" w:sz="4" w:space="0" w:color="auto"/>
              <w:bottom w:val="single" w:sz="4" w:space="0" w:color="auto"/>
              <w:right w:val="single" w:sz="4" w:space="0" w:color="auto"/>
            </w:tcBorders>
          </w:tcPr>
          <w:p w:rsidR="00727D26" w:rsidRPr="003C289B" w:rsidRDefault="00727D26" w:rsidP="00A70D48">
            <w:pPr>
              <w:rPr>
                <w:sz w:val="20"/>
                <w:szCs w:val="20"/>
              </w:rPr>
            </w:pPr>
            <w:r>
              <w:rPr>
                <w:sz w:val="20"/>
                <w:szCs w:val="20"/>
              </w:rPr>
              <w:t xml:space="preserve">      RE EKRK 718 Rekonštrukcia a modernizácia</w:t>
            </w:r>
          </w:p>
        </w:tc>
        <w:tc>
          <w:tcPr>
            <w:tcW w:w="1540" w:type="dxa"/>
            <w:tcBorders>
              <w:top w:val="nil"/>
              <w:left w:val="nil"/>
              <w:bottom w:val="single" w:sz="4" w:space="0" w:color="auto"/>
              <w:right w:val="single" w:sz="4" w:space="0" w:color="auto"/>
            </w:tcBorders>
          </w:tcPr>
          <w:p w:rsidR="00727D26" w:rsidRPr="008073FC" w:rsidRDefault="00727D26" w:rsidP="00A70D48">
            <w:pPr>
              <w:jc w:val="center"/>
              <w:rPr>
                <w:bCs/>
                <w:sz w:val="20"/>
                <w:szCs w:val="20"/>
              </w:rPr>
            </w:pPr>
            <w:r w:rsidRPr="008073FC">
              <w:rPr>
                <w:sz w:val="20"/>
                <w:szCs w:val="20"/>
              </w:rPr>
              <w:t>435 108,00</w:t>
            </w:r>
          </w:p>
        </w:tc>
        <w:tc>
          <w:tcPr>
            <w:tcW w:w="1540" w:type="dxa"/>
            <w:tcBorders>
              <w:top w:val="nil"/>
              <w:left w:val="nil"/>
              <w:bottom w:val="single" w:sz="4" w:space="0" w:color="auto"/>
              <w:right w:val="single" w:sz="4" w:space="0" w:color="auto"/>
            </w:tcBorders>
          </w:tcPr>
          <w:p w:rsidR="00727D26" w:rsidRPr="008073FC" w:rsidRDefault="00727D26" w:rsidP="00A70D48">
            <w:pPr>
              <w:jc w:val="center"/>
              <w:rPr>
                <w:bCs/>
                <w:sz w:val="20"/>
                <w:szCs w:val="20"/>
              </w:rPr>
            </w:pPr>
            <w:r w:rsidRPr="008073FC">
              <w:rPr>
                <w:sz w:val="20"/>
                <w:szCs w:val="20"/>
              </w:rPr>
              <w:t>279 672,00</w:t>
            </w:r>
          </w:p>
        </w:tc>
        <w:tc>
          <w:tcPr>
            <w:tcW w:w="1540" w:type="dxa"/>
            <w:tcBorders>
              <w:top w:val="nil"/>
              <w:left w:val="nil"/>
              <w:bottom w:val="single" w:sz="4" w:space="0" w:color="auto"/>
              <w:right w:val="single" w:sz="4" w:space="0" w:color="auto"/>
            </w:tcBorders>
          </w:tcPr>
          <w:p w:rsidR="00727D26" w:rsidRPr="003C289B" w:rsidRDefault="00727D26" w:rsidP="00A70D48">
            <w:pPr>
              <w:jc w:val="center"/>
              <w:rPr>
                <w:b/>
                <w:bCs/>
                <w:sz w:val="20"/>
                <w:szCs w:val="20"/>
              </w:rPr>
            </w:pPr>
            <w:r>
              <w:rPr>
                <w:b/>
                <w:bCs/>
                <w:sz w:val="20"/>
                <w:szCs w:val="20"/>
              </w:rPr>
              <w:t>0,00</w:t>
            </w:r>
          </w:p>
        </w:tc>
        <w:tc>
          <w:tcPr>
            <w:tcW w:w="1540" w:type="dxa"/>
            <w:tcBorders>
              <w:top w:val="nil"/>
              <w:left w:val="nil"/>
              <w:bottom w:val="single" w:sz="4" w:space="0" w:color="auto"/>
              <w:right w:val="single" w:sz="4" w:space="0" w:color="auto"/>
            </w:tcBorders>
          </w:tcPr>
          <w:p w:rsidR="00727D26" w:rsidRPr="003C289B" w:rsidRDefault="00727D26" w:rsidP="00A70D48">
            <w:pPr>
              <w:jc w:val="center"/>
              <w:rPr>
                <w:b/>
                <w:bCs/>
                <w:sz w:val="20"/>
                <w:szCs w:val="20"/>
              </w:rPr>
            </w:pPr>
            <w:r>
              <w:rPr>
                <w:b/>
                <w:bCs/>
                <w:sz w:val="20"/>
                <w:szCs w:val="20"/>
              </w:rPr>
              <w:t>0,00</w:t>
            </w:r>
          </w:p>
        </w:tc>
        <w:tc>
          <w:tcPr>
            <w:tcW w:w="2220" w:type="dxa"/>
            <w:tcBorders>
              <w:top w:val="nil"/>
              <w:left w:val="nil"/>
              <w:bottom w:val="single" w:sz="4" w:space="0" w:color="auto"/>
              <w:right w:val="single" w:sz="4" w:space="0" w:color="auto"/>
            </w:tcBorders>
            <w:noWrap/>
            <w:vAlign w:val="bottom"/>
          </w:tcPr>
          <w:p w:rsidR="00727D26" w:rsidRPr="003C289B" w:rsidRDefault="00727D26" w:rsidP="00A70D48"/>
        </w:tc>
      </w:tr>
      <w:tr w:rsidR="00727D26" w:rsidRPr="003C289B" w:rsidTr="00A70D48">
        <w:trPr>
          <w:trHeight w:val="255"/>
        </w:trPr>
        <w:tc>
          <w:tcPr>
            <w:tcW w:w="7070" w:type="dxa"/>
            <w:tcBorders>
              <w:top w:val="nil"/>
              <w:left w:val="single" w:sz="4" w:space="0" w:color="auto"/>
              <w:bottom w:val="single" w:sz="4" w:space="0" w:color="auto"/>
              <w:right w:val="single" w:sz="4" w:space="0" w:color="auto"/>
            </w:tcBorders>
          </w:tcPr>
          <w:p w:rsidR="00727D26" w:rsidRPr="003C289B" w:rsidRDefault="00727D26" w:rsidP="00A70D48">
            <w:pPr>
              <w:rPr>
                <w:sz w:val="20"/>
                <w:szCs w:val="20"/>
              </w:rPr>
            </w:pPr>
            <w:r w:rsidRPr="003C289B">
              <w:rPr>
                <w:sz w:val="20"/>
                <w:szCs w:val="20"/>
              </w:rPr>
              <w:t xml:space="preserve">  Kapitálové transfery (720)</w:t>
            </w:r>
            <w:r w:rsidRPr="003C289B">
              <w:rPr>
                <w:sz w:val="20"/>
                <w:szCs w:val="20"/>
                <w:vertAlign w:val="superscript"/>
              </w:rPr>
              <w:t>2</w:t>
            </w:r>
          </w:p>
        </w:tc>
        <w:tc>
          <w:tcPr>
            <w:tcW w:w="1540" w:type="dxa"/>
            <w:tcBorders>
              <w:top w:val="nil"/>
              <w:left w:val="nil"/>
              <w:bottom w:val="single" w:sz="4" w:space="0" w:color="auto"/>
              <w:right w:val="single" w:sz="4" w:space="0" w:color="auto"/>
            </w:tcBorders>
          </w:tcPr>
          <w:p w:rsidR="00727D26" w:rsidRPr="00AE18E8" w:rsidRDefault="00727D26" w:rsidP="00A70D48">
            <w:pPr>
              <w:jc w:val="center"/>
              <w:rPr>
                <w:b/>
                <w:bCs/>
                <w:sz w:val="20"/>
                <w:szCs w:val="20"/>
              </w:rPr>
            </w:pPr>
            <w:r>
              <w:rPr>
                <w:b/>
                <w:sz w:val="20"/>
                <w:szCs w:val="20"/>
              </w:rPr>
              <w:t>0,00</w:t>
            </w:r>
          </w:p>
        </w:tc>
        <w:tc>
          <w:tcPr>
            <w:tcW w:w="1540" w:type="dxa"/>
            <w:tcBorders>
              <w:top w:val="nil"/>
              <w:left w:val="nil"/>
              <w:bottom w:val="single" w:sz="4" w:space="0" w:color="auto"/>
              <w:right w:val="single" w:sz="4" w:space="0" w:color="auto"/>
            </w:tcBorders>
          </w:tcPr>
          <w:p w:rsidR="00727D26" w:rsidRPr="00FC5D69" w:rsidRDefault="00727D26" w:rsidP="00A70D48">
            <w:pPr>
              <w:jc w:val="center"/>
              <w:rPr>
                <w:b/>
                <w:bCs/>
                <w:sz w:val="20"/>
                <w:szCs w:val="20"/>
              </w:rPr>
            </w:pPr>
            <w:r>
              <w:rPr>
                <w:b/>
                <w:sz w:val="20"/>
                <w:szCs w:val="20"/>
              </w:rPr>
              <w:t>0,00</w:t>
            </w:r>
          </w:p>
        </w:tc>
        <w:tc>
          <w:tcPr>
            <w:tcW w:w="1540" w:type="dxa"/>
            <w:tcBorders>
              <w:top w:val="nil"/>
              <w:left w:val="nil"/>
              <w:bottom w:val="single" w:sz="4" w:space="0" w:color="auto"/>
              <w:right w:val="single" w:sz="4" w:space="0" w:color="auto"/>
            </w:tcBorders>
          </w:tcPr>
          <w:p w:rsidR="00727D26" w:rsidRPr="003C289B" w:rsidRDefault="00727D26" w:rsidP="00A70D48">
            <w:pPr>
              <w:jc w:val="center"/>
              <w:rPr>
                <w:b/>
                <w:bCs/>
                <w:sz w:val="20"/>
                <w:szCs w:val="20"/>
              </w:rPr>
            </w:pPr>
            <w:r>
              <w:rPr>
                <w:b/>
                <w:bCs/>
                <w:sz w:val="20"/>
                <w:szCs w:val="20"/>
              </w:rPr>
              <w:t>0,00</w:t>
            </w:r>
          </w:p>
        </w:tc>
        <w:tc>
          <w:tcPr>
            <w:tcW w:w="1540" w:type="dxa"/>
            <w:tcBorders>
              <w:top w:val="nil"/>
              <w:left w:val="nil"/>
              <w:bottom w:val="single" w:sz="4" w:space="0" w:color="auto"/>
              <w:right w:val="single" w:sz="4" w:space="0" w:color="auto"/>
            </w:tcBorders>
          </w:tcPr>
          <w:p w:rsidR="00727D26" w:rsidRPr="003C289B" w:rsidRDefault="00727D26" w:rsidP="00A70D48">
            <w:pPr>
              <w:jc w:val="center"/>
              <w:rPr>
                <w:b/>
                <w:bCs/>
                <w:sz w:val="20"/>
                <w:szCs w:val="20"/>
              </w:rPr>
            </w:pPr>
            <w:r>
              <w:rPr>
                <w:b/>
                <w:bCs/>
                <w:sz w:val="20"/>
                <w:szCs w:val="20"/>
              </w:rPr>
              <w:t>0,00</w:t>
            </w:r>
          </w:p>
        </w:tc>
        <w:tc>
          <w:tcPr>
            <w:tcW w:w="2220" w:type="dxa"/>
            <w:tcBorders>
              <w:top w:val="nil"/>
              <w:left w:val="nil"/>
              <w:bottom w:val="single" w:sz="4" w:space="0" w:color="auto"/>
              <w:right w:val="single" w:sz="4" w:space="0" w:color="auto"/>
            </w:tcBorders>
            <w:noWrap/>
            <w:vAlign w:val="bottom"/>
          </w:tcPr>
          <w:p w:rsidR="00727D26" w:rsidRPr="003C289B" w:rsidRDefault="00727D26" w:rsidP="00A70D48">
            <w:r w:rsidRPr="003C289B">
              <w:t> </w:t>
            </w:r>
          </w:p>
        </w:tc>
      </w:tr>
      <w:tr w:rsidR="00727D26" w:rsidRPr="003C289B" w:rsidTr="00727D26">
        <w:trPr>
          <w:trHeight w:val="255"/>
        </w:trPr>
        <w:tc>
          <w:tcPr>
            <w:tcW w:w="7070" w:type="dxa"/>
            <w:tcBorders>
              <w:top w:val="nil"/>
              <w:left w:val="single" w:sz="4" w:space="0" w:color="auto"/>
              <w:bottom w:val="single" w:sz="4" w:space="0" w:color="auto"/>
              <w:right w:val="single" w:sz="4" w:space="0" w:color="auto"/>
            </w:tcBorders>
            <w:shd w:val="clear" w:color="auto" w:fill="FFFFFF"/>
          </w:tcPr>
          <w:p w:rsidR="00727D26" w:rsidRPr="003C289B" w:rsidRDefault="00727D26" w:rsidP="00A70D48">
            <w:pPr>
              <w:rPr>
                <w:b/>
                <w:bCs/>
                <w:sz w:val="20"/>
                <w:szCs w:val="20"/>
              </w:rPr>
            </w:pPr>
            <w:r w:rsidRPr="003C289B">
              <w:rPr>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FF"/>
          </w:tcPr>
          <w:p w:rsidR="00727D26" w:rsidRPr="00AE18E8" w:rsidRDefault="00727D26" w:rsidP="00A70D48">
            <w:pPr>
              <w:jc w:val="center"/>
              <w:rPr>
                <w:b/>
                <w:bCs/>
                <w:sz w:val="20"/>
                <w:szCs w:val="20"/>
              </w:rPr>
            </w:pPr>
            <w:r>
              <w:rPr>
                <w:b/>
                <w:sz w:val="20"/>
                <w:szCs w:val="20"/>
              </w:rPr>
              <w:t>0,00</w:t>
            </w:r>
          </w:p>
        </w:tc>
        <w:tc>
          <w:tcPr>
            <w:tcW w:w="1540" w:type="dxa"/>
            <w:tcBorders>
              <w:top w:val="nil"/>
              <w:left w:val="nil"/>
              <w:bottom w:val="single" w:sz="4" w:space="0" w:color="auto"/>
              <w:right w:val="single" w:sz="4" w:space="0" w:color="auto"/>
            </w:tcBorders>
            <w:shd w:val="clear" w:color="auto" w:fill="FFFFFF"/>
          </w:tcPr>
          <w:p w:rsidR="00727D26" w:rsidRPr="00FC5D69" w:rsidRDefault="00727D26" w:rsidP="00A70D48">
            <w:pPr>
              <w:jc w:val="center"/>
              <w:rPr>
                <w:b/>
                <w:bCs/>
                <w:sz w:val="20"/>
                <w:szCs w:val="20"/>
              </w:rPr>
            </w:pPr>
            <w:r>
              <w:rPr>
                <w:b/>
                <w:sz w:val="20"/>
                <w:szCs w:val="20"/>
              </w:rPr>
              <w:t>0,00</w:t>
            </w:r>
          </w:p>
        </w:tc>
        <w:tc>
          <w:tcPr>
            <w:tcW w:w="1540" w:type="dxa"/>
            <w:tcBorders>
              <w:top w:val="nil"/>
              <w:left w:val="nil"/>
              <w:bottom w:val="single" w:sz="4" w:space="0" w:color="auto"/>
              <w:right w:val="single" w:sz="4" w:space="0" w:color="auto"/>
            </w:tcBorders>
            <w:shd w:val="clear" w:color="auto" w:fill="FFFFFF"/>
          </w:tcPr>
          <w:p w:rsidR="00727D26" w:rsidRPr="003C289B" w:rsidRDefault="00727D26" w:rsidP="00A70D48">
            <w:pPr>
              <w:jc w:val="center"/>
              <w:rPr>
                <w:b/>
                <w:bCs/>
                <w:sz w:val="20"/>
                <w:szCs w:val="20"/>
              </w:rPr>
            </w:pPr>
            <w:r>
              <w:rPr>
                <w:b/>
                <w:bCs/>
                <w:sz w:val="20"/>
                <w:szCs w:val="20"/>
              </w:rPr>
              <w:t>0,00</w:t>
            </w:r>
          </w:p>
        </w:tc>
        <w:tc>
          <w:tcPr>
            <w:tcW w:w="1540" w:type="dxa"/>
            <w:tcBorders>
              <w:top w:val="nil"/>
              <w:left w:val="nil"/>
              <w:bottom w:val="single" w:sz="4" w:space="0" w:color="auto"/>
              <w:right w:val="single" w:sz="4" w:space="0" w:color="auto"/>
            </w:tcBorders>
            <w:shd w:val="clear" w:color="auto" w:fill="FFFFFF"/>
          </w:tcPr>
          <w:p w:rsidR="00727D26" w:rsidRPr="003C289B" w:rsidRDefault="00727D26" w:rsidP="00A70D48">
            <w:pPr>
              <w:jc w:val="center"/>
              <w:rPr>
                <w:b/>
                <w:bCs/>
                <w:sz w:val="20"/>
                <w:szCs w:val="20"/>
              </w:rPr>
            </w:pPr>
            <w:r>
              <w:rPr>
                <w:b/>
                <w:bCs/>
                <w:sz w:val="20"/>
                <w:szCs w:val="20"/>
              </w:rPr>
              <w:t>0,00</w:t>
            </w:r>
          </w:p>
        </w:tc>
        <w:tc>
          <w:tcPr>
            <w:tcW w:w="2220" w:type="dxa"/>
            <w:tcBorders>
              <w:top w:val="nil"/>
              <w:left w:val="nil"/>
              <w:bottom w:val="single" w:sz="4" w:space="0" w:color="auto"/>
              <w:right w:val="single" w:sz="4" w:space="0" w:color="auto"/>
            </w:tcBorders>
            <w:shd w:val="clear" w:color="auto" w:fill="FFFFFF"/>
            <w:noWrap/>
            <w:vAlign w:val="bottom"/>
          </w:tcPr>
          <w:p w:rsidR="00727D26" w:rsidRPr="003C289B" w:rsidRDefault="00727D26" w:rsidP="00A70D48">
            <w:r w:rsidRPr="003C289B">
              <w:t> </w:t>
            </w:r>
          </w:p>
        </w:tc>
      </w:tr>
      <w:tr w:rsidR="00727D26" w:rsidRPr="003C289B" w:rsidTr="00727D26">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rsidR="00727D26" w:rsidRPr="003C289B" w:rsidRDefault="00727D26" w:rsidP="00A70D48">
            <w:pPr>
              <w:rPr>
                <w:b/>
                <w:bCs/>
                <w:sz w:val="20"/>
                <w:szCs w:val="20"/>
              </w:rPr>
            </w:pPr>
            <w:r w:rsidRPr="003C289B">
              <w:rPr>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cPr>
          <w:p w:rsidR="00727D26" w:rsidRPr="00AE18E8" w:rsidRDefault="00727D26" w:rsidP="00A70D48">
            <w:pPr>
              <w:jc w:val="center"/>
              <w:rPr>
                <w:b/>
                <w:bCs/>
                <w:sz w:val="20"/>
                <w:szCs w:val="20"/>
              </w:rPr>
            </w:pPr>
            <w:r w:rsidRPr="00AE18E8">
              <w:rPr>
                <w:b/>
                <w:sz w:val="20"/>
                <w:szCs w:val="20"/>
              </w:rPr>
              <w:t>435</w:t>
            </w:r>
            <w:r>
              <w:rPr>
                <w:b/>
                <w:sz w:val="20"/>
                <w:szCs w:val="20"/>
              </w:rPr>
              <w:t> </w:t>
            </w:r>
            <w:r w:rsidRPr="00AE18E8">
              <w:rPr>
                <w:b/>
                <w:sz w:val="20"/>
                <w:szCs w:val="20"/>
              </w:rPr>
              <w:t>108</w:t>
            </w:r>
            <w:r>
              <w:rPr>
                <w:b/>
                <w:sz w:val="20"/>
                <w:szCs w:val="20"/>
              </w:rPr>
              <w:t>,00</w:t>
            </w:r>
          </w:p>
        </w:tc>
        <w:tc>
          <w:tcPr>
            <w:tcW w:w="1540" w:type="dxa"/>
            <w:tcBorders>
              <w:top w:val="single" w:sz="4" w:space="0" w:color="auto"/>
              <w:left w:val="nil"/>
              <w:bottom w:val="single" w:sz="4" w:space="0" w:color="auto"/>
              <w:right w:val="single" w:sz="4" w:space="0" w:color="auto"/>
            </w:tcBorders>
            <w:shd w:val="clear" w:color="auto" w:fill="BFBFBF"/>
          </w:tcPr>
          <w:p w:rsidR="00727D26" w:rsidRPr="00FC5D69" w:rsidRDefault="00727D26" w:rsidP="00A70D48">
            <w:pPr>
              <w:jc w:val="center"/>
              <w:rPr>
                <w:b/>
                <w:bCs/>
                <w:sz w:val="20"/>
                <w:szCs w:val="20"/>
              </w:rPr>
            </w:pPr>
            <w:r w:rsidRPr="00FC5D69">
              <w:rPr>
                <w:b/>
                <w:sz w:val="20"/>
                <w:szCs w:val="20"/>
              </w:rPr>
              <w:t>279</w:t>
            </w:r>
            <w:r>
              <w:rPr>
                <w:b/>
                <w:sz w:val="20"/>
                <w:szCs w:val="20"/>
              </w:rPr>
              <w:t> </w:t>
            </w:r>
            <w:r w:rsidRPr="00FC5D69">
              <w:rPr>
                <w:b/>
                <w:sz w:val="20"/>
                <w:szCs w:val="20"/>
              </w:rPr>
              <w:t>672</w:t>
            </w:r>
            <w:r>
              <w:rPr>
                <w:b/>
                <w:sz w:val="20"/>
                <w:szCs w:val="20"/>
              </w:rPr>
              <w:t>,00</w:t>
            </w:r>
          </w:p>
        </w:tc>
        <w:tc>
          <w:tcPr>
            <w:tcW w:w="1540" w:type="dxa"/>
            <w:tcBorders>
              <w:top w:val="single" w:sz="4" w:space="0" w:color="auto"/>
              <w:left w:val="nil"/>
              <w:bottom w:val="single" w:sz="4" w:space="0" w:color="auto"/>
              <w:right w:val="single" w:sz="4" w:space="0" w:color="auto"/>
            </w:tcBorders>
            <w:shd w:val="clear" w:color="auto" w:fill="BFBFBF"/>
          </w:tcPr>
          <w:p w:rsidR="00727D26" w:rsidRPr="003C289B" w:rsidRDefault="00727D26" w:rsidP="00A70D48">
            <w:pPr>
              <w:jc w:val="center"/>
              <w:rPr>
                <w:b/>
                <w:bCs/>
                <w:sz w:val="20"/>
                <w:szCs w:val="20"/>
              </w:rPr>
            </w:pPr>
            <w:r>
              <w:rPr>
                <w:b/>
                <w:bCs/>
                <w:sz w:val="20"/>
                <w:szCs w:val="20"/>
              </w:rPr>
              <w:t>0,00</w:t>
            </w:r>
          </w:p>
        </w:tc>
        <w:tc>
          <w:tcPr>
            <w:tcW w:w="1540" w:type="dxa"/>
            <w:tcBorders>
              <w:top w:val="single" w:sz="4" w:space="0" w:color="auto"/>
              <w:left w:val="nil"/>
              <w:bottom w:val="single" w:sz="4" w:space="0" w:color="auto"/>
              <w:right w:val="single" w:sz="4" w:space="0" w:color="auto"/>
            </w:tcBorders>
            <w:shd w:val="clear" w:color="auto" w:fill="BFBFBF"/>
          </w:tcPr>
          <w:p w:rsidR="00727D26" w:rsidRPr="003C289B" w:rsidRDefault="00727D26" w:rsidP="00A70D48">
            <w:pPr>
              <w:jc w:val="center"/>
              <w:rPr>
                <w:b/>
                <w:bCs/>
                <w:sz w:val="20"/>
                <w:szCs w:val="20"/>
              </w:rPr>
            </w:pPr>
            <w:r>
              <w:rPr>
                <w:b/>
                <w:bCs/>
                <w:sz w:val="20"/>
                <w:szCs w:val="20"/>
              </w:rPr>
              <w:t>0,00</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rsidR="00727D26" w:rsidRPr="003C289B" w:rsidRDefault="00727D26" w:rsidP="00A70D48">
            <w:r w:rsidRPr="003C289B">
              <w:t> </w:t>
            </w:r>
          </w:p>
        </w:tc>
      </w:tr>
    </w:tbl>
    <w:p w:rsidR="00727D26" w:rsidRPr="007D5748" w:rsidRDefault="00727D26" w:rsidP="00727D26">
      <w:pPr>
        <w:tabs>
          <w:tab w:val="num" w:pos="1080"/>
        </w:tabs>
        <w:ind w:left="-900"/>
        <w:jc w:val="both"/>
        <w:rPr>
          <w:bCs/>
          <w:sz w:val="20"/>
          <w:szCs w:val="20"/>
        </w:rPr>
      </w:pPr>
    </w:p>
    <w:p w:rsidR="00727D26" w:rsidRDefault="00727D26" w:rsidP="00727D26">
      <w:pPr>
        <w:tabs>
          <w:tab w:val="num" w:pos="1080"/>
        </w:tabs>
        <w:jc w:val="right"/>
        <w:rPr>
          <w:bCs/>
        </w:rPr>
      </w:pPr>
      <w:r>
        <w:rPr>
          <w:bCs/>
        </w:rPr>
        <w:lastRenderedPageBreak/>
        <w:t xml:space="preserve">                 Tabuľka č. 5</w:t>
      </w:r>
    </w:p>
    <w:p w:rsidR="00727D26" w:rsidRPr="00D3116B" w:rsidRDefault="00727D26" w:rsidP="00727D26">
      <w:pPr>
        <w:tabs>
          <w:tab w:val="num" w:pos="1080"/>
        </w:tabs>
        <w:jc w:val="both"/>
        <w:rPr>
          <w:bCs/>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727D26" w:rsidRPr="007D5748" w:rsidTr="00727D26">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727D26" w:rsidRPr="007D5748" w:rsidRDefault="00727D26" w:rsidP="00A70D48">
            <w:pPr>
              <w:jc w:val="center"/>
              <w:rPr>
                <w:b/>
                <w:bCs/>
              </w:rPr>
            </w:pPr>
            <w:r w:rsidRPr="007D5748">
              <w:rPr>
                <w:b/>
                <w:bCs/>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cPr>
          <w:p w:rsidR="00727D26" w:rsidRPr="007D5748" w:rsidRDefault="00727D26" w:rsidP="00A70D48">
            <w:pPr>
              <w:jc w:val="center"/>
              <w:rPr>
                <w:b/>
                <w:bCs/>
              </w:rPr>
            </w:pPr>
            <w:r w:rsidRPr="007D5748">
              <w:rPr>
                <w:b/>
                <w:bCs/>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727D26" w:rsidRPr="007D5748" w:rsidRDefault="00727D26" w:rsidP="00A70D48">
            <w:pPr>
              <w:jc w:val="center"/>
              <w:rPr>
                <w:b/>
                <w:bCs/>
              </w:rPr>
            </w:pPr>
            <w:r w:rsidRPr="007D5748">
              <w:rPr>
                <w:b/>
                <w:bCs/>
              </w:rPr>
              <w:t>poznámka</w:t>
            </w:r>
          </w:p>
        </w:tc>
      </w:tr>
      <w:tr w:rsidR="00727D26" w:rsidRPr="007D5748" w:rsidTr="00727D26">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727D26" w:rsidRPr="007D5748" w:rsidRDefault="00727D26" w:rsidP="00A70D48">
            <w:pPr>
              <w:rPr>
                <w:b/>
                <w:bCs/>
              </w:rPr>
            </w:pPr>
          </w:p>
        </w:tc>
        <w:tc>
          <w:tcPr>
            <w:tcW w:w="1698" w:type="dxa"/>
            <w:tcBorders>
              <w:top w:val="nil"/>
              <w:left w:val="nil"/>
              <w:bottom w:val="single" w:sz="4" w:space="0" w:color="auto"/>
              <w:right w:val="single" w:sz="4" w:space="0" w:color="auto"/>
            </w:tcBorders>
            <w:shd w:val="clear" w:color="auto" w:fill="BFBFBF"/>
            <w:vAlign w:val="center"/>
          </w:tcPr>
          <w:p w:rsidR="00727D26" w:rsidRPr="003C4322" w:rsidRDefault="00727D26" w:rsidP="00A70D48">
            <w:pPr>
              <w:jc w:val="center"/>
              <w:rPr>
                <w:b/>
                <w:bCs/>
              </w:rPr>
            </w:pPr>
            <w:r>
              <w:rPr>
                <w:b/>
                <w:bCs/>
              </w:rPr>
              <w:t>2020</w:t>
            </w:r>
          </w:p>
        </w:tc>
        <w:tc>
          <w:tcPr>
            <w:tcW w:w="1788" w:type="dxa"/>
            <w:tcBorders>
              <w:top w:val="nil"/>
              <w:left w:val="nil"/>
              <w:bottom w:val="single" w:sz="4" w:space="0" w:color="auto"/>
              <w:right w:val="single" w:sz="4" w:space="0" w:color="auto"/>
            </w:tcBorders>
            <w:shd w:val="clear" w:color="auto" w:fill="BFBFBF"/>
            <w:vAlign w:val="center"/>
          </w:tcPr>
          <w:p w:rsidR="00727D26" w:rsidRPr="003C4322" w:rsidRDefault="00727D26" w:rsidP="00A70D48">
            <w:pPr>
              <w:jc w:val="center"/>
              <w:rPr>
                <w:b/>
                <w:bCs/>
              </w:rPr>
            </w:pPr>
            <w:r>
              <w:rPr>
                <w:b/>
                <w:bCs/>
              </w:rPr>
              <w:t>2021</w:t>
            </w:r>
          </w:p>
        </w:tc>
        <w:tc>
          <w:tcPr>
            <w:tcW w:w="2418" w:type="dxa"/>
            <w:gridSpan w:val="2"/>
            <w:tcBorders>
              <w:top w:val="nil"/>
              <w:left w:val="nil"/>
              <w:bottom w:val="single" w:sz="4" w:space="0" w:color="auto"/>
              <w:right w:val="single" w:sz="4" w:space="0" w:color="auto"/>
            </w:tcBorders>
            <w:shd w:val="clear" w:color="auto" w:fill="BFBFBF"/>
            <w:vAlign w:val="center"/>
          </w:tcPr>
          <w:p w:rsidR="00727D26" w:rsidRPr="003C4322" w:rsidRDefault="00727D26" w:rsidP="00A70D48">
            <w:pPr>
              <w:jc w:val="center"/>
              <w:rPr>
                <w:b/>
                <w:bCs/>
              </w:rPr>
            </w:pPr>
            <w:r>
              <w:rPr>
                <w:b/>
                <w:bCs/>
              </w:rPr>
              <w:t>2022</w:t>
            </w:r>
          </w:p>
        </w:tc>
        <w:tc>
          <w:tcPr>
            <w:tcW w:w="1722" w:type="dxa"/>
            <w:tcBorders>
              <w:top w:val="nil"/>
              <w:left w:val="nil"/>
              <w:bottom w:val="single" w:sz="4" w:space="0" w:color="auto"/>
              <w:right w:val="single" w:sz="4" w:space="0" w:color="auto"/>
            </w:tcBorders>
            <w:shd w:val="clear" w:color="auto" w:fill="BFBFBF"/>
            <w:vAlign w:val="center"/>
          </w:tcPr>
          <w:p w:rsidR="00727D26" w:rsidRPr="003C4322" w:rsidRDefault="00727D26" w:rsidP="00A70D48">
            <w:pPr>
              <w:jc w:val="center"/>
              <w:rPr>
                <w:b/>
                <w:bCs/>
              </w:rPr>
            </w:pPr>
            <w:r>
              <w:rPr>
                <w:b/>
                <w:bCs/>
              </w:rPr>
              <w:t>2023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rsidR="00727D26" w:rsidRPr="007D5748" w:rsidRDefault="00727D26" w:rsidP="00A70D48">
            <w:pPr>
              <w:rPr>
                <w:b/>
                <w:bCs/>
                <w:color w:val="FFFFFF"/>
              </w:rPr>
            </w:pPr>
          </w:p>
        </w:tc>
      </w:tr>
      <w:tr w:rsidR="00727D26" w:rsidRPr="007D5748" w:rsidTr="00A70D48">
        <w:trPr>
          <w:trHeight w:val="255"/>
        </w:trPr>
        <w:tc>
          <w:tcPr>
            <w:tcW w:w="6188" w:type="dxa"/>
            <w:tcBorders>
              <w:top w:val="nil"/>
              <w:left w:val="single" w:sz="4" w:space="0" w:color="auto"/>
              <w:bottom w:val="single" w:sz="4" w:space="0" w:color="auto"/>
              <w:right w:val="single" w:sz="4" w:space="0" w:color="auto"/>
            </w:tcBorders>
          </w:tcPr>
          <w:p w:rsidR="00727D26" w:rsidRPr="007D5748" w:rsidRDefault="00727D26" w:rsidP="00A70D48">
            <w:pPr>
              <w:rPr>
                <w:b/>
                <w:bCs/>
              </w:rPr>
            </w:pPr>
            <w:r w:rsidRPr="007D5748">
              <w:rPr>
                <w:b/>
                <w:bCs/>
              </w:rPr>
              <w:t>Počet zamestnancov celkom</w:t>
            </w:r>
          </w:p>
        </w:tc>
        <w:tc>
          <w:tcPr>
            <w:tcW w:w="1698" w:type="dxa"/>
            <w:tcBorders>
              <w:top w:val="nil"/>
              <w:left w:val="nil"/>
              <w:bottom w:val="single" w:sz="4" w:space="0" w:color="auto"/>
              <w:right w:val="single" w:sz="4" w:space="0" w:color="auto"/>
            </w:tcBorders>
          </w:tcPr>
          <w:p w:rsidR="00727D26" w:rsidRPr="007D5748" w:rsidRDefault="00727D26" w:rsidP="00A70D48">
            <w:pPr>
              <w:jc w:val="center"/>
              <w:rPr>
                <w:b/>
                <w:bCs/>
              </w:rPr>
            </w:pPr>
          </w:p>
        </w:tc>
        <w:tc>
          <w:tcPr>
            <w:tcW w:w="1788" w:type="dxa"/>
            <w:tcBorders>
              <w:top w:val="nil"/>
              <w:left w:val="nil"/>
              <w:bottom w:val="single" w:sz="4" w:space="0" w:color="auto"/>
              <w:right w:val="single" w:sz="4" w:space="0" w:color="auto"/>
            </w:tcBorders>
          </w:tcPr>
          <w:p w:rsidR="00727D26" w:rsidRPr="007D5748" w:rsidRDefault="00727D26" w:rsidP="00A70D48">
            <w:pPr>
              <w:jc w:val="center"/>
              <w:rPr>
                <w:b/>
                <w:bCs/>
              </w:rPr>
            </w:pPr>
          </w:p>
        </w:tc>
        <w:tc>
          <w:tcPr>
            <w:tcW w:w="2418" w:type="dxa"/>
            <w:gridSpan w:val="2"/>
            <w:tcBorders>
              <w:top w:val="nil"/>
              <w:left w:val="nil"/>
              <w:bottom w:val="single" w:sz="4" w:space="0" w:color="auto"/>
              <w:right w:val="single" w:sz="4" w:space="0" w:color="auto"/>
            </w:tcBorders>
          </w:tcPr>
          <w:p w:rsidR="00727D26" w:rsidRPr="007D5748" w:rsidRDefault="00727D26" w:rsidP="00A70D48">
            <w:pPr>
              <w:jc w:val="center"/>
              <w:rPr>
                <w:b/>
                <w:bCs/>
              </w:rPr>
            </w:pPr>
          </w:p>
        </w:tc>
        <w:tc>
          <w:tcPr>
            <w:tcW w:w="1722" w:type="dxa"/>
            <w:tcBorders>
              <w:top w:val="nil"/>
              <w:left w:val="nil"/>
              <w:bottom w:val="single" w:sz="4" w:space="0" w:color="auto"/>
              <w:right w:val="single" w:sz="4" w:space="0" w:color="auto"/>
            </w:tcBorders>
          </w:tcPr>
          <w:p w:rsidR="00727D26" w:rsidRPr="007D5748" w:rsidRDefault="00727D26" w:rsidP="00A70D48">
            <w:pPr>
              <w:jc w:val="center"/>
              <w:rPr>
                <w:b/>
                <w:bCs/>
              </w:rPr>
            </w:pPr>
          </w:p>
        </w:tc>
        <w:tc>
          <w:tcPr>
            <w:tcW w:w="1620" w:type="dxa"/>
            <w:gridSpan w:val="2"/>
            <w:tcBorders>
              <w:top w:val="nil"/>
              <w:left w:val="nil"/>
              <w:bottom w:val="single" w:sz="4" w:space="0" w:color="auto"/>
              <w:right w:val="single" w:sz="4" w:space="0" w:color="auto"/>
            </w:tcBorders>
            <w:noWrap/>
            <w:vAlign w:val="bottom"/>
          </w:tcPr>
          <w:p w:rsidR="00727D26" w:rsidRPr="007D5748" w:rsidRDefault="00727D26" w:rsidP="00A70D48">
            <w:r w:rsidRPr="007D5748">
              <w:t> </w:t>
            </w:r>
          </w:p>
        </w:tc>
      </w:tr>
      <w:tr w:rsidR="00727D26" w:rsidRPr="007D5748" w:rsidTr="00A70D48">
        <w:trPr>
          <w:trHeight w:val="255"/>
        </w:trPr>
        <w:tc>
          <w:tcPr>
            <w:tcW w:w="6188" w:type="dxa"/>
            <w:tcBorders>
              <w:top w:val="nil"/>
              <w:left w:val="single" w:sz="4" w:space="0" w:color="auto"/>
              <w:bottom w:val="single" w:sz="4" w:space="0" w:color="auto"/>
              <w:right w:val="single" w:sz="4" w:space="0" w:color="auto"/>
            </w:tcBorders>
          </w:tcPr>
          <w:p w:rsidR="00727D26" w:rsidRPr="007D5748" w:rsidRDefault="00727D26" w:rsidP="00A70D48">
            <w:pPr>
              <w:rPr>
                <w:b/>
                <w:bCs/>
              </w:rPr>
            </w:pPr>
            <w:r w:rsidRPr="007D5748">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727D26" w:rsidRPr="007D5748" w:rsidRDefault="00727D26" w:rsidP="00A70D48">
            <w:pPr>
              <w:jc w:val="center"/>
              <w:rPr>
                <w:b/>
                <w:bCs/>
              </w:rPr>
            </w:pPr>
          </w:p>
        </w:tc>
        <w:tc>
          <w:tcPr>
            <w:tcW w:w="1788" w:type="dxa"/>
            <w:tcBorders>
              <w:top w:val="single" w:sz="4" w:space="0" w:color="auto"/>
              <w:left w:val="nil"/>
              <w:bottom w:val="single" w:sz="4" w:space="0" w:color="auto"/>
              <w:right w:val="single" w:sz="4" w:space="0" w:color="auto"/>
            </w:tcBorders>
          </w:tcPr>
          <w:p w:rsidR="00727D26" w:rsidRPr="007D5748" w:rsidRDefault="00727D26" w:rsidP="00A70D48">
            <w:pPr>
              <w:jc w:val="center"/>
              <w:rPr>
                <w:b/>
                <w:bCs/>
              </w:rPr>
            </w:pPr>
          </w:p>
        </w:tc>
        <w:tc>
          <w:tcPr>
            <w:tcW w:w="2418" w:type="dxa"/>
            <w:gridSpan w:val="2"/>
            <w:tcBorders>
              <w:top w:val="single" w:sz="4" w:space="0" w:color="auto"/>
              <w:left w:val="nil"/>
              <w:bottom w:val="single" w:sz="4" w:space="0" w:color="auto"/>
              <w:right w:val="single" w:sz="4" w:space="0" w:color="auto"/>
            </w:tcBorders>
          </w:tcPr>
          <w:p w:rsidR="00727D26" w:rsidRPr="007D5748" w:rsidRDefault="00727D26" w:rsidP="00A70D48">
            <w:pPr>
              <w:jc w:val="center"/>
              <w:rPr>
                <w:b/>
                <w:bCs/>
              </w:rPr>
            </w:pPr>
          </w:p>
        </w:tc>
        <w:tc>
          <w:tcPr>
            <w:tcW w:w="1722" w:type="dxa"/>
            <w:tcBorders>
              <w:top w:val="single" w:sz="4" w:space="0" w:color="auto"/>
              <w:left w:val="nil"/>
              <w:bottom w:val="single" w:sz="4" w:space="0" w:color="auto"/>
              <w:right w:val="single" w:sz="4" w:space="0" w:color="auto"/>
            </w:tcBorders>
          </w:tcPr>
          <w:p w:rsidR="00727D26" w:rsidRPr="007D5748" w:rsidRDefault="00727D26" w:rsidP="00A70D48">
            <w:pPr>
              <w:jc w:val="center"/>
              <w:rPr>
                <w:b/>
                <w:bCs/>
              </w:rPr>
            </w:pPr>
          </w:p>
        </w:tc>
        <w:tc>
          <w:tcPr>
            <w:tcW w:w="1620" w:type="dxa"/>
            <w:gridSpan w:val="2"/>
            <w:tcBorders>
              <w:top w:val="nil"/>
              <w:left w:val="nil"/>
              <w:bottom w:val="single" w:sz="4" w:space="0" w:color="auto"/>
              <w:right w:val="single" w:sz="4" w:space="0" w:color="auto"/>
            </w:tcBorders>
            <w:noWrap/>
            <w:vAlign w:val="bottom"/>
          </w:tcPr>
          <w:p w:rsidR="00727D26" w:rsidRPr="007D5748" w:rsidRDefault="00727D26" w:rsidP="00A70D48"/>
        </w:tc>
      </w:tr>
      <w:tr w:rsidR="00727D26" w:rsidRPr="007D5748" w:rsidTr="00A70D48">
        <w:trPr>
          <w:trHeight w:val="255"/>
        </w:trPr>
        <w:tc>
          <w:tcPr>
            <w:tcW w:w="6188" w:type="dxa"/>
            <w:tcBorders>
              <w:top w:val="nil"/>
              <w:left w:val="single" w:sz="4" w:space="0" w:color="auto"/>
              <w:bottom w:val="single" w:sz="4" w:space="0" w:color="auto"/>
              <w:right w:val="single" w:sz="4" w:space="0" w:color="auto"/>
            </w:tcBorders>
          </w:tcPr>
          <w:p w:rsidR="00727D26" w:rsidRPr="007D5748" w:rsidRDefault="00727D26" w:rsidP="00A70D48">
            <w:pPr>
              <w:rPr>
                <w:b/>
                <w:bCs/>
              </w:rPr>
            </w:pPr>
            <w:r w:rsidRPr="007D5748">
              <w:rPr>
                <w:b/>
                <w:bCs/>
              </w:rPr>
              <w:t>Priemerný mzdový výdavok (v eurách)</w:t>
            </w:r>
          </w:p>
        </w:tc>
        <w:tc>
          <w:tcPr>
            <w:tcW w:w="1698" w:type="dxa"/>
            <w:tcBorders>
              <w:top w:val="single" w:sz="4" w:space="0" w:color="auto"/>
              <w:left w:val="nil"/>
              <w:bottom w:val="single" w:sz="4" w:space="0" w:color="auto"/>
              <w:right w:val="single" w:sz="4" w:space="0" w:color="auto"/>
            </w:tcBorders>
          </w:tcPr>
          <w:p w:rsidR="00727D26" w:rsidRPr="007D5748" w:rsidRDefault="00727D26" w:rsidP="00A70D48">
            <w:pPr>
              <w:jc w:val="center"/>
              <w:rPr>
                <w:b/>
                <w:bCs/>
              </w:rPr>
            </w:pPr>
          </w:p>
        </w:tc>
        <w:tc>
          <w:tcPr>
            <w:tcW w:w="1788" w:type="dxa"/>
            <w:tcBorders>
              <w:top w:val="single" w:sz="4" w:space="0" w:color="auto"/>
              <w:left w:val="nil"/>
              <w:bottom w:val="single" w:sz="4" w:space="0" w:color="auto"/>
              <w:right w:val="single" w:sz="4" w:space="0" w:color="auto"/>
            </w:tcBorders>
          </w:tcPr>
          <w:p w:rsidR="00727D26" w:rsidRPr="00DA4E97" w:rsidRDefault="00727D26" w:rsidP="00A70D48">
            <w:pPr>
              <w:jc w:val="center"/>
              <w:rPr>
                <w:b/>
                <w:bCs/>
              </w:rPr>
            </w:pPr>
          </w:p>
        </w:tc>
        <w:tc>
          <w:tcPr>
            <w:tcW w:w="2418" w:type="dxa"/>
            <w:gridSpan w:val="2"/>
            <w:tcBorders>
              <w:top w:val="single" w:sz="4" w:space="0" w:color="auto"/>
              <w:left w:val="nil"/>
              <w:bottom w:val="single" w:sz="4" w:space="0" w:color="auto"/>
              <w:right w:val="single" w:sz="4" w:space="0" w:color="auto"/>
            </w:tcBorders>
          </w:tcPr>
          <w:p w:rsidR="00727D26" w:rsidRPr="007D5748" w:rsidRDefault="00727D26" w:rsidP="00A70D48">
            <w:pPr>
              <w:jc w:val="center"/>
              <w:rPr>
                <w:b/>
                <w:bCs/>
              </w:rPr>
            </w:pPr>
          </w:p>
        </w:tc>
        <w:tc>
          <w:tcPr>
            <w:tcW w:w="1722" w:type="dxa"/>
            <w:tcBorders>
              <w:top w:val="single" w:sz="4" w:space="0" w:color="auto"/>
              <w:left w:val="nil"/>
              <w:bottom w:val="single" w:sz="4" w:space="0" w:color="auto"/>
              <w:right w:val="single" w:sz="4" w:space="0" w:color="auto"/>
            </w:tcBorders>
          </w:tcPr>
          <w:p w:rsidR="00727D26" w:rsidRPr="007D5748" w:rsidRDefault="00727D26" w:rsidP="00A70D48">
            <w:pPr>
              <w:jc w:val="center"/>
              <w:rPr>
                <w:b/>
                <w:bCs/>
              </w:rPr>
            </w:pPr>
          </w:p>
        </w:tc>
        <w:tc>
          <w:tcPr>
            <w:tcW w:w="1620" w:type="dxa"/>
            <w:gridSpan w:val="2"/>
            <w:tcBorders>
              <w:top w:val="nil"/>
              <w:left w:val="nil"/>
              <w:bottom w:val="single" w:sz="4" w:space="0" w:color="auto"/>
              <w:right w:val="single" w:sz="4" w:space="0" w:color="auto"/>
            </w:tcBorders>
            <w:noWrap/>
            <w:vAlign w:val="bottom"/>
          </w:tcPr>
          <w:p w:rsidR="00727D26" w:rsidRPr="007D5748" w:rsidRDefault="00727D26" w:rsidP="00A70D48">
            <w:r w:rsidRPr="007D5748">
              <w:t> </w:t>
            </w:r>
          </w:p>
        </w:tc>
      </w:tr>
      <w:tr w:rsidR="00727D26" w:rsidRPr="007D5748" w:rsidTr="00A70D48">
        <w:trPr>
          <w:trHeight w:val="255"/>
        </w:trPr>
        <w:tc>
          <w:tcPr>
            <w:tcW w:w="6188" w:type="dxa"/>
            <w:tcBorders>
              <w:top w:val="nil"/>
              <w:left w:val="single" w:sz="4" w:space="0" w:color="auto"/>
              <w:bottom w:val="single" w:sz="4" w:space="0" w:color="auto"/>
              <w:right w:val="single" w:sz="4" w:space="0" w:color="auto"/>
            </w:tcBorders>
          </w:tcPr>
          <w:p w:rsidR="00727D26" w:rsidRPr="007D5748" w:rsidRDefault="00727D26" w:rsidP="00A70D48">
            <w:r w:rsidRPr="007D5748">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727D26" w:rsidRPr="007D5748" w:rsidRDefault="00727D26" w:rsidP="00A70D48">
            <w:pPr>
              <w:jc w:val="center"/>
            </w:pPr>
            <w:r w:rsidRPr="007D5748">
              <w:t> </w:t>
            </w:r>
          </w:p>
        </w:tc>
        <w:tc>
          <w:tcPr>
            <w:tcW w:w="1788" w:type="dxa"/>
            <w:tcBorders>
              <w:top w:val="single" w:sz="4" w:space="0" w:color="auto"/>
              <w:left w:val="nil"/>
              <w:bottom w:val="single" w:sz="4" w:space="0" w:color="auto"/>
              <w:right w:val="single" w:sz="4" w:space="0" w:color="auto"/>
            </w:tcBorders>
          </w:tcPr>
          <w:p w:rsidR="00727D26" w:rsidRPr="00DA4E97" w:rsidRDefault="00727D26" w:rsidP="00A70D48">
            <w:pPr>
              <w:jc w:val="center"/>
              <w:rPr>
                <w:b/>
                <w:bCs/>
              </w:rPr>
            </w:pPr>
          </w:p>
        </w:tc>
        <w:tc>
          <w:tcPr>
            <w:tcW w:w="2418" w:type="dxa"/>
            <w:gridSpan w:val="2"/>
            <w:tcBorders>
              <w:top w:val="single" w:sz="4" w:space="0" w:color="auto"/>
              <w:left w:val="nil"/>
              <w:bottom w:val="single" w:sz="4" w:space="0" w:color="auto"/>
              <w:right w:val="single" w:sz="4" w:space="0" w:color="auto"/>
            </w:tcBorders>
          </w:tcPr>
          <w:p w:rsidR="00727D26" w:rsidRPr="007D5748" w:rsidRDefault="00727D26" w:rsidP="00A70D48">
            <w:pPr>
              <w:jc w:val="center"/>
              <w:rPr>
                <w:b/>
                <w:bCs/>
              </w:rPr>
            </w:pPr>
          </w:p>
        </w:tc>
        <w:tc>
          <w:tcPr>
            <w:tcW w:w="1722" w:type="dxa"/>
            <w:tcBorders>
              <w:top w:val="single" w:sz="4" w:space="0" w:color="auto"/>
              <w:left w:val="nil"/>
              <w:bottom w:val="single" w:sz="4" w:space="0" w:color="auto"/>
              <w:right w:val="single" w:sz="4" w:space="0" w:color="auto"/>
            </w:tcBorders>
          </w:tcPr>
          <w:p w:rsidR="00727D26" w:rsidRPr="007D5748" w:rsidRDefault="00727D26" w:rsidP="00A70D48">
            <w:pPr>
              <w:jc w:val="center"/>
              <w:rPr>
                <w:b/>
                <w:bCs/>
              </w:rPr>
            </w:pPr>
          </w:p>
        </w:tc>
        <w:tc>
          <w:tcPr>
            <w:tcW w:w="1620" w:type="dxa"/>
            <w:gridSpan w:val="2"/>
            <w:tcBorders>
              <w:top w:val="nil"/>
              <w:left w:val="nil"/>
              <w:bottom w:val="single" w:sz="4" w:space="0" w:color="auto"/>
              <w:right w:val="single" w:sz="4" w:space="0" w:color="auto"/>
            </w:tcBorders>
            <w:noWrap/>
            <w:vAlign w:val="bottom"/>
          </w:tcPr>
          <w:p w:rsidR="00727D26" w:rsidRPr="007D5748" w:rsidRDefault="00727D26" w:rsidP="00A70D48">
            <w:r w:rsidRPr="007D5748">
              <w:t> </w:t>
            </w:r>
          </w:p>
        </w:tc>
      </w:tr>
      <w:tr w:rsidR="00727D26" w:rsidRPr="007D5748" w:rsidTr="00727D26">
        <w:trPr>
          <w:trHeight w:val="255"/>
        </w:trPr>
        <w:tc>
          <w:tcPr>
            <w:tcW w:w="6188" w:type="dxa"/>
            <w:tcBorders>
              <w:top w:val="nil"/>
              <w:left w:val="single" w:sz="4" w:space="0" w:color="auto"/>
              <w:bottom w:val="single" w:sz="4" w:space="0" w:color="auto"/>
              <w:right w:val="single" w:sz="4" w:space="0" w:color="auto"/>
            </w:tcBorders>
            <w:shd w:val="clear" w:color="auto" w:fill="BFBFBF"/>
          </w:tcPr>
          <w:p w:rsidR="00727D26" w:rsidRPr="007D5748" w:rsidRDefault="00727D26" w:rsidP="00A70D48">
            <w:pPr>
              <w:rPr>
                <w:b/>
                <w:bCs/>
              </w:rPr>
            </w:pPr>
            <w:r w:rsidRPr="007D5748">
              <w:rPr>
                <w:b/>
                <w:bCs/>
              </w:rPr>
              <w:t>Osobné výdavky celkom (v eurách)</w:t>
            </w:r>
          </w:p>
        </w:tc>
        <w:tc>
          <w:tcPr>
            <w:tcW w:w="1698" w:type="dxa"/>
            <w:tcBorders>
              <w:top w:val="nil"/>
              <w:left w:val="nil"/>
              <w:bottom w:val="single" w:sz="4" w:space="0" w:color="auto"/>
              <w:right w:val="single" w:sz="4" w:space="0" w:color="auto"/>
            </w:tcBorders>
            <w:shd w:val="clear" w:color="auto" w:fill="BFBFBF"/>
          </w:tcPr>
          <w:p w:rsidR="00727D26" w:rsidRPr="007D5748" w:rsidRDefault="00727D26" w:rsidP="00A70D48">
            <w:pPr>
              <w:jc w:val="center"/>
              <w:rPr>
                <w:b/>
                <w:bCs/>
              </w:rPr>
            </w:pPr>
            <w:r w:rsidRPr="007D5748">
              <w:rPr>
                <w:b/>
                <w:bCs/>
              </w:rPr>
              <w:t>0</w:t>
            </w:r>
          </w:p>
        </w:tc>
        <w:tc>
          <w:tcPr>
            <w:tcW w:w="1788" w:type="dxa"/>
            <w:tcBorders>
              <w:top w:val="nil"/>
              <w:left w:val="nil"/>
              <w:bottom w:val="single" w:sz="4" w:space="0" w:color="auto"/>
              <w:right w:val="single" w:sz="4" w:space="0" w:color="auto"/>
            </w:tcBorders>
            <w:shd w:val="clear" w:color="auto" w:fill="BFBFBF"/>
          </w:tcPr>
          <w:p w:rsidR="00727D26" w:rsidRPr="007D5748" w:rsidRDefault="00727D26" w:rsidP="00A70D48">
            <w:pPr>
              <w:jc w:val="center"/>
              <w:rPr>
                <w:b/>
                <w:bCs/>
              </w:rPr>
            </w:pPr>
            <w:r w:rsidRPr="007D5748">
              <w:rPr>
                <w:b/>
                <w:bCs/>
              </w:rPr>
              <w:t>0</w:t>
            </w:r>
          </w:p>
        </w:tc>
        <w:tc>
          <w:tcPr>
            <w:tcW w:w="2418" w:type="dxa"/>
            <w:gridSpan w:val="2"/>
            <w:tcBorders>
              <w:top w:val="nil"/>
              <w:left w:val="nil"/>
              <w:bottom w:val="single" w:sz="4" w:space="0" w:color="auto"/>
              <w:right w:val="single" w:sz="4" w:space="0" w:color="auto"/>
            </w:tcBorders>
            <w:shd w:val="clear" w:color="auto" w:fill="BFBFBF"/>
          </w:tcPr>
          <w:p w:rsidR="00727D26" w:rsidRPr="007D5748" w:rsidRDefault="00727D26" w:rsidP="00A70D48">
            <w:pPr>
              <w:jc w:val="center"/>
              <w:rPr>
                <w:b/>
                <w:bCs/>
              </w:rPr>
            </w:pPr>
            <w:r w:rsidRPr="007D5748">
              <w:rPr>
                <w:b/>
                <w:bCs/>
              </w:rPr>
              <w:t>0</w:t>
            </w:r>
          </w:p>
        </w:tc>
        <w:tc>
          <w:tcPr>
            <w:tcW w:w="1722" w:type="dxa"/>
            <w:tcBorders>
              <w:top w:val="nil"/>
              <w:left w:val="nil"/>
              <w:bottom w:val="single" w:sz="4" w:space="0" w:color="auto"/>
              <w:right w:val="single" w:sz="4" w:space="0" w:color="auto"/>
            </w:tcBorders>
            <w:shd w:val="clear" w:color="auto" w:fill="BFBFBF"/>
          </w:tcPr>
          <w:p w:rsidR="00727D26" w:rsidRPr="007D5748" w:rsidRDefault="00727D26" w:rsidP="00A70D48">
            <w:pPr>
              <w:jc w:val="center"/>
              <w:rPr>
                <w:b/>
                <w:bCs/>
              </w:rPr>
            </w:pPr>
            <w:r w:rsidRPr="007D5748">
              <w:rPr>
                <w:b/>
                <w:bCs/>
              </w:rPr>
              <w:t>0</w:t>
            </w:r>
          </w:p>
        </w:tc>
        <w:tc>
          <w:tcPr>
            <w:tcW w:w="1620" w:type="dxa"/>
            <w:gridSpan w:val="2"/>
            <w:tcBorders>
              <w:top w:val="nil"/>
              <w:left w:val="nil"/>
              <w:bottom w:val="single" w:sz="4" w:space="0" w:color="auto"/>
              <w:right w:val="single" w:sz="4" w:space="0" w:color="auto"/>
            </w:tcBorders>
            <w:shd w:val="clear" w:color="auto" w:fill="BFBFBF"/>
            <w:noWrap/>
            <w:vAlign w:val="bottom"/>
          </w:tcPr>
          <w:p w:rsidR="00727D26" w:rsidRPr="007D5748" w:rsidRDefault="00727D26" w:rsidP="00A70D48">
            <w:pPr>
              <w:rPr>
                <w:b/>
                <w:bCs/>
              </w:rPr>
            </w:pPr>
            <w:r w:rsidRPr="007D5748">
              <w:rPr>
                <w:b/>
                <w:bCs/>
              </w:rPr>
              <w:t> </w:t>
            </w:r>
          </w:p>
        </w:tc>
      </w:tr>
      <w:tr w:rsidR="00727D26" w:rsidRPr="007D5748" w:rsidTr="00A70D48">
        <w:trPr>
          <w:trHeight w:val="255"/>
        </w:trPr>
        <w:tc>
          <w:tcPr>
            <w:tcW w:w="6188" w:type="dxa"/>
            <w:tcBorders>
              <w:top w:val="nil"/>
              <w:left w:val="single" w:sz="4" w:space="0" w:color="auto"/>
              <w:bottom w:val="single" w:sz="4" w:space="0" w:color="auto"/>
              <w:right w:val="single" w:sz="4" w:space="0" w:color="auto"/>
            </w:tcBorders>
          </w:tcPr>
          <w:p w:rsidR="00727D26" w:rsidRPr="007D5748" w:rsidRDefault="00727D26" w:rsidP="00A70D48">
            <w:pPr>
              <w:rPr>
                <w:b/>
                <w:bCs/>
              </w:rPr>
            </w:pPr>
            <w:r w:rsidRPr="007D5748">
              <w:rPr>
                <w:b/>
                <w:bCs/>
              </w:rPr>
              <w:t>Mzdy, platy, služobné príjmy a ostatné osobné vyrovnania (610)</w:t>
            </w:r>
          </w:p>
        </w:tc>
        <w:tc>
          <w:tcPr>
            <w:tcW w:w="1698" w:type="dxa"/>
            <w:tcBorders>
              <w:top w:val="nil"/>
              <w:left w:val="nil"/>
              <w:bottom w:val="single" w:sz="4" w:space="0" w:color="auto"/>
              <w:right w:val="single" w:sz="4" w:space="0" w:color="auto"/>
            </w:tcBorders>
          </w:tcPr>
          <w:p w:rsidR="00727D26" w:rsidRPr="007D5748" w:rsidRDefault="00727D26" w:rsidP="00A70D48">
            <w:pPr>
              <w:jc w:val="center"/>
              <w:rPr>
                <w:b/>
                <w:bCs/>
              </w:rPr>
            </w:pPr>
          </w:p>
        </w:tc>
        <w:tc>
          <w:tcPr>
            <w:tcW w:w="1788" w:type="dxa"/>
            <w:tcBorders>
              <w:top w:val="nil"/>
              <w:left w:val="nil"/>
              <w:bottom w:val="single" w:sz="4" w:space="0" w:color="auto"/>
              <w:right w:val="single" w:sz="4" w:space="0" w:color="auto"/>
            </w:tcBorders>
          </w:tcPr>
          <w:p w:rsidR="00727D26" w:rsidRPr="007D5748" w:rsidRDefault="00727D26" w:rsidP="00A70D48">
            <w:pPr>
              <w:jc w:val="center"/>
              <w:rPr>
                <w:b/>
                <w:bCs/>
              </w:rPr>
            </w:pPr>
          </w:p>
        </w:tc>
        <w:tc>
          <w:tcPr>
            <w:tcW w:w="2418" w:type="dxa"/>
            <w:gridSpan w:val="2"/>
            <w:tcBorders>
              <w:top w:val="nil"/>
              <w:left w:val="nil"/>
              <w:bottom w:val="single" w:sz="4" w:space="0" w:color="auto"/>
              <w:right w:val="single" w:sz="4" w:space="0" w:color="auto"/>
            </w:tcBorders>
          </w:tcPr>
          <w:p w:rsidR="00727D26" w:rsidRPr="007D5748" w:rsidRDefault="00727D26" w:rsidP="00A70D48">
            <w:pPr>
              <w:jc w:val="center"/>
              <w:rPr>
                <w:b/>
                <w:bCs/>
              </w:rPr>
            </w:pPr>
          </w:p>
        </w:tc>
        <w:tc>
          <w:tcPr>
            <w:tcW w:w="1722" w:type="dxa"/>
            <w:tcBorders>
              <w:top w:val="nil"/>
              <w:left w:val="nil"/>
              <w:bottom w:val="single" w:sz="4" w:space="0" w:color="auto"/>
              <w:right w:val="single" w:sz="4" w:space="0" w:color="auto"/>
            </w:tcBorders>
          </w:tcPr>
          <w:p w:rsidR="00727D26" w:rsidRPr="007D5748" w:rsidRDefault="00727D26" w:rsidP="00A70D48">
            <w:pPr>
              <w:jc w:val="center"/>
              <w:rPr>
                <w:b/>
                <w:bCs/>
              </w:rPr>
            </w:pPr>
          </w:p>
        </w:tc>
        <w:tc>
          <w:tcPr>
            <w:tcW w:w="1620" w:type="dxa"/>
            <w:gridSpan w:val="2"/>
            <w:tcBorders>
              <w:top w:val="nil"/>
              <w:left w:val="nil"/>
              <w:bottom w:val="single" w:sz="4" w:space="0" w:color="auto"/>
              <w:right w:val="single" w:sz="4" w:space="0" w:color="auto"/>
            </w:tcBorders>
            <w:noWrap/>
            <w:vAlign w:val="bottom"/>
          </w:tcPr>
          <w:p w:rsidR="00727D26" w:rsidRPr="007D5748" w:rsidRDefault="00727D26" w:rsidP="00A70D48">
            <w:pPr>
              <w:rPr>
                <w:b/>
                <w:bCs/>
              </w:rPr>
            </w:pPr>
            <w:r w:rsidRPr="007D5748">
              <w:rPr>
                <w:b/>
                <w:bCs/>
              </w:rPr>
              <w:t> </w:t>
            </w:r>
          </w:p>
        </w:tc>
      </w:tr>
      <w:tr w:rsidR="00727D26" w:rsidRPr="007D5748" w:rsidTr="00A70D48">
        <w:trPr>
          <w:trHeight w:val="255"/>
        </w:trPr>
        <w:tc>
          <w:tcPr>
            <w:tcW w:w="6188" w:type="dxa"/>
            <w:tcBorders>
              <w:top w:val="nil"/>
              <w:left w:val="single" w:sz="4" w:space="0" w:color="auto"/>
              <w:bottom w:val="single" w:sz="4" w:space="0" w:color="auto"/>
              <w:right w:val="single" w:sz="4" w:space="0" w:color="auto"/>
            </w:tcBorders>
          </w:tcPr>
          <w:p w:rsidR="00727D26" w:rsidRPr="007D5748" w:rsidRDefault="00727D26" w:rsidP="00A70D48">
            <w:r w:rsidRPr="007D5748">
              <w:rPr>
                <w:b/>
                <w:bCs/>
              </w:rPr>
              <w:t xml:space="preserve">   z toho vplyv na ŠR</w:t>
            </w:r>
          </w:p>
        </w:tc>
        <w:tc>
          <w:tcPr>
            <w:tcW w:w="1698" w:type="dxa"/>
            <w:tcBorders>
              <w:top w:val="nil"/>
              <w:left w:val="nil"/>
              <w:bottom w:val="single" w:sz="4" w:space="0" w:color="auto"/>
              <w:right w:val="single" w:sz="4" w:space="0" w:color="auto"/>
            </w:tcBorders>
          </w:tcPr>
          <w:p w:rsidR="00727D26" w:rsidRPr="007D5748" w:rsidRDefault="00727D26" w:rsidP="00A70D48">
            <w:pPr>
              <w:jc w:val="center"/>
            </w:pPr>
          </w:p>
        </w:tc>
        <w:tc>
          <w:tcPr>
            <w:tcW w:w="1788" w:type="dxa"/>
            <w:tcBorders>
              <w:top w:val="nil"/>
              <w:left w:val="nil"/>
              <w:bottom w:val="single" w:sz="4" w:space="0" w:color="auto"/>
              <w:right w:val="single" w:sz="4" w:space="0" w:color="auto"/>
            </w:tcBorders>
          </w:tcPr>
          <w:p w:rsidR="00727D26" w:rsidRPr="00DA4E97" w:rsidRDefault="00727D26" w:rsidP="00A70D48">
            <w:pPr>
              <w:jc w:val="center"/>
              <w:rPr>
                <w:b/>
                <w:bCs/>
              </w:rPr>
            </w:pPr>
          </w:p>
        </w:tc>
        <w:tc>
          <w:tcPr>
            <w:tcW w:w="2418" w:type="dxa"/>
            <w:gridSpan w:val="2"/>
            <w:tcBorders>
              <w:top w:val="nil"/>
              <w:left w:val="nil"/>
              <w:bottom w:val="single" w:sz="4" w:space="0" w:color="auto"/>
              <w:right w:val="single" w:sz="4" w:space="0" w:color="auto"/>
            </w:tcBorders>
          </w:tcPr>
          <w:p w:rsidR="00727D26" w:rsidRPr="007D5748" w:rsidRDefault="00727D26" w:rsidP="00A70D48">
            <w:pPr>
              <w:jc w:val="center"/>
              <w:rPr>
                <w:b/>
                <w:bCs/>
              </w:rPr>
            </w:pPr>
          </w:p>
        </w:tc>
        <w:tc>
          <w:tcPr>
            <w:tcW w:w="1722" w:type="dxa"/>
            <w:tcBorders>
              <w:top w:val="nil"/>
              <w:left w:val="nil"/>
              <w:bottom w:val="single" w:sz="4" w:space="0" w:color="auto"/>
              <w:right w:val="single" w:sz="4" w:space="0" w:color="auto"/>
            </w:tcBorders>
          </w:tcPr>
          <w:p w:rsidR="00727D26" w:rsidRPr="007D5748" w:rsidRDefault="00727D26" w:rsidP="00A70D48">
            <w:pPr>
              <w:jc w:val="center"/>
              <w:rPr>
                <w:b/>
                <w:bCs/>
              </w:rPr>
            </w:pPr>
          </w:p>
        </w:tc>
        <w:tc>
          <w:tcPr>
            <w:tcW w:w="1620" w:type="dxa"/>
            <w:gridSpan w:val="2"/>
            <w:tcBorders>
              <w:top w:val="nil"/>
              <w:left w:val="nil"/>
              <w:bottom w:val="single" w:sz="4" w:space="0" w:color="auto"/>
              <w:right w:val="single" w:sz="4" w:space="0" w:color="auto"/>
            </w:tcBorders>
            <w:noWrap/>
            <w:vAlign w:val="bottom"/>
          </w:tcPr>
          <w:p w:rsidR="00727D26" w:rsidRPr="007D5748" w:rsidRDefault="00727D26" w:rsidP="00A70D48">
            <w:r w:rsidRPr="007D5748">
              <w:t> </w:t>
            </w:r>
          </w:p>
        </w:tc>
      </w:tr>
      <w:tr w:rsidR="00727D26" w:rsidRPr="007D5748" w:rsidTr="00A70D48">
        <w:trPr>
          <w:trHeight w:val="255"/>
        </w:trPr>
        <w:tc>
          <w:tcPr>
            <w:tcW w:w="6188" w:type="dxa"/>
            <w:tcBorders>
              <w:top w:val="nil"/>
              <w:left w:val="single" w:sz="4" w:space="0" w:color="auto"/>
              <w:bottom w:val="single" w:sz="4" w:space="0" w:color="auto"/>
              <w:right w:val="single" w:sz="4" w:space="0" w:color="auto"/>
            </w:tcBorders>
          </w:tcPr>
          <w:p w:rsidR="00727D26" w:rsidRPr="007D5748" w:rsidRDefault="00727D26" w:rsidP="00A70D48">
            <w:pPr>
              <w:rPr>
                <w:b/>
                <w:bCs/>
              </w:rPr>
            </w:pPr>
            <w:r w:rsidRPr="007D5748">
              <w:rPr>
                <w:b/>
                <w:bCs/>
              </w:rPr>
              <w:t>Poistné a príspevok do poisťovní (620)</w:t>
            </w:r>
          </w:p>
        </w:tc>
        <w:tc>
          <w:tcPr>
            <w:tcW w:w="1698" w:type="dxa"/>
            <w:tcBorders>
              <w:top w:val="nil"/>
              <w:left w:val="nil"/>
              <w:bottom w:val="single" w:sz="4" w:space="0" w:color="auto"/>
              <w:right w:val="single" w:sz="4" w:space="0" w:color="auto"/>
            </w:tcBorders>
          </w:tcPr>
          <w:p w:rsidR="00727D26" w:rsidRPr="007D5748" w:rsidRDefault="00727D26" w:rsidP="00A70D48">
            <w:pPr>
              <w:jc w:val="center"/>
              <w:rPr>
                <w:b/>
                <w:bCs/>
              </w:rPr>
            </w:pPr>
          </w:p>
        </w:tc>
        <w:tc>
          <w:tcPr>
            <w:tcW w:w="1788" w:type="dxa"/>
            <w:tcBorders>
              <w:top w:val="nil"/>
              <w:left w:val="nil"/>
              <w:bottom w:val="single" w:sz="4" w:space="0" w:color="auto"/>
              <w:right w:val="single" w:sz="4" w:space="0" w:color="auto"/>
            </w:tcBorders>
          </w:tcPr>
          <w:p w:rsidR="00727D26" w:rsidRPr="007D5748" w:rsidRDefault="00727D26" w:rsidP="00A70D48">
            <w:pPr>
              <w:jc w:val="center"/>
              <w:rPr>
                <w:b/>
                <w:bCs/>
              </w:rPr>
            </w:pPr>
          </w:p>
        </w:tc>
        <w:tc>
          <w:tcPr>
            <w:tcW w:w="2418" w:type="dxa"/>
            <w:gridSpan w:val="2"/>
            <w:tcBorders>
              <w:top w:val="nil"/>
              <w:left w:val="nil"/>
              <w:bottom w:val="single" w:sz="4" w:space="0" w:color="auto"/>
              <w:right w:val="single" w:sz="4" w:space="0" w:color="auto"/>
            </w:tcBorders>
          </w:tcPr>
          <w:p w:rsidR="00727D26" w:rsidRPr="007D5748" w:rsidRDefault="00727D26" w:rsidP="00A70D48">
            <w:pPr>
              <w:jc w:val="center"/>
              <w:rPr>
                <w:b/>
                <w:bCs/>
              </w:rPr>
            </w:pPr>
          </w:p>
        </w:tc>
        <w:tc>
          <w:tcPr>
            <w:tcW w:w="1722" w:type="dxa"/>
            <w:tcBorders>
              <w:top w:val="nil"/>
              <w:left w:val="nil"/>
              <w:bottom w:val="single" w:sz="4" w:space="0" w:color="auto"/>
              <w:right w:val="single" w:sz="4" w:space="0" w:color="auto"/>
            </w:tcBorders>
          </w:tcPr>
          <w:p w:rsidR="00727D26" w:rsidRPr="007D5748" w:rsidRDefault="00727D26" w:rsidP="00A70D48">
            <w:pPr>
              <w:jc w:val="center"/>
              <w:rPr>
                <w:b/>
                <w:bCs/>
              </w:rPr>
            </w:pPr>
          </w:p>
        </w:tc>
        <w:tc>
          <w:tcPr>
            <w:tcW w:w="1620" w:type="dxa"/>
            <w:gridSpan w:val="2"/>
            <w:tcBorders>
              <w:top w:val="nil"/>
              <w:left w:val="nil"/>
              <w:bottom w:val="single" w:sz="4" w:space="0" w:color="auto"/>
              <w:right w:val="single" w:sz="4" w:space="0" w:color="auto"/>
            </w:tcBorders>
            <w:noWrap/>
            <w:vAlign w:val="bottom"/>
          </w:tcPr>
          <w:p w:rsidR="00727D26" w:rsidRPr="007D5748" w:rsidRDefault="00727D26" w:rsidP="00A70D48">
            <w:pPr>
              <w:rPr>
                <w:b/>
                <w:bCs/>
              </w:rPr>
            </w:pPr>
            <w:r w:rsidRPr="007D5748">
              <w:rPr>
                <w:b/>
                <w:bCs/>
              </w:rPr>
              <w:t> </w:t>
            </w:r>
          </w:p>
        </w:tc>
      </w:tr>
      <w:tr w:rsidR="00727D26" w:rsidRPr="007D5748" w:rsidTr="00A70D48">
        <w:trPr>
          <w:trHeight w:val="255"/>
        </w:trPr>
        <w:tc>
          <w:tcPr>
            <w:tcW w:w="6188" w:type="dxa"/>
            <w:tcBorders>
              <w:top w:val="nil"/>
              <w:left w:val="single" w:sz="4" w:space="0" w:color="auto"/>
              <w:bottom w:val="single" w:sz="4" w:space="0" w:color="auto"/>
              <w:right w:val="single" w:sz="4" w:space="0" w:color="auto"/>
            </w:tcBorders>
          </w:tcPr>
          <w:p w:rsidR="00727D26" w:rsidRPr="007D5748" w:rsidRDefault="00727D26" w:rsidP="00A70D48">
            <w:r w:rsidRPr="007D5748">
              <w:rPr>
                <w:b/>
                <w:bCs/>
              </w:rPr>
              <w:t xml:space="preserve">   z toho vplyv na ŠR</w:t>
            </w:r>
          </w:p>
        </w:tc>
        <w:tc>
          <w:tcPr>
            <w:tcW w:w="1698" w:type="dxa"/>
            <w:tcBorders>
              <w:top w:val="nil"/>
              <w:left w:val="nil"/>
              <w:bottom w:val="single" w:sz="4" w:space="0" w:color="auto"/>
              <w:right w:val="single" w:sz="4" w:space="0" w:color="auto"/>
            </w:tcBorders>
          </w:tcPr>
          <w:p w:rsidR="00727D26" w:rsidRPr="007D5748" w:rsidRDefault="00727D26" w:rsidP="00A70D48">
            <w:pPr>
              <w:jc w:val="center"/>
            </w:pPr>
          </w:p>
        </w:tc>
        <w:tc>
          <w:tcPr>
            <w:tcW w:w="1788" w:type="dxa"/>
            <w:tcBorders>
              <w:top w:val="nil"/>
              <w:left w:val="nil"/>
              <w:bottom w:val="single" w:sz="4" w:space="0" w:color="auto"/>
              <w:right w:val="single" w:sz="4" w:space="0" w:color="auto"/>
            </w:tcBorders>
          </w:tcPr>
          <w:p w:rsidR="00727D26" w:rsidRPr="00DA4E97" w:rsidRDefault="00727D26" w:rsidP="00A70D48">
            <w:pPr>
              <w:jc w:val="center"/>
              <w:rPr>
                <w:b/>
                <w:bCs/>
              </w:rPr>
            </w:pPr>
          </w:p>
        </w:tc>
        <w:tc>
          <w:tcPr>
            <w:tcW w:w="2418" w:type="dxa"/>
            <w:gridSpan w:val="2"/>
            <w:tcBorders>
              <w:top w:val="nil"/>
              <w:left w:val="nil"/>
              <w:bottom w:val="single" w:sz="4" w:space="0" w:color="auto"/>
              <w:right w:val="single" w:sz="4" w:space="0" w:color="auto"/>
            </w:tcBorders>
          </w:tcPr>
          <w:p w:rsidR="00727D26" w:rsidRPr="00DA4E97" w:rsidRDefault="00727D26" w:rsidP="00A70D48">
            <w:pPr>
              <w:jc w:val="center"/>
              <w:rPr>
                <w:b/>
                <w:bCs/>
              </w:rPr>
            </w:pPr>
          </w:p>
        </w:tc>
        <w:tc>
          <w:tcPr>
            <w:tcW w:w="1722" w:type="dxa"/>
            <w:tcBorders>
              <w:top w:val="nil"/>
              <w:left w:val="nil"/>
              <w:bottom w:val="single" w:sz="4" w:space="0" w:color="auto"/>
              <w:right w:val="single" w:sz="4" w:space="0" w:color="auto"/>
            </w:tcBorders>
          </w:tcPr>
          <w:p w:rsidR="00727D26" w:rsidRPr="00DA4E97" w:rsidRDefault="00727D26" w:rsidP="00A70D48">
            <w:pPr>
              <w:jc w:val="center"/>
              <w:rPr>
                <w:b/>
                <w:bCs/>
              </w:rPr>
            </w:pPr>
          </w:p>
        </w:tc>
        <w:tc>
          <w:tcPr>
            <w:tcW w:w="1620" w:type="dxa"/>
            <w:gridSpan w:val="2"/>
            <w:tcBorders>
              <w:top w:val="nil"/>
              <w:left w:val="nil"/>
              <w:bottom w:val="single" w:sz="4" w:space="0" w:color="auto"/>
              <w:right w:val="single" w:sz="4" w:space="0" w:color="auto"/>
            </w:tcBorders>
            <w:noWrap/>
            <w:vAlign w:val="bottom"/>
          </w:tcPr>
          <w:p w:rsidR="00727D26" w:rsidRPr="007D5748" w:rsidRDefault="00727D26" w:rsidP="00A70D48">
            <w:r w:rsidRPr="007D5748">
              <w:t> </w:t>
            </w:r>
          </w:p>
        </w:tc>
      </w:tr>
      <w:tr w:rsidR="00727D26" w:rsidRPr="007D5748" w:rsidTr="00A70D48">
        <w:trPr>
          <w:trHeight w:val="255"/>
        </w:trPr>
        <w:tc>
          <w:tcPr>
            <w:tcW w:w="6188" w:type="dxa"/>
            <w:tcBorders>
              <w:top w:val="nil"/>
              <w:left w:val="nil"/>
              <w:bottom w:val="nil"/>
              <w:right w:val="nil"/>
            </w:tcBorders>
            <w:noWrap/>
            <w:vAlign w:val="bottom"/>
          </w:tcPr>
          <w:p w:rsidR="00727D26" w:rsidRPr="007D5748" w:rsidRDefault="00727D26" w:rsidP="00A70D48"/>
        </w:tc>
        <w:tc>
          <w:tcPr>
            <w:tcW w:w="1698" w:type="dxa"/>
            <w:tcBorders>
              <w:top w:val="nil"/>
              <w:left w:val="nil"/>
              <w:bottom w:val="nil"/>
              <w:right w:val="nil"/>
            </w:tcBorders>
            <w:noWrap/>
            <w:vAlign w:val="bottom"/>
          </w:tcPr>
          <w:p w:rsidR="00727D26" w:rsidRPr="007D5748" w:rsidRDefault="00727D26" w:rsidP="00A70D48"/>
        </w:tc>
        <w:tc>
          <w:tcPr>
            <w:tcW w:w="1788" w:type="dxa"/>
            <w:tcBorders>
              <w:top w:val="nil"/>
              <w:left w:val="nil"/>
              <w:bottom w:val="nil"/>
              <w:right w:val="nil"/>
            </w:tcBorders>
            <w:noWrap/>
            <w:vAlign w:val="bottom"/>
          </w:tcPr>
          <w:p w:rsidR="00727D26" w:rsidRPr="007D5748" w:rsidRDefault="00727D26" w:rsidP="00A70D48"/>
        </w:tc>
        <w:tc>
          <w:tcPr>
            <w:tcW w:w="2418" w:type="dxa"/>
            <w:gridSpan w:val="2"/>
            <w:tcBorders>
              <w:top w:val="nil"/>
              <w:left w:val="nil"/>
              <w:bottom w:val="nil"/>
              <w:right w:val="nil"/>
            </w:tcBorders>
            <w:noWrap/>
            <w:vAlign w:val="bottom"/>
          </w:tcPr>
          <w:p w:rsidR="00727D26" w:rsidRPr="007D5748" w:rsidRDefault="00727D26" w:rsidP="00A70D48"/>
        </w:tc>
        <w:tc>
          <w:tcPr>
            <w:tcW w:w="1722" w:type="dxa"/>
            <w:tcBorders>
              <w:top w:val="nil"/>
              <w:left w:val="nil"/>
              <w:bottom w:val="nil"/>
              <w:right w:val="nil"/>
            </w:tcBorders>
            <w:noWrap/>
            <w:vAlign w:val="bottom"/>
          </w:tcPr>
          <w:p w:rsidR="00727D26" w:rsidRPr="007D5748" w:rsidRDefault="00727D26" w:rsidP="00A70D48"/>
        </w:tc>
        <w:tc>
          <w:tcPr>
            <w:tcW w:w="1620" w:type="dxa"/>
            <w:gridSpan w:val="2"/>
            <w:tcBorders>
              <w:top w:val="nil"/>
              <w:left w:val="nil"/>
              <w:bottom w:val="nil"/>
              <w:right w:val="nil"/>
            </w:tcBorders>
            <w:noWrap/>
            <w:vAlign w:val="bottom"/>
          </w:tcPr>
          <w:p w:rsidR="00727D26" w:rsidRPr="007D5748" w:rsidRDefault="00727D26" w:rsidP="00A70D48"/>
        </w:tc>
      </w:tr>
      <w:tr w:rsidR="00727D26" w:rsidRPr="007D5748" w:rsidTr="00A70D48">
        <w:trPr>
          <w:trHeight w:val="255"/>
        </w:trPr>
        <w:tc>
          <w:tcPr>
            <w:tcW w:w="6188" w:type="dxa"/>
            <w:tcBorders>
              <w:top w:val="nil"/>
              <w:left w:val="nil"/>
              <w:bottom w:val="nil"/>
              <w:right w:val="nil"/>
            </w:tcBorders>
          </w:tcPr>
          <w:p w:rsidR="00727D26" w:rsidRPr="000E09D2" w:rsidRDefault="00727D26" w:rsidP="00A70D48">
            <w:pPr>
              <w:rPr>
                <w:b/>
                <w:bCs/>
                <w:sz w:val="20"/>
                <w:szCs w:val="20"/>
              </w:rPr>
            </w:pPr>
            <w:r w:rsidRPr="000E09D2">
              <w:rPr>
                <w:b/>
                <w:bCs/>
                <w:sz w:val="20"/>
                <w:szCs w:val="20"/>
              </w:rPr>
              <w:t>Poznámky:</w:t>
            </w:r>
          </w:p>
        </w:tc>
        <w:tc>
          <w:tcPr>
            <w:tcW w:w="1698" w:type="dxa"/>
            <w:tcBorders>
              <w:top w:val="nil"/>
              <w:left w:val="nil"/>
              <w:bottom w:val="nil"/>
              <w:right w:val="nil"/>
            </w:tcBorders>
            <w:noWrap/>
            <w:vAlign w:val="bottom"/>
          </w:tcPr>
          <w:p w:rsidR="00727D26" w:rsidRPr="000E09D2" w:rsidRDefault="00727D26" w:rsidP="00A70D48">
            <w:pPr>
              <w:rPr>
                <w:sz w:val="20"/>
                <w:szCs w:val="20"/>
              </w:rPr>
            </w:pPr>
          </w:p>
        </w:tc>
        <w:tc>
          <w:tcPr>
            <w:tcW w:w="1788" w:type="dxa"/>
            <w:tcBorders>
              <w:top w:val="nil"/>
              <w:left w:val="nil"/>
              <w:bottom w:val="nil"/>
              <w:right w:val="nil"/>
            </w:tcBorders>
            <w:noWrap/>
            <w:vAlign w:val="bottom"/>
          </w:tcPr>
          <w:p w:rsidR="00727D26" w:rsidRPr="000E09D2" w:rsidRDefault="00727D26" w:rsidP="00A70D48">
            <w:pPr>
              <w:rPr>
                <w:sz w:val="20"/>
                <w:szCs w:val="20"/>
              </w:rPr>
            </w:pPr>
          </w:p>
        </w:tc>
        <w:tc>
          <w:tcPr>
            <w:tcW w:w="2418" w:type="dxa"/>
            <w:gridSpan w:val="2"/>
            <w:tcBorders>
              <w:top w:val="nil"/>
              <w:left w:val="nil"/>
              <w:bottom w:val="nil"/>
              <w:right w:val="nil"/>
            </w:tcBorders>
            <w:noWrap/>
            <w:vAlign w:val="bottom"/>
          </w:tcPr>
          <w:p w:rsidR="00727D26" w:rsidRPr="000E09D2" w:rsidRDefault="00727D26" w:rsidP="00A70D48">
            <w:pPr>
              <w:rPr>
                <w:sz w:val="20"/>
                <w:szCs w:val="20"/>
              </w:rPr>
            </w:pPr>
          </w:p>
        </w:tc>
        <w:tc>
          <w:tcPr>
            <w:tcW w:w="1722" w:type="dxa"/>
            <w:tcBorders>
              <w:top w:val="nil"/>
              <w:left w:val="nil"/>
              <w:bottom w:val="nil"/>
              <w:right w:val="nil"/>
            </w:tcBorders>
            <w:noWrap/>
            <w:vAlign w:val="bottom"/>
          </w:tcPr>
          <w:p w:rsidR="00727D26" w:rsidRPr="007D5748" w:rsidRDefault="00727D26" w:rsidP="00A70D48"/>
        </w:tc>
        <w:tc>
          <w:tcPr>
            <w:tcW w:w="1620" w:type="dxa"/>
            <w:gridSpan w:val="2"/>
            <w:tcBorders>
              <w:top w:val="nil"/>
              <w:left w:val="nil"/>
              <w:bottom w:val="nil"/>
              <w:right w:val="nil"/>
            </w:tcBorders>
            <w:noWrap/>
            <w:vAlign w:val="bottom"/>
          </w:tcPr>
          <w:p w:rsidR="00727D26" w:rsidRPr="007D5748" w:rsidRDefault="00727D26" w:rsidP="00A70D48"/>
        </w:tc>
      </w:tr>
      <w:tr w:rsidR="00727D26" w:rsidRPr="007D5748" w:rsidTr="00A70D48">
        <w:trPr>
          <w:trHeight w:val="255"/>
        </w:trPr>
        <w:tc>
          <w:tcPr>
            <w:tcW w:w="13814" w:type="dxa"/>
            <w:gridSpan w:val="6"/>
            <w:tcBorders>
              <w:top w:val="nil"/>
              <w:left w:val="nil"/>
              <w:bottom w:val="nil"/>
              <w:right w:val="nil"/>
            </w:tcBorders>
            <w:noWrap/>
          </w:tcPr>
          <w:p w:rsidR="00727D26" w:rsidRPr="000E09D2" w:rsidRDefault="00727D26" w:rsidP="00A70D48">
            <w:pPr>
              <w:tabs>
                <w:tab w:val="num" w:pos="1080"/>
              </w:tabs>
              <w:jc w:val="both"/>
              <w:rPr>
                <w:bCs/>
                <w:sz w:val="20"/>
                <w:szCs w:val="20"/>
              </w:rPr>
            </w:pPr>
            <w:r w:rsidRPr="000E09D2">
              <w:rPr>
                <w:bCs/>
                <w:sz w:val="20"/>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27D26" w:rsidRPr="000E09D2" w:rsidRDefault="00727D26" w:rsidP="00A70D48">
            <w:pPr>
              <w:rPr>
                <w:sz w:val="20"/>
                <w:szCs w:val="20"/>
              </w:rPr>
            </w:pPr>
            <w:r w:rsidRPr="000E09D2">
              <w:rPr>
                <w:sz w:val="20"/>
                <w:szCs w:val="20"/>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727D26" w:rsidRPr="007D5748" w:rsidRDefault="00727D26" w:rsidP="00A70D48"/>
        </w:tc>
      </w:tr>
      <w:tr w:rsidR="00727D26" w:rsidRPr="007D5748" w:rsidTr="00A70D48">
        <w:trPr>
          <w:trHeight w:val="255"/>
        </w:trPr>
        <w:tc>
          <w:tcPr>
            <w:tcW w:w="10394" w:type="dxa"/>
            <w:gridSpan w:val="4"/>
            <w:tcBorders>
              <w:top w:val="nil"/>
              <w:left w:val="nil"/>
              <w:bottom w:val="nil"/>
              <w:right w:val="nil"/>
            </w:tcBorders>
            <w:noWrap/>
            <w:vAlign w:val="bottom"/>
          </w:tcPr>
          <w:p w:rsidR="00727D26" w:rsidRPr="000E09D2" w:rsidRDefault="00727D26" w:rsidP="00A70D48">
            <w:pPr>
              <w:rPr>
                <w:sz w:val="20"/>
                <w:szCs w:val="20"/>
              </w:rPr>
            </w:pPr>
            <w:r w:rsidRPr="000E09D2">
              <w:rPr>
                <w:sz w:val="20"/>
                <w:szCs w:val="20"/>
              </w:rPr>
              <w:t>Kategórie 610 a 620 sú z tejto prílohy prenášané do príslušných kategórií prílohy „výdavky“.</w:t>
            </w:r>
          </w:p>
          <w:p w:rsidR="00727D26" w:rsidRPr="000E09D2" w:rsidRDefault="00727D26" w:rsidP="00A70D48">
            <w:pPr>
              <w:rPr>
                <w:sz w:val="20"/>
                <w:szCs w:val="20"/>
              </w:rPr>
            </w:pPr>
          </w:p>
          <w:p w:rsidR="00727D26" w:rsidRPr="000E09D2" w:rsidRDefault="00727D26" w:rsidP="00A70D48">
            <w:pPr>
              <w:rPr>
                <w:sz w:val="20"/>
                <w:szCs w:val="20"/>
              </w:rPr>
            </w:pPr>
          </w:p>
          <w:p w:rsidR="00727D26" w:rsidRPr="000E09D2" w:rsidRDefault="00727D26" w:rsidP="00A70D48">
            <w:pPr>
              <w:rPr>
                <w:sz w:val="20"/>
                <w:szCs w:val="20"/>
              </w:rPr>
            </w:pPr>
          </w:p>
          <w:p w:rsidR="00727D26" w:rsidRPr="000E09D2" w:rsidRDefault="00727D26" w:rsidP="00A70D48">
            <w:pPr>
              <w:rPr>
                <w:sz w:val="20"/>
                <w:szCs w:val="20"/>
              </w:rPr>
            </w:pPr>
          </w:p>
        </w:tc>
        <w:tc>
          <w:tcPr>
            <w:tcW w:w="1698" w:type="dxa"/>
            <w:tcBorders>
              <w:top w:val="nil"/>
              <w:left w:val="nil"/>
              <w:bottom w:val="nil"/>
              <w:right w:val="nil"/>
            </w:tcBorders>
            <w:noWrap/>
            <w:vAlign w:val="bottom"/>
          </w:tcPr>
          <w:p w:rsidR="00727D26" w:rsidRPr="007D5748" w:rsidRDefault="00727D26" w:rsidP="00A70D48"/>
        </w:tc>
        <w:tc>
          <w:tcPr>
            <w:tcW w:w="2352" w:type="dxa"/>
            <w:gridSpan w:val="2"/>
            <w:tcBorders>
              <w:top w:val="nil"/>
              <w:left w:val="nil"/>
              <w:bottom w:val="nil"/>
              <w:right w:val="nil"/>
            </w:tcBorders>
            <w:noWrap/>
            <w:vAlign w:val="bottom"/>
          </w:tcPr>
          <w:p w:rsidR="00727D26" w:rsidRPr="007D5748" w:rsidRDefault="00727D26" w:rsidP="00A70D48"/>
        </w:tc>
        <w:tc>
          <w:tcPr>
            <w:tcW w:w="990" w:type="dxa"/>
            <w:tcBorders>
              <w:top w:val="nil"/>
              <w:left w:val="nil"/>
              <w:bottom w:val="nil"/>
              <w:right w:val="nil"/>
            </w:tcBorders>
            <w:noWrap/>
            <w:vAlign w:val="bottom"/>
          </w:tcPr>
          <w:p w:rsidR="00727D26" w:rsidRPr="007D5748" w:rsidRDefault="00727D26" w:rsidP="00A70D48"/>
        </w:tc>
      </w:tr>
    </w:tbl>
    <w:p w:rsidR="00727D26" w:rsidRPr="007D5748" w:rsidRDefault="00727D26" w:rsidP="00727D26">
      <w:pPr>
        <w:rPr>
          <w:b/>
          <w:bCs/>
        </w:rPr>
        <w:sectPr w:rsidR="00727D26" w:rsidRPr="007D5748">
          <w:pgSz w:w="16838" w:h="11906" w:orient="landscape"/>
          <w:pgMar w:top="1418" w:right="1418" w:bottom="1418"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27D26" w:rsidRPr="00524381" w:rsidTr="00524381">
        <w:trPr>
          <w:trHeight w:val="567"/>
        </w:trPr>
        <w:tc>
          <w:tcPr>
            <w:tcW w:w="9212" w:type="dxa"/>
            <w:shd w:val="clear" w:color="auto" w:fill="D9D9D9"/>
          </w:tcPr>
          <w:p w:rsidR="00727D26" w:rsidRPr="00524381" w:rsidRDefault="00727D26" w:rsidP="00524381">
            <w:pPr>
              <w:jc w:val="center"/>
              <w:rPr>
                <w:b/>
                <w:szCs w:val="22"/>
                <w:lang w:eastAsia="en-US"/>
              </w:rPr>
            </w:pPr>
            <w:r w:rsidRPr="00524381">
              <w:rPr>
                <w:b/>
                <w:sz w:val="28"/>
                <w:szCs w:val="22"/>
                <w:lang w:eastAsia="en-US"/>
              </w:rPr>
              <w:lastRenderedPageBreak/>
              <w:t xml:space="preserve">Analýza vplyvov na podnikateľské prostredie </w:t>
            </w:r>
          </w:p>
          <w:p w:rsidR="00727D26" w:rsidRPr="00524381" w:rsidRDefault="00727D26" w:rsidP="00524381">
            <w:pPr>
              <w:jc w:val="center"/>
              <w:rPr>
                <w:b/>
                <w:sz w:val="22"/>
                <w:szCs w:val="22"/>
                <w:lang w:eastAsia="en-US"/>
              </w:rPr>
            </w:pPr>
            <w:r w:rsidRPr="00524381">
              <w:rPr>
                <w:b/>
                <w:szCs w:val="22"/>
                <w:lang w:eastAsia="en-US"/>
              </w:rPr>
              <w:t>(vrátane testu MSP)</w:t>
            </w:r>
          </w:p>
        </w:tc>
      </w:tr>
      <w:tr w:rsidR="00727D26" w:rsidRPr="00524381" w:rsidTr="00524381">
        <w:trPr>
          <w:trHeight w:val="567"/>
        </w:trPr>
        <w:tc>
          <w:tcPr>
            <w:tcW w:w="9212" w:type="dxa"/>
            <w:shd w:val="clear" w:color="auto" w:fill="D9D9D9"/>
          </w:tcPr>
          <w:p w:rsidR="00727D26" w:rsidRPr="00524381" w:rsidRDefault="00727D26" w:rsidP="00A70D48">
            <w:pPr>
              <w:rPr>
                <w:b/>
                <w:szCs w:val="22"/>
                <w:lang w:eastAsia="en-US"/>
              </w:rPr>
            </w:pPr>
            <w:r w:rsidRPr="00524381">
              <w:rPr>
                <w:b/>
                <w:szCs w:val="22"/>
                <w:lang w:eastAsia="en-US"/>
              </w:rPr>
              <w:t>Materiál bude mať vplyv s ohľadom na veľkostnú kategóriu podnikov:</w:t>
            </w:r>
          </w:p>
        </w:tc>
      </w:tr>
      <w:tr w:rsidR="00727D26" w:rsidRPr="00524381" w:rsidTr="00524381">
        <w:trPr>
          <w:trHeight w:val="567"/>
        </w:trPr>
        <w:tc>
          <w:tcPr>
            <w:tcW w:w="9212" w:type="dxa"/>
            <w:shd w:val="clear" w:color="auto" w:fill="auto"/>
          </w:tcPr>
          <w:tbl>
            <w:tblPr>
              <w:tblW w:w="0" w:type="auto"/>
              <w:tblLook w:val="04A0" w:firstRow="1" w:lastRow="0" w:firstColumn="1" w:lastColumn="0" w:noHBand="0" w:noVBand="1"/>
            </w:tblPr>
            <w:tblGrid>
              <w:gridCol w:w="435"/>
              <w:gridCol w:w="8409"/>
            </w:tblGrid>
            <w:tr w:rsidR="00727D26" w:rsidRPr="003C289B" w:rsidTr="00524381">
              <w:tc>
                <w:tcPr>
                  <w:tcW w:w="436" w:type="dxa"/>
                  <w:tcBorders>
                    <w:top w:val="nil"/>
                    <w:left w:val="nil"/>
                    <w:bottom w:val="nil"/>
                    <w:right w:val="nil"/>
                  </w:tcBorders>
                  <w:shd w:val="clear" w:color="auto" w:fill="auto"/>
                </w:tcPr>
                <w:p w:rsidR="00727D26" w:rsidRPr="00524381" w:rsidRDefault="00727D26" w:rsidP="00524381">
                  <w:pPr>
                    <w:jc w:val="center"/>
                    <w:rPr>
                      <w:sz w:val="22"/>
                      <w:szCs w:val="22"/>
                      <w:lang w:eastAsia="en-US"/>
                    </w:rPr>
                  </w:pPr>
                  <w:r w:rsidRPr="00524381">
                    <w:rPr>
                      <w:rFonts w:ascii="Segoe UI Symbol" w:eastAsia="MS Mincho" w:hAnsi="Segoe UI Symbol" w:cs="Segoe UI Symbol"/>
                      <w:sz w:val="22"/>
                      <w:szCs w:val="22"/>
                      <w:lang w:eastAsia="en-US"/>
                    </w:rPr>
                    <w:t>☐</w:t>
                  </w:r>
                </w:p>
              </w:tc>
              <w:tc>
                <w:tcPr>
                  <w:tcW w:w="8545" w:type="dxa"/>
                  <w:tcBorders>
                    <w:top w:val="nil"/>
                    <w:left w:val="nil"/>
                    <w:bottom w:val="nil"/>
                    <w:right w:val="nil"/>
                  </w:tcBorders>
                  <w:shd w:val="clear" w:color="auto" w:fill="auto"/>
                </w:tcPr>
                <w:p w:rsidR="00727D26" w:rsidRPr="00524381" w:rsidRDefault="00727D26" w:rsidP="00A70D48">
                  <w:pPr>
                    <w:rPr>
                      <w:b/>
                      <w:sz w:val="22"/>
                      <w:szCs w:val="22"/>
                      <w:lang w:eastAsia="en-US"/>
                    </w:rPr>
                  </w:pPr>
                  <w:r w:rsidRPr="00524381">
                    <w:rPr>
                      <w:b/>
                      <w:sz w:val="22"/>
                      <w:szCs w:val="22"/>
                      <w:lang w:eastAsia="en-US"/>
                    </w:rPr>
                    <w:t xml:space="preserve">iba na MSP (0 - 249 zamestnancov) </w:t>
                  </w:r>
                </w:p>
              </w:tc>
            </w:tr>
            <w:tr w:rsidR="00727D26" w:rsidRPr="003C289B" w:rsidTr="00524381">
              <w:tc>
                <w:tcPr>
                  <w:tcW w:w="436" w:type="dxa"/>
                  <w:tcBorders>
                    <w:top w:val="nil"/>
                    <w:left w:val="nil"/>
                    <w:bottom w:val="nil"/>
                    <w:right w:val="nil"/>
                  </w:tcBorders>
                  <w:shd w:val="clear" w:color="auto" w:fill="auto"/>
                </w:tcPr>
                <w:p w:rsidR="00727D26" w:rsidRPr="00524381" w:rsidRDefault="00727D26" w:rsidP="00524381">
                  <w:pPr>
                    <w:jc w:val="center"/>
                    <w:rPr>
                      <w:sz w:val="22"/>
                      <w:szCs w:val="22"/>
                      <w:lang w:eastAsia="en-US"/>
                    </w:rPr>
                  </w:pPr>
                  <w:r w:rsidRPr="00524381">
                    <w:rPr>
                      <w:rFonts w:ascii="Segoe UI Symbol" w:eastAsia="MS Mincho" w:hAnsi="Segoe UI Symbol" w:cs="Segoe UI Symbol"/>
                      <w:sz w:val="22"/>
                      <w:szCs w:val="22"/>
                      <w:lang w:eastAsia="en-US"/>
                    </w:rPr>
                    <w:t>☐</w:t>
                  </w:r>
                </w:p>
              </w:tc>
              <w:tc>
                <w:tcPr>
                  <w:tcW w:w="8545" w:type="dxa"/>
                  <w:tcBorders>
                    <w:top w:val="nil"/>
                    <w:left w:val="nil"/>
                    <w:bottom w:val="nil"/>
                    <w:right w:val="nil"/>
                  </w:tcBorders>
                  <w:shd w:val="clear" w:color="auto" w:fill="auto"/>
                </w:tcPr>
                <w:p w:rsidR="00727D26" w:rsidRPr="00524381" w:rsidRDefault="00727D26" w:rsidP="00A70D48">
                  <w:pPr>
                    <w:rPr>
                      <w:b/>
                      <w:sz w:val="22"/>
                      <w:szCs w:val="22"/>
                      <w:lang w:eastAsia="en-US"/>
                    </w:rPr>
                  </w:pPr>
                  <w:r w:rsidRPr="00524381">
                    <w:rPr>
                      <w:b/>
                      <w:sz w:val="22"/>
                      <w:szCs w:val="22"/>
                      <w:lang w:eastAsia="en-US"/>
                    </w:rPr>
                    <w:t>iba na veľké podniky (250 a viac zamestnancov)</w:t>
                  </w:r>
                </w:p>
              </w:tc>
            </w:tr>
            <w:tr w:rsidR="00727D26" w:rsidRPr="003C289B" w:rsidTr="00524381">
              <w:tc>
                <w:tcPr>
                  <w:tcW w:w="436" w:type="dxa"/>
                  <w:tcBorders>
                    <w:top w:val="nil"/>
                    <w:left w:val="nil"/>
                    <w:bottom w:val="nil"/>
                    <w:right w:val="nil"/>
                  </w:tcBorders>
                  <w:shd w:val="clear" w:color="auto" w:fill="auto"/>
                </w:tcPr>
                <w:p w:rsidR="00727D26" w:rsidRPr="00524381" w:rsidRDefault="00727D26" w:rsidP="00524381">
                  <w:pPr>
                    <w:jc w:val="center"/>
                    <w:rPr>
                      <w:sz w:val="22"/>
                      <w:szCs w:val="22"/>
                      <w:lang w:eastAsia="en-US"/>
                    </w:rPr>
                  </w:pPr>
                  <w:r w:rsidRPr="00524381">
                    <w:rPr>
                      <w:rFonts w:ascii="Segoe UI Symbol" w:eastAsia="MS Gothic" w:hAnsi="Segoe UI Symbol" w:cs="Segoe UI Symbol"/>
                      <w:sz w:val="22"/>
                      <w:szCs w:val="22"/>
                      <w:lang w:eastAsia="en-US"/>
                    </w:rPr>
                    <w:t>☒</w:t>
                  </w:r>
                </w:p>
              </w:tc>
              <w:tc>
                <w:tcPr>
                  <w:tcW w:w="8545" w:type="dxa"/>
                  <w:tcBorders>
                    <w:top w:val="nil"/>
                    <w:left w:val="nil"/>
                    <w:bottom w:val="nil"/>
                    <w:right w:val="nil"/>
                  </w:tcBorders>
                  <w:shd w:val="clear" w:color="auto" w:fill="auto"/>
                </w:tcPr>
                <w:p w:rsidR="00727D26" w:rsidRPr="00524381" w:rsidRDefault="00727D26" w:rsidP="00A70D48">
                  <w:pPr>
                    <w:rPr>
                      <w:sz w:val="22"/>
                      <w:szCs w:val="22"/>
                      <w:lang w:eastAsia="en-US"/>
                    </w:rPr>
                  </w:pPr>
                  <w:r w:rsidRPr="00524381">
                    <w:rPr>
                      <w:b/>
                      <w:sz w:val="22"/>
                      <w:szCs w:val="22"/>
                      <w:lang w:eastAsia="en-US"/>
                    </w:rPr>
                    <w:t>na všetky kategórie podnikov</w:t>
                  </w:r>
                </w:p>
              </w:tc>
            </w:tr>
          </w:tbl>
          <w:p w:rsidR="00727D26" w:rsidRPr="00524381" w:rsidRDefault="00727D26" w:rsidP="00A70D48">
            <w:pPr>
              <w:rPr>
                <w:b/>
                <w:sz w:val="22"/>
                <w:szCs w:val="22"/>
                <w:lang w:eastAsia="en-US"/>
              </w:rPr>
            </w:pPr>
          </w:p>
        </w:tc>
      </w:tr>
      <w:tr w:rsidR="00727D26" w:rsidRPr="00524381" w:rsidTr="00524381">
        <w:tc>
          <w:tcPr>
            <w:tcW w:w="9212" w:type="dxa"/>
            <w:shd w:val="clear" w:color="auto" w:fill="D9D9D9"/>
          </w:tcPr>
          <w:p w:rsidR="00727D26" w:rsidRPr="00524381" w:rsidRDefault="00727D26" w:rsidP="00A70D48">
            <w:pPr>
              <w:rPr>
                <w:b/>
                <w:szCs w:val="22"/>
                <w:lang w:eastAsia="en-US"/>
              </w:rPr>
            </w:pPr>
            <w:r w:rsidRPr="00524381">
              <w:rPr>
                <w:b/>
                <w:szCs w:val="22"/>
                <w:lang w:eastAsia="en-US"/>
              </w:rPr>
              <w:t>3.1 Dotknuté podnikateľské subjekty</w:t>
            </w:r>
          </w:p>
          <w:p w:rsidR="00727D26" w:rsidRPr="00524381" w:rsidRDefault="00727D26" w:rsidP="00524381">
            <w:pPr>
              <w:ind w:left="284"/>
              <w:rPr>
                <w:b/>
                <w:sz w:val="22"/>
                <w:szCs w:val="22"/>
                <w:lang w:eastAsia="en-US"/>
              </w:rPr>
            </w:pPr>
            <w:r w:rsidRPr="00524381">
              <w:rPr>
                <w:szCs w:val="22"/>
                <w:lang w:eastAsia="en-US"/>
              </w:rPr>
              <w:t xml:space="preserve"> - </w:t>
            </w:r>
            <w:r w:rsidRPr="00524381">
              <w:rPr>
                <w:b/>
                <w:szCs w:val="22"/>
                <w:lang w:eastAsia="en-US"/>
              </w:rPr>
              <w:t>z toho MSP</w:t>
            </w:r>
          </w:p>
        </w:tc>
      </w:tr>
      <w:tr w:rsidR="00727D26" w:rsidRPr="00524381" w:rsidTr="00524381">
        <w:tc>
          <w:tcPr>
            <w:tcW w:w="9212" w:type="dxa"/>
            <w:shd w:val="clear" w:color="auto" w:fill="auto"/>
          </w:tcPr>
          <w:p w:rsidR="00727D26" w:rsidRPr="00524381" w:rsidRDefault="00727D26" w:rsidP="00524381">
            <w:pPr>
              <w:jc w:val="both"/>
              <w:rPr>
                <w:i/>
                <w:sz w:val="22"/>
                <w:szCs w:val="22"/>
                <w:lang w:eastAsia="en-US"/>
              </w:rPr>
            </w:pPr>
            <w:r w:rsidRPr="00524381">
              <w:rPr>
                <w:i/>
                <w:sz w:val="22"/>
                <w:szCs w:val="22"/>
                <w:lang w:eastAsia="en-US"/>
              </w:rPr>
              <w:t>Uveďte, aké podnikateľské subjekty budú predkladaným návrhom ovplyvnené.</w:t>
            </w:r>
          </w:p>
          <w:p w:rsidR="00727D26" w:rsidRPr="00524381" w:rsidRDefault="00727D26" w:rsidP="00524381">
            <w:pPr>
              <w:jc w:val="both"/>
              <w:rPr>
                <w:i/>
                <w:sz w:val="22"/>
                <w:szCs w:val="22"/>
                <w:lang w:eastAsia="en-US"/>
              </w:rPr>
            </w:pPr>
            <w:r w:rsidRPr="00524381">
              <w:rPr>
                <w:i/>
                <w:sz w:val="22"/>
                <w:szCs w:val="22"/>
                <w:lang w:eastAsia="en-US"/>
              </w:rPr>
              <w:t>Aký je ich počet?</w:t>
            </w:r>
          </w:p>
        </w:tc>
      </w:tr>
      <w:tr w:rsidR="00727D26" w:rsidRPr="003C289B" w:rsidTr="00524381">
        <w:trPr>
          <w:trHeight w:val="637"/>
        </w:trPr>
        <w:tc>
          <w:tcPr>
            <w:tcW w:w="9212" w:type="dxa"/>
            <w:shd w:val="clear" w:color="auto" w:fill="auto"/>
          </w:tcPr>
          <w:p w:rsidR="00727D26" w:rsidRPr="00524381" w:rsidRDefault="00727D26" w:rsidP="00A70D48">
            <w:pPr>
              <w:rPr>
                <w:sz w:val="20"/>
                <w:szCs w:val="20"/>
                <w:lang w:eastAsia="en-US"/>
              </w:rPr>
            </w:pPr>
          </w:p>
          <w:p w:rsidR="00727D26" w:rsidRPr="00524381" w:rsidRDefault="00727D26" w:rsidP="00524381">
            <w:pPr>
              <w:jc w:val="both"/>
              <w:rPr>
                <w:sz w:val="20"/>
                <w:szCs w:val="20"/>
                <w:lang w:eastAsia="en-US"/>
              </w:rPr>
            </w:pPr>
            <w:r w:rsidRPr="00524381">
              <w:rPr>
                <w:sz w:val="20"/>
                <w:szCs w:val="20"/>
                <w:lang w:eastAsia="en-US"/>
              </w:rPr>
              <w:t>Všeobecne sa predpokladá, že návrh zákona ovplyvní tie podnikateľské subjekty, ktoré obchodujú s minerálnym olejom. Predovšetkým tie subjekty, ktoré sú registrované a evidované colnými úradmi podľa príslušných ustanovení zákona o spotrebnej dani z minerálneho oleja.</w:t>
            </w:r>
          </w:p>
          <w:p w:rsidR="00727D26" w:rsidRPr="00524381" w:rsidRDefault="00727D26" w:rsidP="00A70D48">
            <w:pPr>
              <w:rPr>
                <w:sz w:val="20"/>
                <w:szCs w:val="20"/>
                <w:lang w:eastAsia="en-US"/>
              </w:rPr>
            </w:pPr>
          </w:p>
        </w:tc>
      </w:tr>
      <w:tr w:rsidR="00727D26" w:rsidRPr="00524381" w:rsidTr="00524381">
        <w:trPr>
          <w:trHeight w:val="339"/>
        </w:trPr>
        <w:tc>
          <w:tcPr>
            <w:tcW w:w="9212" w:type="dxa"/>
            <w:shd w:val="clear" w:color="auto" w:fill="D9D9D9"/>
          </w:tcPr>
          <w:p w:rsidR="00727D26" w:rsidRPr="00524381" w:rsidRDefault="00727D26" w:rsidP="00A70D48">
            <w:pPr>
              <w:rPr>
                <w:b/>
                <w:szCs w:val="22"/>
                <w:lang w:eastAsia="en-US"/>
              </w:rPr>
            </w:pPr>
            <w:r w:rsidRPr="00524381">
              <w:rPr>
                <w:b/>
                <w:szCs w:val="22"/>
                <w:lang w:eastAsia="en-US"/>
              </w:rPr>
              <w:t>3.2 Vyhodnotenie konzultácií</w:t>
            </w:r>
          </w:p>
          <w:p w:rsidR="00727D26" w:rsidRPr="00524381" w:rsidRDefault="00727D26" w:rsidP="00A70D48">
            <w:pPr>
              <w:rPr>
                <w:b/>
                <w:sz w:val="22"/>
                <w:szCs w:val="22"/>
                <w:lang w:eastAsia="en-US"/>
              </w:rPr>
            </w:pPr>
            <w:r w:rsidRPr="00524381">
              <w:rPr>
                <w:szCs w:val="22"/>
                <w:lang w:eastAsia="en-US"/>
              </w:rPr>
              <w:t xml:space="preserve">       - </w:t>
            </w:r>
            <w:r w:rsidRPr="00524381">
              <w:rPr>
                <w:b/>
                <w:szCs w:val="22"/>
                <w:lang w:eastAsia="en-US"/>
              </w:rPr>
              <w:t>z toho MSP</w:t>
            </w:r>
          </w:p>
        </w:tc>
      </w:tr>
      <w:tr w:rsidR="00727D26" w:rsidRPr="00524381" w:rsidTr="00524381">
        <w:trPr>
          <w:trHeight w:val="557"/>
        </w:trPr>
        <w:tc>
          <w:tcPr>
            <w:tcW w:w="9212" w:type="dxa"/>
            <w:shd w:val="clear" w:color="auto" w:fill="auto"/>
          </w:tcPr>
          <w:p w:rsidR="00727D26" w:rsidRPr="00524381" w:rsidRDefault="00727D26" w:rsidP="00524381">
            <w:pPr>
              <w:jc w:val="both"/>
              <w:rPr>
                <w:i/>
                <w:sz w:val="22"/>
                <w:szCs w:val="22"/>
                <w:lang w:eastAsia="en-US"/>
              </w:rPr>
            </w:pPr>
            <w:r w:rsidRPr="00524381">
              <w:rPr>
                <w:i/>
                <w:sz w:val="22"/>
                <w:szCs w:val="22"/>
                <w:lang w:eastAsia="en-US"/>
              </w:rPr>
              <w:t>Uveďte, akou formou (verejné alebo cielené konzultácie a prečo) a s kým bol návrh konzultovaný.</w:t>
            </w:r>
          </w:p>
          <w:p w:rsidR="00727D26" w:rsidRPr="00524381" w:rsidRDefault="00727D26" w:rsidP="00524381">
            <w:pPr>
              <w:jc w:val="both"/>
              <w:rPr>
                <w:i/>
                <w:sz w:val="22"/>
                <w:szCs w:val="22"/>
                <w:lang w:eastAsia="en-US"/>
              </w:rPr>
            </w:pPr>
            <w:r w:rsidRPr="00524381">
              <w:rPr>
                <w:i/>
                <w:sz w:val="22"/>
                <w:szCs w:val="22"/>
                <w:lang w:eastAsia="en-US"/>
              </w:rPr>
              <w:t>Ako dlho trvali konzultácie?</w:t>
            </w:r>
          </w:p>
          <w:p w:rsidR="00727D26" w:rsidRPr="00524381" w:rsidRDefault="00727D26" w:rsidP="00524381">
            <w:pPr>
              <w:jc w:val="both"/>
              <w:rPr>
                <w:i/>
                <w:sz w:val="22"/>
                <w:szCs w:val="22"/>
                <w:lang w:eastAsia="en-US"/>
              </w:rPr>
            </w:pPr>
            <w:r w:rsidRPr="00524381">
              <w:rPr>
                <w:i/>
                <w:sz w:val="22"/>
                <w:szCs w:val="22"/>
                <w:lang w:eastAsia="en-US"/>
              </w:rPr>
              <w:t xml:space="preserve">Uveďte hlavné body konzultácií a výsledky konzultácií. </w:t>
            </w:r>
          </w:p>
        </w:tc>
      </w:tr>
      <w:tr w:rsidR="00727D26" w:rsidRPr="003C289B" w:rsidTr="00524381">
        <w:trPr>
          <w:trHeight w:val="1440"/>
        </w:trPr>
        <w:tc>
          <w:tcPr>
            <w:tcW w:w="9212" w:type="dxa"/>
            <w:shd w:val="clear" w:color="auto" w:fill="auto"/>
          </w:tcPr>
          <w:p w:rsidR="00727D26" w:rsidRPr="00524381" w:rsidRDefault="00727D26" w:rsidP="00524381">
            <w:pPr>
              <w:jc w:val="both"/>
              <w:rPr>
                <w:sz w:val="20"/>
                <w:szCs w:val="20"/>
                <w:lang w:eastAsia="en-US"/>
              </w:rPr>
            </w:pPr>
          </w:p>
          <w:p w:rsidR="00727D26" w:rsidRPr="00524381" w:rsidRDefault="00727D26" w:rsidP="00524381">
            <w:pPr>
              <w:pStyle w:val="Obyajntext"/>
              <w:jc w:val="both"/>
              <w:rPr>
                <w:rFonts w:ascii="Times New Roman" w:hAnsi="Times New Roman"/>
                <w:sz w:val="20"/>
                <w:szCs w:val="20"/>
              </w:rPr>
            </w:pPr>
            <w:r w:rsidRPr="00524381">
              <w:rPr>
                <w:rFonts w:ascii="Times New Roman" w:hAnsi="Times New Roman"/>
                <w:sz w:val="20"/>
                <w:szCs w:val="20"/>
              </w:rPr>
              <w:t xml:space="preserve">Na základe zverejnenej predbežnej informácie PI/2020/34 od ukončenia lehoty na predkladanie návrhov a pripomienok uvedených v tejto predbežnej informácii do predloženia návrhu zákona na vnútrorezortné pripomienkové konanie sa uskutočnili verejné konzultácie k pripravovanému návrhu zákona s podnikateľskými subjektami, ktoré obchodujú s minerálnymi olejmi v obmedzenom rozsahu z dôvodu opatrení súvisiacich s COVID-19, a to len formou telefonických hovorov alebo </w:t>
            </w:r>
            <w:proofErr w:type="spellStart"/>
            <w:r w:rsidRPr="00524381">
              <w:rPr>
                <w:rFonts w:ascii="Times New Roman" w:hAnsi="Times New Roman"/>
                <w:sz w:val="20"/>
                <w:szCs w:val="20"/>
              </w:rPr>
              <w:t>telekonferencií</w:t>
            </w:r>
            <w:proofErr w:type="spellEnd"/>
            <w:r w:rsidRPr="00524381">
              <w:rPr>
                <w:rFonts w:ascii="Times New Roman" w:hAnsi="Times New Roman"/>
                <w:sz w:val="20"/>
                <w:szCs w:val="20"/>
              </w:rPr>
              <w:t>. Hlavnou témou týchto konzultácií bolo oboznámiť podnikateľskú verejnosť s</w:t>
            </w:r>
          </w:p>
          <w:p w:rsidR="00727D26" w:rsidRPr="00524381" w:rsidRDefault="00727D26" w:rsidP="00524381">
            <w:pPr>
              <w:pStyle w:val="Obyajntext"/>
              <w:numPr>
                <w:ilvl w:val="0"/>
                <w:numId w:val="14"/>
              </w:numPr>
              <w:ind w:left="284" w:hanging="284"/>
              <w:jc w:val="both"/>
              <w:rPr>
                <w:rFonts w:ascii="Times New Roman" w:hAnsi="Times New Roman"/>
                <w:sz w:val="20"/>
                <w:szCs w:val="20"/>
              </w:rPr>
            </w:pPr>
            <w:r w:rsidRPr="00524381">
              <w:rPr>
                <w:rFonts w:ascii="Times New Roman" w:hAnsi="Times New Roman"/>
                <w:sz w:val="20"/>
                <w:szCs w:val="20"/>
              </w:rPr>
              <w:t>transpozíciou smernice Rady (EÚ) 2020/262 z 19. decembra 2019, ktorou sa stanovuje všeobecný systém spotrebných daní do legislatívy Slovenskej republiky a</w:t>
            </w:r>
          </w:p>
          <w:p w:rsidR="00727D26" w:rsidRPr="00524381" w:rsidRDefault="00727D26" w:rsidP="00524381">
            <w:pPr>
              <w:pStyle w:val="Obyajntext"/>
              <w:numPr>
                <w:ilvl w:val="0"/>
                <w:numId w:val="14"/>
              </w:numPr>
              <w:ind w:left="284" w:hanging="284"/>
              <w:jc w:val="both"/>
              <w:rPr>
                <w:rFonts w:ascii="Times New Roman" w:hAnsi="Times New Roman"/>
                <w:sz w:val="20"/>
                <w:szCs w:val="20"/>
              </w:rPr>
            </w:pPr>
            <w:r w:rsidRPr="00524381">
              <w:rPr>
                <w:rFonts w:ascii="Times New Roman" w:hAnsi="Times New Roman"/>
                <w:sz w:val="20"/>
                <w:szCs w:val="20"/>
              </w:rPr>
              <w:t>oblasťami, ktorých by sa mal dotknúť návrh zákona, a to predovšetkým s návrhom legislatívnej úpravy na odber a požitie daňovo zvýhodneného minerálneho oleja a návrh postupu pri preprave pohonných látok na daňovom území v daňovom voľnom obehu so zjednodušeným elektronickým administratívnym dokumentom vyhotoveným prostredníctvom elektronického systému.</w:t>
            </w:r>
          </w:p>
          <w:p w:rsidR="00727D26" w:rsidRPr="00524381" w:rsidRDefault="00727D26" w:rsidP="00524381">
            <w:pPr>
              <w:pStyle w:val="Normlnywebov"/>
              <w:spacing w:before="0" w:beforeAutospacing="0" w:after="0" w:afterAutospacing="0"/>
              <w:jc w:val="both"/>
              <w:rPr>
                <w:rFonts w:ascii="Calibri" w:hAnsi="Calibri"/>
                <w:sz w:val="20"/>
                <w:szCs w:val="20"/>
                <w:lang w:eastAsia="en-US"/>
              </w:rPr>
            </w:pPr>
            <w:r w:rsidRPr="00524381">
              <w:rPr>
                <w:rFonts w:ascii="Calibri" w:hAnsi="Calibri"/>
                <w:sz w:val="20"/>
                <w:szCs w:val="20"/>
                <w:lang w:eastAsia="en-US"/>
              </w:rPr>
              <w:t>Návrhy a pripomienky daňových subjektov vznesené v rámci lehoty na vyjadrenie k predbežnej informácii a zaslané na základe dohovoru v rámci verejných konzultácií, boli zapracované do návrhu zákona.</w:t>
            </w:r>
          </w:p>
          <w:p w:rsidR="00727D26" w:rsidRPr="00524381" w:rsidRDefault="00727D26" w:rsidP="00524381">
            <w:pPr>
              <w:pStyle w:val="Normlnywebov"/>
              <w:spacing w:before="0" w:beforeAutospacing="0" w:after="0" w:afterAutospacing="0"/>
              <w:jc w:val="both"/>
              <w:rPr>
                <w:rFonts w:ascii="Calibri" w:hAnsi="Calibri"/>
                <w:sz w:val="20"/>
                <w:szCs w:val="20"/>
                <w:lang w:eastAsia="en-US"/>
              </w:rPr>
            </w:pPr>
          </w:p>
        </w:tc>
      </w:tr>
      <w:tr w:rsidR="00727D26" w:rsidRPr="00524381" w:rsidTr="00524381">
        <w:tc>
          <w:tcPr>
            <w:tcW w:w="9212" w:type="dxa"/>
            <w:shd w:val="clear" w:color="auto" w:fill="D9D9D9"/>
          </w:tcPr>
          <w:p w:rsidR="00727D26" w:rsidRPr="00524381" w:rsidRDefault="00727D26" w:rsidP="00A70D48">
            <w:pPr>
              <w:rPr>
                <w:b/>
                <w:szCs w:val="22"/>
                <w:lang w:eastAsia="en-US"/>
              </w:rPr>
            </w:pPr>
            <w:r w:rsidRPr="00524381">
              <w:rPr>
                <w:b/>
                <w:szCs w:val="22"/>
                <w:lang w:eastAsia="en-US"/>
              </w:rPr>
              <w:t>3.3 Náklady regulácie</w:t>
            </w:r>
          </w:p>
          <w:p w:rsidR="00727D26" w:rsidRPr="00524381" w:rsidRDefault="00727D26" w:rsidP="00A70D48">
            <w:pPr>
              <w:rPr>
                <w:b/>
                <w:sz w:val="22"/>
                <w:szCs w:val="22"/>
                <w:lang w:eastAsia="en-US"/>
              </w:rPr>
            </w:pPr>
            <w:r w:rsidRPr="00524381">
              <w:rPr>
                <w:szCs w:val="22"/>
                <w:lang w:eastAsia="en-US"/>
              </w:rPr>
              <w:t xml:space="preserve">      - </w:t>
            </w:r>
            <w:r w:rsidRPr="00524381">
              <w:rPr>
                <w:b/>
                <w:szCs w:val="22"/>
                <w:lang w:eastAsia="en-US"/>
              </w:rPr>
              <w:t>z toho MSP</w:t>
            </w:r>
          </w:p>
        </w:tc>
      </w:tr>
      <w:tr w:rsidR="00727D26" w:rsidRPr="00524381" w:rsidTr="00524381">
        <w:tc>
          <w:tcPr>
            <w:tcW w:w="9212" w:type="dxa"/>
            <w:shd w:val="clear" w:color="auto" w:fill="auto"/>
          </w:tcPr>
          <w:p w:rsidR="00727D26" w:rsidRPr="00524381" w:rsidRDefault="00727D26" w:rsidP="00A70D48">
            <w:pPr>
              <w:rPr>
                <w:b/>
                <w:i/>
                <w:sz w:val="22"/>
                <w:szCs w:val="22"/>
                <w:lang w:eastAsia="en-US"/>
              </w:rPr>
            </w:pPr>
            <w:r w:rsidRPr="00524381">
              <w:rPr>
                <w:b/>
                <w:i/>
                <w:sz w:val="22"/>
                <w:szCs w:val="22"/>
                <w:lang w:eastAsia="en-US"/>
              </w:rPr>
              <w:t>3.3.1 Priame finančné náklady</w:t>
            </w:r>
          </w:p>
          <w:p w:rsidR="00727D26" w:rsidRPr="00524381" w:rsidRDefault="00727D26" w:rsidP="00524381">
            <w:pPr>
              <w:jc w:val="both"/>
              <w:rPr>
                <w:i/>
                <w:sz w:val="22"/>
                <w:szCs w:val="22"/>
                <w:lang w:eastAsia="en-US"/>
              </w:rPr>
            </w:pPr>
            <w:r w:rsidRPr="00524381">
              <w:rPr>
                <w:i/>
                <w:sz w:val="22"/>
                <w:szCs w:val="22"/>
                <w:lang w:eastAsia="en-US"/>
              </w:rPr>
              <w:t xml:space="preserve">Dochádza k zvýšeniu/zníženiu priamych finančných nákladov (poplatky, odvody, dane clá...)? Ak áno, popíšte a vyčíslite ich. Uveďte tiež spôsob ich výpočtu. </w:t>
            </w:r>
          </w:p>
        </w:tc>
      </w:tr>
      <w:tr w:rsidR="00727D26" w:rsidRPr="00524381" w:rsidTr="00524381">
        <w:tc>
          <w:tcPr>
            <w:tcW w:w="9212" w:type="dxa"/>
            <w:shd w:val="clear" w:color="auto" w:fill="auto"/>
          </w:tcPr>
          <w:p w:rsidR="00727D26" w:rsidRPr="00524381" w:rsidRDefault="00727D26" w:rsidP="00524381">
            <w:pPr>
              <w:jc w:val="both"/>
              <w:rPr>
                <w:sz w:val="20"/>
                <w:szCs w:val="20"/>
                <w:lang w:eastAsia="en-US"/>
              </w:rPr>
            </w:pPr>
          </w:p>
          <w:p w:rsidR="00727D26" w:rsidRPr="00524381" w:rsidRDefault="00727D26" w:rsidP="00524381">
            <w:pPr>
              <w:jc w:val="both"/>
              <w:rPr>
                <w:sz w:val="20"/>
                <w:szCs w:val="20"/>
                <w:lang w:eastAsia="en-US"/>
              </w:rPr>
            </w:pPr>
            <w:r w:rsidRPr="00524381">
              <w:rPr>
                <w:sz w:val="20"/>
                <w:szCs w:val="20"/>
                <w:lang w:eastAsia="en-US"/>
              </w:rPr>
              <w:t xml:space="preserve">Predpokladá sa zníženie priamych finančných nákladov zavedením jednej sadzby dane na motorový benzín a jednej sadzby na motorovú naftu na úrovni doterajšej zníženej sadzby dane na tieto pohonné látky pre približne 2 % daňových subjektov, ktoré doteraz uplatňovali základnú sadzbu dane na tieto minerálne oleje. Tieto znížené náklady by mali byť vo výške rozdielu navrhovanej sadzby dane a základnej sadzby dane, ktorá by bola ustanovená od 1. januára 2021 v súlade so schválenou štátnou pomocou </w:t>
            </w:r>
            <w:r w:rsidRPr="00524381">
              <w:rPr>
                <w:bCs/>
                <w:color w:val="000000"/>
                <w:sz w:val="20"/>
                <w:szCs w:val="20"/>
                <w:lang w:eastAsia="en-US"/>
              </w:rPr>
              <w:t xml:space="preserve">SA. 49509 – Slovensko - Daňové zvýhodnenie </w:t>
            </w:r>
            <w:proofErr w:type="spellStart"/>
            <w:r w:rsidRPr="00524381">
              <w:rPr>
                <w:bCs/>
                <w:color w:val="000000"/>
                <w:sz w:val="20"/>
                <w:szCs w:val="20"/>
                <w:lang w:eastAsia="en-US"/>
              </w:rPr>
              <w:t>biopalív</w:t>
            </w:r>
            <w:proofErr w:type="spellEnd"/>
            <w:r w:rsidRPr="00524381">
              <w:rPr>
                <w:sz w:val="20"/>
                <w:szCs w:val="20"/>
                <w:lang w:eastAsia="en-US"/>
              </w:rPr>
              <w:t>. Zároveň sa predpokladá zníženie finančných nákladov pre tie subjekty, ktoré si doteraz uplatňovali zníženú sadzbu dane, a to v súvislosti so znížením administratívnej záťaže súvisiacej s preukazovaním splnenia podmienok na uplatnenie zníženej sadzby dane.</w:t>
            </w:r>
          </w:p>
          <w:p w:rsidR="00727D26" w:rsidRPr="00524381" w:rsidRDefault="00727D26" w:rsidP="00524381">
            <w:pPr>
              <w:jc w:val="both"/>
              <w:rPr>
                <w:sz w:val="20"/>
                <w:szCs w:val="20"/>
                <w:lang w:eastAsia="en-US"/>
              </w:rPr>
            </w:pPr>
          </w:p>
        </w:tc>
      </w:tr>
      <w:tr w:rsidR="00727D26" w:rsidRPr="00524381" w:rsidTr="00524381">
        <w:tc>
          <w:tcPr>
            <w:tcW w:w="9212" w:type="dxa"/>
            <w:shd w:val="clear" w:color="auto" w:fill="auto"/>
          </w:tcPr>
          <w:p w:rsidR="00727D26" w:rsidRPr="00524381" w:rsidRDefault="00727D26" w:rsidP="00A70D48">
            <w:pPr>
              <w:rPr>
                <w:b/>
                <w:i/>
                <w:sz w:val="22"/>
                <w:szCs w:val="22"/>
                <w:lang w:eastAsia="en-US"/>
              </w:rPr>
            </w:pPr>
            <w:r w:rsidRPr="00524381">
              <w:rPr>
                <w:b/>
                <w:i/>
                <w:sz w:val="22"/>
                <w:szCs w:val="22"/>
                <w:lang w:eastAsia="en-US"/>
              </w:rPr>
              <w:t>3.3.2 Nepriame finančné náklady</w:t>
            </w:r>
          </w:p>
          <w:p w:rsidR="00727D26" w:rsidRPr="00524381" w:rsidRDefault="00727D26" w:rsidP="00524381">
            <w:pPr>
              <w:jc w:val="both"/>
              <w:rPr>
                <w:i/>
                <w:sz w:val="22"/>
                <w:szCs w:val="22"/>
                <w:lang w:eastAsia="en-US"/>
              </w:rPr>
            </w:pPr>
            <w:r w:rsidRPr="00524381">
              <w:rPr>
                <w:i/>
                <w:sz w:val="22"/>
                <w:szCs w:val="22"/>
                <w:lang w:eastAsia="en-US"/>
              </w:rPr>
              <w:lastRenderedPageBreak/>
              <w:t>Vyžaduje si predkladaný návrh dodatočné náklady na nákup tovarov alebo služieb? Zvyšuje predkladaný návrh náklady súvisiace so zamestnávaním? Ak áno, popíšte a vyčíslite ich. Uveďte tiež spôsob ich výpočtu.</w:t>
            </w:r>
          </w:p>
        </w:tc>
      </w:tr>
      <w:tr w:rsidR="00727D26" w:rsidRPr="00524381" w:rsidTr="00524381">
        <w:tc>
          <w:tcPr>
            <w:tcW w:w="9212" w:type="dxa"/>
            <w:shd w:val="clear" w:color="auto" w:fill="auto"/>
          </w:tcPr>
          <w:p w:rsidR="00727D26" w:rsidRPr="00524381" w:rsidRDefault="00727D26" w:rsidP="00A70D48">
            <w:pPr>
              <w:rPr>
                <w:sz w:val="20"/>
                <w:szCs w:val="20"/>
                <w:lang w:eastAsia="en-US"/>
              </w:rPr>
            </w:pPr>
          </w:p>
          <w:p w:rsidR="00727D26" w:rsidRPr="00524381" w:rsidRDefault="00727D26" w:rsidP="00A70D48">
            <w:pPr>
              <w:rPr>
                <w:sz w:val="20"/>
                <w:szCs w:val="20"/>
                <w:lang w:eastAsia="en-US"/>
              </w:rPr>
            </w:pPr>
            <w:r w:rsidRPr="00524381">
              <w:rPr>
                <w:sz w:val="20"/>
                <w:szCs w:val="20"/>
                <w:lang w:eastAsia="en-US"/>
              </w:rPr>
              <w:t>Nepredpokladajú sa nepriame finančné náklady.</w:t>
            </w:r>
          </w:p>
          <w:p w:rsidR="00727D26" w:rsidRPr="00524381" w:rsidRDefault="00727D26" w:rsidP="00A70D48">
            <w:pPr>
              <w:rPr>
                <w:sz w:val="20"/>
                <w:szCs w:val="20"/>
                <w:lang w:eastAsia="en-US"/>
              </w:rPr>
            </w:pPr>
          </w:p>
        </w:tc>
      </w:tr>
      <w:tr w:rsidR="00727D26" w:rsidRPr="00524381" w:rsidTr="00524381">
        <w:tc>
          <w:tcPr>
            <w:tcW w:w="9212" w:type="dxa"/>
            <w:shd w:val="clear" w:color="auto" w:fill="auto"/>
          </w:tcPr>
          <w:p w:rsidR="00727D26" w:rsidRPr="00524381" w:rsidRDefault="00727D26" w:rsidP="00A70D48">
            <w:pPr>
              <w:rPr>
                <w:b/>
                <w:i/>
                <w:sz w:val="22"/>
                <w:szCs w:val="22"/>
                <w:lang w:eastAsia="en-US"/>
              </w:rPr>
            </w:pPr>
            <w:r w:rsidRPr="00524381">
              <w:rPr>
                <w:b/>
                <w:i/>
                <w:sz w:val="22"/>
                <w:szCs w:val="22"/>
                <w:lang w:eastAsia="en-US"/>
              </w:rPr>
              <w:t>3.3.3 Administratívne náklady</w:t>
            </w:r>
          </w:p>
          <w:p w:rsidR="00727D26" w:rsidRPr="00524381" w:rsidRDefault="00727D26" w:rsidP="00524381">
            <w:pPr>
              <w:jc w:val="both"/>
              <w:rPr>
                <w:i/>
                <w:sz w:val="22"/>
                <w:szCs w:val="22"/>
                <w:lang w:eastAsia="en-US"/>
              </w:rPr>
            </w:pPr>
            <w:r w:rsidRPr="00524381">
              <w:rPr>
                <w:i/>
                <w:sz w:val="22"/>
                <w:szCs w:val="22"/>
                <w:lang w:eastAsia="en-US"/>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727D26" w:rsidRPr="003C289B" w:rsidTr="00524381">
        <w:tc>
          <w:tcPr>
            <w:tcW w:w="9212" w:type="dxa"/>
            <w:shd w:val="clear" w:color="auto" w:fill="auto"/>
          </w:tcPr>
          <w:p w:rsidR="00727D26" w:rsidRPr="00524381" w:rsidRDefault="00727D26" w:rsidP="00A70D48">
            <w:pPr>
              <w:rPr>
                <w:sz w:val="20"/>
                <w:szCs w:val="20"/>
                <w:lang w:eastAsia="en-US"/>
              </w:rPr>
            </w:pPr>
          </w:p>
          <w:p w:rsidR="00727D26" w:rsidRPr="00524381" w:rsidRDefault="00727D26" w:rsidP="00524381">
            <w:pPr>
              <w:jc w:val="both"/>
              <w:rPr>
                <w:sz w:val="20"/>
                <w:szCs w:val="20"/>
                <w:lang w:eastAsia="en-US"/>
              </w:rPr>
            </w:pPr>
            <w:r w:rsidRPr="00524381">
              <w:rPr>
                <w:sz w:val="20"/>
                <w:szCs w:val="20"/>
                <w:lang w:eastAsia="en-US"/>
              </w:rPr>
              <w:t xml:space="preserve">Predpokladá sa zvýšenie administratívnej záťaže pre tie subjekty, ktoré budú povinné požiadať colný úrad o registráciu schváleného odosielateľa, schváleného príjemcu a užívateľského podniku. Predpokladá sa tiež z dlhodobého hľadiska zníženie administratívnej záťaže pre užívateľské podniky (zrušenie odberných poukazov) a daňové subjekty, ktoré uvádzajú do daňového voľného obehu motorovú naftu a motorový benzín (zrušenie povinnosti preukazovania objemu </w:t>
            </w:r>
            <w:proofErr w:type="spellStart"/>
            <w:r w:rsidRPr="00524381">
              <w:rPr>
                <w:sz w:val="20"/>
                <w:szCs w:val="20"/>
                <w:lang w:eastAsia="en-US"/>
              </w:rPr>
              <w:t>biopaliva</w:t>
            </w:r>
            <w:proofErr w:type="spellEnd"/>
            <w:r w:rsidRPr="00524381">
              <w:rPr>
                <w:sz w:val="20"/>
                <w:szCs w:val="20"/>
                <w:lang w:eastAsia="en-US"/>
              </w:rPr>
              <w:t xml:space="preserve"> v týchto pohonných látkach z dôvodu uplatnenia zvýhodnenej sadzby dane). Uvedené náklady nie je možné jednoznačne kvantifikovať.</w:t>
            </w:r>
          </w:p>
          <w:p w:rsidR="00727D26" w:rsidRPr="00524381" w:rsidRDefault="00727D26" w:rsidP="00A70D48">
            <w:pPr>
              <w:rPr>
                <w:sz w:val="20"/>
                <w:szCs w:val="20"/>
                <w:lang w:eastAsia="en-US"/>
              </w:rPr>
            </w:pPr>
          </w:p>
        </w:tc>
      </w:tr>
      <w:tr w:rsidR="00727D26" w:rsidRPr="00524381" w:rsidTr="00524381">
        <w:trPr>
          <w:trHeight w:val="2318"/>
        </w:trPr>
        <w:tc>
          <w:tcPr>
            <w:tcW w:w="9212" w:type="dxa"/>
            <w:shd w:val="clear" w:color="auto" w:fill="auto"/>
          </w:tcPr>
          <w:p w:rsidR="00727D26" w:rsidRPr="00524381" w:rsidRDefault="00727D26" w:rsidP="00A70D48">
            <w:pPr>
              <w:rPr>
                <w:i/>
                <w:sz w:val="22"/>
                <w:szCs w:val="22"/>
                <w:lang w:eastAsia="en-US"/>
              </w:rPr>
            </w:pPr>
            <w:r w:rsidRPr="00524381">
              <w:rPr>
                <w:b/>
                <w:i/>
                <w:sz w:val="22"/>
                <w:szCs w:val="22"/>
                <w:lang w:eastAsia="en-US"/>
              </w:rPr>
              <w:t>3.3.4 Súhrnná tabuľka nákladov regulácie</w:t>
            </w:r>
          </w:p>
          <w:p w:rsidR="00727D26" w:rsidRPr="00524381" w:rsidRDefault="00727D26" w:rsidP="00524381">
            <w:pPr>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2940"/>
              <w:gridCol w:w="2945"/>
            </w:tblGrid>
            <w:tr w:rsidR="00727D26" w:rsidRPr="003C289B" w:rsidTr="00524381">
              <w:tc>
                <w:tcPr>
                  <w:tcW w:w="2993" w:type="dxa"/>
                  <w:tcBorders>
                    <w:top w:val="single" w:sz="4" w:space="0" w:color="auto"/>
                    <w:left w:val="single" w:sz="4" w:space="0" w:color="auto"/>
                    <w:bottom w:val="single" w:sz="4" w:space="0" w:color="auto"/>
                    <w:right w:val="single" w:sz="4" w:space="0" w:color="auto"/>
                  </w:tcBorders>
                  <w:shd w:val="clear" w:color="auto" w:fill="auto"/>
                </w:tcPr>
                <w:p w:rsidR="00727D26" w:rsidRPr="00524381" w:rsidRDefault="00727D26" w:rsidP="00A70D48">
                  <w:pPr>
                    <w:rPr>
                      <w:i/>
                      <w:sz w:val="22"/>
                      <w:szCs w:val="22"/>
                      <w:lang w:eastAsia="en-US"/>
                    </w:rPr>
                  </w:pP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727D26" w:rsidRPr="00524381" w:rsidRDefault="00727D26" w:rsidP="00524381">
                  <w:pPr>
                    <w:jc w:val="center"/>
                    <w:rPr>
                      <w:i/>
                      <w:sz w:val="22"/>
                      <w:szCs w:val="22"/>
                      <w:lang w:eastAsia="en-US"/>
                    </w:rPr>
                  </w:pPr>
                  <w:r w:rsidRPr="00524381">
                    <w:rPr>
                      <w:i/>
                      <w:sz w:val="22"/>
                      <w:szCs w:val="22"/>
                      <w:lang w:eastAsia="en-US"/>
                    </w:rPr>
                    <w:t>Náklady na 1 podnikateľa</w:t>
                  </w:r>
                </w:p>
                <w:p w:rsidR="00727D26" w:rsidRPr="00524381" w:rsidRDefault="00727D26" w:rsidP="00524381">
                  <w:pPr>
                    <w:jc w:val="center"/>
                    <w:rPr>
                      <w:i/>
                      <w:sz w:val="22"/>
                      <w:szCs w:val="22"/>
                      <w:lang w:eastAsia="en-US"/>
                    </w:rPr>
                  </w:pPr>
                  <w:r w:rsidRPr="00524381">
                    <w:rPr>
                      <w:i/>
                      <w:sz w:val="22"/>
                      <w:szCs w:val="22"/>
                      <w:lang w:eastAsia="en-US"/>
                    </w:rPr>
                    <w:t>(za rok)</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727D26" w:rsidRPr="00524381" w:rsidRDefault="00727D26" w:rsidP="00524381">
                  <w:pPr>
                    <w:jc w:val="center"/>
                    <w:rPr>
                      <w:i/>
                      <w:sz w:val="22"/>
                      <w:szCs w:val="22"/>
                      <w:lang w:eastAsia="en-US"/>
                    </w:rPr>
                  </w:pPr>
                  <w:r w:rsidRPr="00524381">
                    <w:rPr>
                      <w:i/>
                      <w:sz w:val="22"/>
                      <w:szCs w:val="22"/>
                      <w:lang w:eastAsia="en-US"/>
                    </w:rPr>
                    <w:t>Náklady na celé podnikateľské prostredie (za rok)</w:t>
                  </w:r>
                </w:p>
              </w:tc>
            </w:tr>
            <w:tr w:rsidR="00727D26" w:rsidRPr="003C289B" w:rsidTr="00524381">
              <w:tc>
                <w:tcPr>
                  <w:tcW w:w="2993" w:type="dxa"/>
                  <w:tcBorders>
                    <w:top w:val="single" w:sz="4" w:space="0" w:color="auto"/>
                    <w:left w:val="single" w:sz="4" w:space="0" w:color="auto"/>
                    <w:bottom w:val="single" w:sz="4" w:space="0" w:color="auto"/>
                    <w:right w:val="single" w:sz="4" w:space="0" w:color="auto"/>
                  </w:tcBorders>
                  <w:shd w:val="clear" w:color="auto" w:fill="auto"/>
                </w:tcPr>
                <w:p w:rsidR="00727D26" w:rsidRPr="00524381" w:rsidRDefault="00727D26" w:rsidP="00A70D48">
                  <w:pPr>
                    <w:rPr>
                      <w:i/>
                      <w:sz w:val="22"/>
                      <w:szCs w:val="22"/>
                      <w:lang w:eastAsia="en-US"/>
                    </w:rPr>
                  </w:pPr>
                  <w:r w:rsidRPr="00524381">
                    <w:rPr>
                      <w:i/>
                      <w:sz w:val="22"/>
                      <w:szCs w:val="22"/>
                      <w:lang w:eastAsia="en-US"/>
                    </w:rPr>
                    <w:t>Priame finančné náklady</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727D26" w:rsidRPr="00524381" w:rsidRDefault="00727D26" w:rsidP="00524381">
                  <w:pPr>
                    <w:jc w:val="center"/>
                    <w:rPr>
                      <w:i/>
                      <w:sz w:val="22"/>
                      <w:szCs w:val="22"/>
                      <w:lang w:eastAsia="en-US"/>
                    </w:rPr>
                  </w:pPr>
                  <w:r w:rsidRPr="00524381">
                    <w:rPr>
                      <w:i/>
                      <w:sz w:val="22"/>
                      <w:szCs w:val="22"/>
                      <w:lang w:eastAsia="en-US"/>
                    </w:rPr>
                    <w:t>- 10 145 eur (úspora)</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727D26" w:rsidRPr="00524381" w:rsidRDefault="00727D26" w:rsidP="00524381">
                  <w:pPr>
                    <w:jc w:val="center"/>
                    <w:rPr>
                      <w:i/>
                      <w:sz w:val="22"/>
                      <w:szCs w:val="22"/>
                      <w:lang w:eastAsia="en-US"/>
                    </w:rPr>
                  </w:pPr>
                  <w:r w:rsidRPr="00524381">
                    <w:rPr>
                      <w:i/>
                      <w:sz w:val="22"/>
                      <w:szCs w:val="22"/>
                      <w:lang w:eastAsia="en-US"/>
                    </w:rPr>
                    <w:t>- 1 044 923 eur (úspora)</w:t>
                  </w:r>
                </w:p>
              </w:tc>
            </w:tr>
            <w:tr w:rsidR="00727D26" w:rsidRPr="003C289B" w:rsidTr="00524381">
              <w:tc>
                <w:tcPr>
                  <w:tcW w:w="2993" w:type="dxa"/>
                  <w:tcBorders>
                    <w:top w:val="single" w:sz="4" w:space="0" w:color="auto"/>
                    <w:left w:val="single" w:sz="4" w:space="0" w:color="auto"/>
                    <w:bottom w:val="single" w:sz="4" w:space="0" w:color="auto"/>
                    <w:right w:val="single" w:sz="4" w:space="0" w:color="auto"/>
                  </w:tcBorders>
                  <w:shd w:val="clear" w:color="auto" w:fill="auto"/>
                </w:tcPr>
                <w:p w:rsidR="00727D26" w:rsidRPr="00524381" w:rsidRDefault="00727D26" w:rsidP="00A70D48">
                  <w:pPr>
                    <w:rPr>
                      <w:i/>
                      <w:sz w:val="22"/>
                      <w:szCs w:val="22"/>
                      <w:lang w:eastAsia="en-US"/>
                    </w:rPr>
                  </w:pPr>
                  <w:r w:rsidRPr="00524381">
                    <w:rPr>
                      <w:i/>
                      <w:sz w:val="22"/>
                      <w:szCs w:val="22"/>
                      <w:lang w:eastAsia="en-US"/>
                    </w:rPr>
                    <w:t>Nepriame finančné náklady</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727D26" w:rsidRPr="00524381" w:rsidRDefault="00727D26" w:rsidP="00524381">
                  <w:pPr>
                    <w:jc w:val="center"/>
                    <w:rPr>
                      <w:i/>
                      <w:sz w:val="22"/>
                      <w:szCs w:val="22"/>
                      <w:lang w:eastAsia="en-US"/>
                    </w:rPr>
                  </w:pPr>
                  <w:r w:rsidRPr="00524381">
                    <w:rPr>
                      <w:i/>
                      <w:sz w:val="22"/>
                      <w:szCs w:val="22"/>
                      <w:lang w:eastAsia="en-US"/>
                    </w:rPr>
                    <w:t>0,00</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727D26" w:rsidRPr="00524381" w:rsidRDefault="00727D26" w:rsidP="00524381">
                  <w:pPr>
                    <w:jc w:val="center"/>
                    <w:rPr>
                      <w:i/>
                      <w:sz w:val="22"/>
                      <w:szCs w:val="22"/>
                      <w:lang w:eastAsia="en-US"/>
                    </w:rPr>
                  </w:pPr>
                  <w:r w:rsidRPr="00524381">
                    <w:rPr>
                      <w:i/>
                      <w:sz w:val="22"/>
                      <w:szCs w:val="22"/>
                      <w:lang w:eastAsia="en-US"/>
                    </w:rPr>
                    <w:t>0,00</w:t>
                  </w:r>
                </w:p>
              </w:tc>
            </w:tr>
            <w:tr w:rsidR="00727D26" w:rsidRPr="003C289B" w:rsidTr="00524381">
              <w:tc>
                <w:tcPr>
                  <w:tcW w:w="2993" w:type="dxa"/>
                  <w:tcBorders>
                    <w:top w:val="single" w:sz="4" w:space="0" w:color="auto"/>
                    <w:left w:val="single" w:sz="4" w:space="0" w:color="auto"/>
                    <w:bottom w:val="single" w:sz="4" w:space="0" w:color="auto"/>
                    <w:right w:val="single" w:sz="4" w:space="0" w:color="auto"/>
                  </w:tcBorders>
                  <w:shd w:val="clear" w:color="auto" w:fill="auto"/>
                </w:tcPr>
                <w:p w:rsidR="00727D26" w:rsidRPr="00524381" w:rsidRDefault="00727D26" w:rsidP="00A70D48">
                  <w:pPr>
                    <w:rPr>
                      <w:i/>
                      <w:sz w:val="22"/>
                      <w:szCs w:val="22"/>
                      <w:lang w:eastAsia="en-US"/>
                    </w:rPr>
                  </w:pPr>
                  <w:r w:rsidRPr="00524381">
                    <w:rPr>
                      <w:i/>
                      <w:sz w:val="22"/>
                      <w:szCs w:val="22"/>
                      <w:lang w:eastAsia="en-US"/>
                    </w:rPr>
                    <w:t>Administratívne náklady</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727D26" w:rsidRPr="00524381" w:rsidRDefault="00727D26" w:rsidP="00524381">
                  <w:pPr>
                    <w:jc w:val="center"/>
                    <w:rPr>
                      <w:i/>
                      <w:sz w:val="22"/>
                      <w:szCs w:val="22"/>
                      <w:lang w:eastAsia="en-US"/>
                    </w:rPr>
                  </w:pPr>
                  <w:r w:rsidRPr="00524381">
                    <w:rPr>
                      <w:i/>
                      <w:sz w:val="22"/>
                      <w:szCs w:val="22"/>
                      <w:lang w:eastAsia="en-US"/>
                    </w:rPr>
                    <w:t>0,00</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727D26" w:rsidRPr="00524381" w:rsidRDefault="00727D26" w:rsidP="00524381">
                  <w:pPr>
                    <w:jc w:val="center"/>
                    <w:rPr>
                      <w:i/>
                      <w:sz w:val="22"/>
                      <w:szCs w:val="22"/>
                      <w:lang w:eastAsia="en-US"/>
                    </w:rPr>
                  </w:pPr>
                  <w:r w:rsidRPr="00524381">
                    <w:rPr>
                      <w:i/>
                      <w:sz w:val="22"/>
                      <w:szCs w:val="22"/>
                      <w:lang w:eastAsia="en-US"/>
                    </w:rPr>
                    <w:t>0,00</w:t>
                  </w:r>
                </w:p>
              </w:tc>
            </w:tr>
            <w:tr w:rsidR="00727D26" w:rsidRPr="00524381" w:rsidTr="00524381">
              <w:tc>
                <w:tcPr>
                  <w:tcW w:w="2993" w:type="dxa"/>
                  <w:tcBorders>
                    <w:top w:val="single" w:sz="4" w:space="0" w:color="auto"/>
                    <w:left w:val="single" w:sz="4" w:space="0" w:color="auto"/>
                    <w:bottom w:val="single" w:sz="4" w:space="0" w:color="auto"/>
                    <w:right w:val="single" w:sz="4" w:space="0" w:color="auto"/>
                  </w:tcBorders>
                  <w:shd w:val="clear" w:color="auto" w:fill="auto"/>
                </w:tcPr>
                <w:p w:rsidR="00727D26" w:rsidRPr="00524381" w:rsidRDefault="00727D26" w:rsidP="00A70D48">
                  <w:pPr>
                    <w:rPr>
                      <w:b/>
                      <w:i/>
                      <w:sz w:val="22"/>
                      <w:szCs w:val="22"/>
                      <w:highlight w:val="yellow"/>
                      <w:lang w:eastAsia="en-US"/>
                    </w:rPr>
                  </w:pPr>
                  <w:r w:rsidRPr="00524381">
                    <w:rPr>
                      <w:b/>
                      <w:i/>
                      <w:sz w:val="22"/>
                      <w:szCs w:val="22"/>
                      <w:lang w:eastAsia="en-US"/>
                    </w:rPr>
                    <w:t>Celkové náklady regulácie</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727D26" w:rsidRPr="00524381" w:rsidRDefault="00727D26" w:rsidP="00524381">
                  <w:pPr>
                    <w:jc w:val="center"/>
                    <w:rPr>
                      <w:b/>
                      <w:i/>
                      <w:sz w:val="22"/>
                      <w:szCs w:val="22"/>
                      <w:lang w:eastAsia="en-US"/>
                    </w:rPr>
                  </w:pPr>
                  <w:r w:rsidRPr="00524381">
                    <w:rPr>
                      <w:b/>
                      <w:i/>
                      <w:sz w:val="22"/>
                      <w:szCs w:val="22"/>
                      <w:lang w:eastAsia="en-US"/>
                    </w:rPr>
                    <w:t>znížené o 10 145 eur</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727D26" w:rsidRPr="00524381" w:rsidRDefault="00727D26" w:rsidP="00524381">
                  <w:pPr>
                    <w:jc w:val="center"/>
                    <w:rPr>
                      <w:b/>
                      <w:i/>
                      <w:sz w:val="22"/>
                      <w:szCs w:val="22"/>
                      <w:lang w:eastAsia="en-US"/>
                    </w:rPr>
                  </w:pPr>
                  <w:r w:rsidRPr="00524381">
                    <w:rPr>
                      <w:b/>
                      <w:i/>
                      <w:sz w:val="22"/>
                      <w:szCs w:val="22"/>
                      <w:lang w:eastAsia="en-US"/>
                    </w:rPr>
                    <w:t>znížené o 1 044 923 eur</w:t>
                  </w:r>
                </w:p>
              </w:tc>
            </w:tr>
          </w:tbl>
          <w:p w:rsidR="00727D26" w:rsidRPr="00524381" w:rsidRDefault="00727D26" w:rsidP="00A70D48">
            <w:pPr>
              <w:rPr>
                <w:i/>
                <w:sz w:val="22"/>
                <w:szCs w:val="22"/>
                <w:lang w:eastAsia="en-US"/>
              </w:rPr>
            </w:pPr>
          </w:p>
        </w:tc>
      </w:tr>
      <w:tr w:rsidR="00727D26" w:rsidRPr="003C289B" w:rsidTr="00524381">
        <w:tc>
          <w:tcPr>
            <w:tcW w:w="9212" w:type="dxa"/>
            <w:shd w:val="clear" w:color="auto" w:fill="D9D9D9"/>
          </w:tcPr>
          <w:p w:rsidR="00727D26" w:rsidRPr="00524381" w:rsidRDefault="00727D26" w:rsidP="00A70D48">
            <w:pPr>
              <w:rPr>
                <w:b/>
                <w:szCs w:val="22"/>
                <w:lang w:eastAsia="en-US"/>
              </w:rPr>
            </w:pPr>
            <w:r w:rsidRPr="00524381">
              <w:rPr>
                <w:b/>
                <w:szCs w:val="22"/>
                <w:lang w:eastAsia="en-US"/>
              </w:rPr>
              <w:t>3.4 Konkurencieschopnosť a správanie sa podnikov na trhu</w:t>
            </w:r>
          </w:p>
          <w:p w:rsidR="00727D26" w:rsidRPr="00524381" w:rsidRDefault="00727D26" w:rsidP="00A70D48">
            <w:pPr>
              <w:rPr>
                <w:sz w:val="22"/>
                <w:szCs w:val="22"/>
                <w:lang w:eastAsia="en-US"/>
              </w:rPr>
            </w:pPr>
            <w:r w:rsidRPr="00524381">
              <w:rPr>
                <w:b/>
                <w:szCs w:val="22"/>
                <w:lang w:eastAsia="en-US"/>
              </w:rPr>
              <w:t xml:space="preserve">       </w:t>
            </w:r>
            <w:r w:rsidRPr="00524381">
              <w:rPr>
                <w:szCs w:val="22"/>
                <w:lang w:eastAsia="en-US"/>
              </w:rPr>
              <w:t xml:space="preserve">- </w:t>
            </w:r>
            <w:r w:rsidRPr="00524381">
              <w:rPr>
                <w:b/>
                <w:szCs w:val="22"/>
                <w:lang w:eastAsia="en-US"/>
              </w:rPr>
              <w:t>z toho MSP</w:t>
            </w:r>
          </w:p>
        </w:tc>
      </w:tr>
      <w:tr w:rsidR="00727D26" w:rsidRPr="00524381" w:rsidTr="00524381">
        <w:tc>
          <w:tcPr>
            <w:tcW w:w="9212" w:type="dxa"/>
            <w:shd w:val="clear" w:color="auto" w:fill="auto"/>
          </w:tcPr>
          <w:p w:rsidR="00727D26" w:rsidRPr="00524381" w:rsidRDefault="00727D26" w:rsidP="00524381">
            <w:pPr>
              <w:jc w:val="both"/>
              <w:rPr>
                <w:i/>
                <w:sz w:val="22"/>
                <w:szCs w:val="22"/>
                <w:lang w:eastAsia="en-US"/>
              </w:rPr>
            </w:pPr>
            <w:r w:rsidRPr="00524381">
              <w:rPr>
                <w:i/>
                <w:sz w:val="22"/>
                <w:szCs w:val="22"/>
                <w:lang w:eastAsia="en-US"/>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524381">
              <w:rPr>
                <w:i/>
                <w:sz w:val="22"/>
                <w:szCs w:val="22"/>
                <w:lang w:eastAsia="en-US"/>
              </w:rPr>
              <w:t>mikro</w:t>
            </w:r>
            <w:proofErr w:type="spellEnd"/>
            <w:r w:rsidRPr="00524381">
              <w:rPr>
                <w:i/>
                <w:sz w:val="22"/>
                <w:szCs w:val="22"/>
                <w:lang w:eastAsia="en-US"/>
              </w:rPr>
              <w:t>, malé a stredné podniky tzv. MSP)? Ak áno, popíšte.</w:t>
            </w:r>
          </w:p>
          <w:p w:rsidR="00727D26" w:rsidRPr="00524381" w:rsidRDefault="00727D26" w:rsidP="00524381">
            <w:pPr>
              <w:jc w:val="both"/>
              <w:rPr>
                <w:i/>
                <w:sz w:val="22"/>
                <w:szCs w:val="22"/>
                <w:lang w:eastAsia="en-US"/>
              </w:rPr>
            </w:pPr>
            <w:r w:rsidRPr="00524381">
              <w:rPr>
                <w:i/>
                <w:sz w:val="22"/>
                <w:szCs w:val="22"/>
                <w:lang w:eastAsia="en-US"/>
              </w:rPr>
              <w:t>Aký vplyv bude mať navrhovaná zmena na obchodné bariéry? Bude mať vplyv na vyvolanie cezhraničných investícií (príliv /odliv zahraničných investícií resp. uplatnenie slovenských podnikov na zahraničných trhoch)? Ak áno, popíšte.</w:t>
            </w:r>
          </w:p>
          <w:p w:rsidR="00727D26" w:rsidRPr="00524381" w:rsidRDefault="00727D26" w:rsidP="00524381">
            <w:pPr>
              <w:jc w:val="both"/>
              <w:rPr>
                <w:i/>
                <w:sz w:val="22"/>
                <w:szCs w:val="22"/>
                <w:lang w:eastAsia="en-US"/>
              </w:rPr>
            </w:pPr>
            <w:r w:rsidRPr="00524381">
              <w:rPr>
                <w:i/>
                <w:sz w:val="22"/>
                <w:szCs w:val="22"/>
                <w:lang w:eastAsia="en-US"/>
              </w:rPr>
              <w:t>Ako ovplyvní cenu alebo dostupnosť základných zdrojov (suroviny, mechanizmy, pracovná sila, energie atď.)?</w:t>
            </w:r>
          </w:p>
          <w:p w:rsidR="00727D26" w:rsidRPr="00524381" w:rsidRDefault="00727D26" w:rsidP="00524381">
            <w:pPr>
              <w:jc w:val="both"/>
              <w:rPr>
                <w:i/>
                <w:sz w:val="22"/>
                <w:szCs w:val="22"/>
                <w:lang w:eastAsia="en-US"/>
              </w:rPr>
            </w:pPr>
            <w:r w:rsidRPr="00524381">
              <w:rPr>
                <w:i/>
                <w:sz w:val="22"/>
                <w:szCs w:val="22"/>
                <w:lang w:eastAsia="en-US"/>
              </w:rPr>
              <w:t>Ovplyvňuje prístup k financiám? Ak áno, ako?</w:t>
            </w:r>
          </w:p>
        </w:tc>
      </w:tr>
      <w:tr w:rsidR="00727D26" w:rsidRPr="003C289B" w:rsidTr="00524381">
        <w:trPr>
          <w:trHeight w:val="522"/>
        </w:trPr>
        <w:tc>
          <w:tcPr>
            <w:tcW w:w="9212" w:type="dxa"/>
            <w:shd w:val="clear" w:color="auto" w:fill="auto"/>
          </w:tcPr>
          <w:p w:rsidR="00727D26" w:rsidRPr="00524381" w:rsidRDefault="00727D26" w:rsidP="00524381">
            <w:pPr>
              <w:jc w:val="both"/>
              <w:rPr>
                <w:sz w:val="20"/>
                <w:szCs w:val="20"/>
                <w:lang w:eastAsia="en-US"/>
              </w:rPr>
            </w:pPr>
          </w:p>
          <w:p w:rsidR="00727D26" w:rsidRPr="00524381" w:rsidRDefault="00727D26" w:rsidP="00524381">
            <w:pPr>
              <w:jc w:val="both"/>
              <w:rPr>
                <w:sz w:val="20"/>
                <w:szCs w:val="20"/>
                <w:lang w:eastAsia="en-US"/>
              </w:rPr>
            </w:pPr>
            <w:r w:rsidRPr="00524381">
              <w:rPr>
                <w:sz w:val="20"/>
                <w:szCs w:val="20"/>
                <w:lang w:eastAsia="en-US"/>
              </w:rPr>
              <w:t>Nepredpokladá sa vplyv navrhovaných zmien na konkurencieschopnosť a správanie podnikov na trhu.</w:t>
            </w:r>
          </w:p>
          <w:p w:rsidR="00727D26" w:rsidRPr="00524381" w:rsidRDefault="00727D26" w:rsidP="00524381">
            <w:pPr>
              <w:jc w:val="both"/>
              <w:rPr>
                <w:sz w:val="20"/>
                <w:szCs w:val="20"/>
                <w:lang w:eastAsia="en-US"/>
              </w:rPr>
            </w:pPr>
          </w:p>
        </w:tc>
      </w:tr>
      <w:tr w:rsidR="00727D26" w:rsidRPr="00524381" w:rsidTr="00524381">
        <w:tc>
          <w:tcPr>
            <w:tcW w:w="9212" w:type="dxa"/>
            <w:shd w:val="clear" w:color="auto" w:fill="D9D9D9"/>
          </w:tcPr>
          <w:p w:rsidR="00727D26" w:rsidRPr="00524381" w:rsidRDefault="00727D26" w:rsidP="00A70D48">
            <w:pPr>
              <w:rPr>
                <w:b/>
                <w:szCs w:val="22"/>
                <w:lang w:eastAsia="en-US"/>
              </w:rPr>
            </w:pPr>
            <w:r w:rsidRPr="00524381">
              <w:rPr>
                <w:b/>
                <w:szCs w:val="22"/>
                <w:lang w:eastAsia="en-US"/>
              </w:rPr>
              <w:t xml:space="preserve">3.5 Inovácie </w:t>
            </w:r>
          </w:p>
          <w:p w:rsidR="00727D26" w:rsidRPr="00524381" w:rsidRDefault="00727D26" w:rsidP="00A70D48">
            <w:pPr>
              <w:rPr>
                <w:b/>
                <w:sz w:val="22"/>
                <w:szCs w:val="22"/>
                <w:lang w:eastAsia="en-US"/>
              </w:rPr>
            </w:pPr>
            <w:r w:rsidRPr="00524381">
              <w:rPr>
                <w:szCs w:val="22"/>
                <w:lang w:eastAsia="en-US"/>
              </w:rPr>
              <w:t xml:space="preserve">       - </w:t>
            </w:r>
            <w:r w:rsidRPr="00524381">
              <w:rPr>
                <w:b/>
                <w:szCs w:val="22"/>
                <w:lang w:eastAsia="en-US"/>
              </w:rPr>
              <w:t>z toho MSP</w:t>
            </w:r>
          </w:p>
        </w:tc>
      </w:tr>
      <w:tr w:rsidR="00727D26" w:rsidRPr="003C289B" w:rsidTr="00524381">
        <w:tc>
          <w:tcPr>
            <w:tcW w:w="9212" w:type="dxa"/>
            <w:shd w:val="clear" w:color="auto" w:fill="auto"/>
          </w:tcPr>
          <w:p w:rsidR="00727D26" w:rsidRPr="00524381" w:rsidRDefault="00727D26" w:rsidP="00524381">
            <w:pPr>
              <w:jc w:val="both"/>
              <w:rPr>
                <w:i/>
                <w:sz w:val="22"/>
                <w:szCs w:val="22"/>
                <w:lang w:eastAsia="en-US"/>
              </w:rPr>
            </w:pPr>
            <w:r w:rsidRPr="00524381">
              <w:rPr>
                <w:i/>
                <w:sz w:val="22"/>
                <w:szCs w:val="22"/>
                <w:lang w:eastAsia="en-US"/>
              </w:rPr>
              <w:t>Uveďte, ako podporuje navrhovaná zmena inovácie.</w:t>
            </w:r>
          </w:p>
          <w:p w:rsidR="00727D26" w:rsidRPr="00524381" w:rsidRDefault="00727D26" w:rsidP="00524381">
            <w:pPr>
              <w:jc w:val="both"/>
              <w:rPr>
                <w:i/>
                <w:sz w:val="22"/>
                <w:szCs w:val="22"/>
                <w:lang w:eastAsia="en-US"/>
              </w:rPr>
            </w:pPr>
            <w:r w:rsidRPr="00524381">
              <w:rPr>
                <w:i/>
                <w:sz w:val="22"/>
                <w:szCs w:val="22"/>
                <w:lang w:eastAsia="en-US"/>
              </w:rPr>
              <w:t>Zjednodušuje uvedenie alebo rozšírenie nových výrobných metód, technológií a výrobkov na trh?</w:t>
            </w:r>
          </w:p>
          <w:p w:rsidR="00727D26" w:rsidRPr="00524381" w:rsidRDefault="00727D26" w:rsidP="00524381">
            <w:pPr>
              <w:jc w:val="both"/>
              <w:rPr>
                <w:i/>
                <w:sz w:val="22"/>
                <w:szCs w:val="22"/>
                <w:lang w:eastAsia="en-US"/>
              </w:rPr>
            </w:pPr>
            <w:r w:rsidRPr="00524381">
              <w:rPr>
                <w:i/>
                <w:sz w:val="22"/>
                <w:szCs w:val="22"/>
                <w:lang w:eastAsia="en-US"/>
              </w:rPr>
              <w:t>Uveďte, ako vplýva navrhovaná zmena na jednotlivé práva duševného vlastníctva (napr. patenty, ochranné známky, autorské práva, vlastníctvo know-how).</w:t>
            </w:r>
          </w:p>
          <w:p w:rsidR="00727D26" w:rsidRPr="00524381" w:rsidRDefault="00727D26" w:rsidP="00524381">
            <w:pPr>
              <w:jc w:val="both"/>
              <w:rPr>
                <w:i/>
                <w:sz w:val="22"/>
                <w:szCs w:val="22"/>
                <w:lang w:eastAsia="en-US"/>
              </w:rPr>
            </w:pPr>
            <w:r w:rsidRPr="00524381">
              <w:rPr>
                <w:i/>
                <w:sz w:val="22"/>
                <w:szCs w:val="22"/>
                <w:lang w:eastAsia="en-US"/>
              </w:rPr>
              <w:t>Podporuje vyššiu efektivitu výroby/využívania zdrojov? Ak áno, ako?</w:t>
            </w:r>
          </w:p>
          <w:p w:rsidR="00727D26" w:rsidRPr="00524381" w:rsidRDefault="00727D26" w:rsidP="00524381">
            <w:pPr>
              <w:jc w:val="both"/>
              <w:rPr>
                <w:sz w:val="22"/>
                <w:szCs w:val="22"/>
                <w:lang w:eastAsia="en-US"/>
              </w:rPr>
            </w:pPr>
            <w:r w:rsidRPr="00524381">
              <w:rPr>
                <w:i/>
                <w:sz w:val="22"/>
                <w:szCs w:val="22"/>
                <w:lang w:eastAsia="en-US"/>
              </w:rPr>
              <w:t>Vytvorí zmena nové pracovné miesta pre zamestnancov výskumu a vývoja v SR?</w:t>
            </w:r>
          </w:p>
        </w:tc>
      </w:tr>
      <w:tr w:rsidR="00727D26" w:rsidRPr="003C289B" w:rsidTr="00524381">
        <w:trPr>
          <w:trHeight w:val="586"/>
        </w:trPr>
        <w:tc>
          <w:tcPr>
            <w:tcW w:w="9212" w:type="dxa"/>
            <w:shd w:val="clear" w:color="auto" w:fill="auto"/>
          </w:tcPr>
          <w:p w:rsidR="00727D26" w:rsidRPr="00524381" w:rsidRDefault="00727D26" w:rsidP="00A70D48">
            <w:pPr>
              <w:rPr>
                <w:sz w:val="20"/>
                <w:szCs w:val="20"/>
                <w:lang w:eastAsia="en-US"/>
              </w:rPr>
            </w:pPr>
          </w:p>
          <w:p w:rsidR="00727D26" w:rsidRPr="00524381" w:rsidRDefault="00727D26" w:rsidP="00A70D48">
            <w:pPr>
              <w:rPr>
                <w:sz w:val="20"/>
                <w:szCs w:val="20"/>
                <w:lang w:eastAsia="en-US"/>
              </w:rPr>
            </w:pPr>
            <w:r w:rsidRPr="00524381">
              <w:rPr>
                <w:sz w:val="20"/>
                <w:szCs w:val="20"/>
                <w:lang w:eastAsia="en-US"/>
              </w:rPr>
              <w:t>Navrhovaná zmena nemá vplyv na inovácie.</w:t>
            </w:r>
          </w:p>
          <w:p w:rsidR="00727D26" w:rsidRPr="00524381" w:rsidRDefault="00727D26" w:rsidP="00A70D48">
            <w:pPr>
              <w:rPr>
                <w:sz w:val="20"/>
                <w:szCs w:val="20"/>
                <w:lang w:eastAsia="en-US"/>
              </w:rPr>
            </w:pPr>
          </w:p>
        </w:tc>
      </w:tr>
    </w:tbl>
    <w:p w:rsidR="00727D26" w:rsidRDefault="00727D26" w:rsidP="00727D26">
      <w:pPr>
        <w:jc w:val="both"/>
        <w:rPr>
          <w:bCs/>
          <w:sz w:val="20"/>
          <w:szCs w:val="20"/>
        </w:rPr>
      </w:pPr>
    </w:p>
    <w:p w:rsidR="00727D26" w:rsidRPr="0045434B" w:rsidRDefault="00727D26" w:rsidP="00727D26">
      <w:pPr>
        <w:jc w:val="both"/>
        <w:rPr>
          <w:bCs/>
          <w:sz w:val="20"/>
          <w:szCs w:val="20"/>
        </w:rPr>
      </w:pPr>
    </w:p>
    <w:p w:rsidR="00727D26" w:rsidRPr="0045434B" w:rsidRDefault="00727D26" w:rsidP="00727D26">
      <w:pPr>
        <w:rPr>
          <w:bCs/>
          <w:sz w:val="20"/>
          <w:szCs w:val="20"/>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276"/>
        <w:gridCol w:w="1134"/>
        <w:gridCol w:w="1275"/>
        <w:gridCol w:w="426"/>
        <w:gridCol w:w="2268"/>
        <w:gridCol w:w="992"/>
      </w:tblGrid>
      <w:tr w:rsidR="00727D26" w:rsidRPr="005C4B9C" w:rsidTr="00A70D48">
        <w:trPr>
          <w:trHeight w:val="20"/>
        </w:trPr>
        <w:tc>
          <w:tcPr>
            <w:tcW w:w="9371" w:type="dxa"/>
            <w:gridSpan w:val="6"/>
            <w:shd w:val="clear" w:color="auto" w:fill="BFBFBF"/>
            <w:vAlign w:val="center"/>
          </w:tcPr>
          <w:p w:rsidR="00727D26" w:rsidRPr="00A04BF1" w:rsidRDefault="00727D26" w:rsidP="00A70D48">
            <w:pPr>
              <w:jc w:val="center"/>
              <w:rPr>
                <w:b/>
                <w:bCs/>
              </w:rPr>
            </w:pPr>
            <w:r w:rsidRPr="00A04BF1">
              <w:rPr>
                <w:b/>
                <w:bCs/>
              </w:rPr>
              <w:t>Analýza vplyvov na informatizáciu spoločnosti</w:t>
            </w:r>
          </w:p>
          <w:p w:rsidR="00727D26" w:rsidRPr="00A04BF1" w:rsidRDefault="00727D26" w:rsidP="00A70D48">
            <w:pPr>
              <w:jc w:val="center"/>
              <w:rPr>
                <w:b/>
                <w:i/>
                <w:iCs/>
              </w:rPr>
            </w:pPr>
            <w:r w:rsidRPr="00A04BF1">
              <w:rPr>
                <w:b/>
              </w:rPr>
              <w:t>Budovanie základných pilierov informatizácie</w:t>
            </w:r>
          </w:p>
        </w:tc>
      </w:tr>
      <w:tr w:rsidR="00727D26" w:rsidRPr="006B78D2" w:rsidTr="00A70D48">
        <w:trPr>
          <w:trHeight w:val="681"/>
        </w:trPr>
        <w:tc>
          <w:tcPr>
            <w:tcW w:w="3276" w:type="dxa"/>
            <w:shd w:val="clear" w:color="auto" w:fill="C0C0C0"/>
            <w:vAlign w:val="center"/>
          </w:tcPr>
          <w:p w:rsidR="00727D26" w:rsidRPr="007F72BA" w:rsidRDefault="00727D26" w:rsidP="00A70D48">
            <w:pPr>
              <w:jc w:val="center"/>
              <w:rPr>
                <w:b/>
                <w:sz w:val="20"/>
                <w:szCs w:val="20"/>
              </w:rPr>
            </w:pPr>
            <w:r w:rsidRPr="007F72BA">
              <w:rPr>
                <w:b/>
                <w:sz w:val="20"/>
                <w:szCs w:val="20"/>
              </w:rPr>
              <w:t>Obsah</w:t>
            </w:r>
          </w:p>
        </w:tc>
        <w:tc>
          <w:tcPr>
            <w:tcW w:w="1134" w:type="dxa"/>
            <w:shd w:val="clear" w:color="auto" w:fill="C0C0C0"/>
            <w:vAlign w:val="center"/>
          </w:tcPr>
          <w:p w:rsidR="00727D26" w:rsidRPr="007F72BA" w:rsidRDefault="00727D26" w:rsidP="00A70D48">
            <w:pPr>
              <w:jc w:val="center"/>
              <w:rPr>
                <w:b/>
                <w:sz w:val="20"/>
                <w:szCs w:val="20"/>
              </w:rPr>
            </w:pPr>
            <w:r w:rsidRPr="007F72BA">
              <w:rPr>
                <w:b/>
                <w:sz w:val="20"/>
                <w:szCs w:val="20"/>
              </w:rPr>
              <w:t>A – nová služba</w:t>
            </w:r>
          </w:p>
          <w:p w:rsidR="00727D26" w:rsidRPr="007F72BA" w:rsidRDefault="00727D26" w:rsidP="00A70D48">
            <w:pPr>
              <w:jc w:val="center"/>
              <w:rPr>
                <w:i/>
                <w:iCs/>
                <w:sz w:val="20"/>
                <w:szCs w:val="20"/>
              </w:rPr>
            </w:pPr>
            <w:r w:rsidRPr="007F72BA">
              <w:rPr>
                <w:b/>
                <w:sz w:val="20"/>
                <w:szCs w:val="20"/>
              </w:rPr>
              <w:t>B – zmena služby</w:t>
            </w:r>
          </w:p>
        </w:tc>
        <w:tc>
          <w:tcPr>
            <w:tcW w:w="1275" w:type="dxa"/>
            <w:shd w:val="clear" w:color="auto" w:fill="C0C0C0"/>
            <w:vAlign w:val="center"/>
          </w:tcPr>
          <w:p w:rsidR="00727D26" w:rsidRPr="007F72BA" w:rsidRDefault="00727D26" w:rsidP="00A70D48">
            <w:pPr>
              <w:jc w:val="center"/>
              <w:rPr>
                <w:i/>
                <w:iCs/>
                <w:sz w:val="20"/>
                <w:szCs w:val="20"/>
              </w:rPr>
            </w:pPr>
          </w:p>
          <w:p w:rsidR="00727D26" w:rsidRPr="007F72BA" w:rsidRDefault="00727D26" w:rsidP="00A70D48">
            <w:pPr>
              <w:jc w:val="center"/>
              <w:rPr>
                <w:sz w:val="20"/>
                <w:szCs w:val="20"/>
              </w:rPr>
            </w:pPr>
            <w:r w:rsidRPr="007F72BA">
              <w:rPr>
                <w:b/>
                <w:sz w:val="20"/>
                <w:szCs w:val="20"/>
              </w:rPr>
              <w:t>Kód služby</w:t>
            </w:r>
          </w:p>
        </w:tc>
        <w:tc>
          <w:tcPr>
            <w:tcW w:w="2694" w:type="dxa"/>
            <w:gridSpan w:val="2"/>
            <w:shd w:val="clear" w:color="auto" w:fill="C0C0C0"/>
            <w:vAlign w:val="center"/>
          </w:tcPr>
          <w:p w:rsidR="00727D26" w:rsidRPr="007F72BA" w:rsidRDefault="00727D26" w:rsidP="00A70D48">
            <w:pPr>
              <w:jc w:val="center"/>
              <w:rPr>
                <w:b/>
                <w:sz w:val="20"/>
                <w:szCs w:val="20"/>
              </w:rPr>
            </w:pPr>
          </w:p>
          <w:p w:rsidR="00727D26" w:rsidRPr="007F72BA" w:rsidRDefault="00727D26" w:rsidP="00A70D48">
            <w:pPr>
              <w:jc w:val="center"/>
              <w:rPr>
                <w:i/>
                <w:iCs/>
                <w:sz w:val="20"/>
                <w:szCs w:val="20"/>
              </w:rPr>
            </w:pPr>
            <w:r w:rsidRPr="007F72BA">
              <w:rPr>
                <w:b/>
                <w:sz w:val="20"/>
                <w:szCs w:val="20"/>
              </w:rPr>
              <w:t>Názov služby</w:t>
            </w:r>
          </w:p>
        </w:tc>
        <w:tc>
          <w:tcPr>
            <w:tcW w:w="992" w:type="dxa"/>
            <w:shd w:val="clear" w:color="auto" w:fill="C0C0C0"/>
            <w:vAlign w:val="center"/>
          </w:tcPr>
          <w:p w:rsidR="00727D26" w:rsidRPr="007F72BA" w:rsidRDefault="00727D26" w:rsidP="00A70D48">
            <w:pPr>
              <w:jc w:val="center"/>
              <w:rPr>
                <w:b/>
                <w:sz w:val="20"/>
                <w:szCs w:val="20"/>
              </w:rPr>
            </w:pPr>
            <w:r w:rsidRPr="007F72BA">
              <w:rPr>
                <w:b/>
                <w:sz w:val="20"/>
                <w:szCs w:val="20"/>
              </w:rPr>
              <w:t>Úroveň elektronizácie služby</w:t>
            </w:r>
          </w:p>
          <w:p w:rsidR="00727D26" w:rsidRPr="007F72BA" w:rsidRDefault="00727D26" w:rsidP="00A70D48">
            <w:pPr>
              <w:jc w:val="center"/>
              <w:rPr>
                <w:i/>
                <w:iCs/>
                <w:sz w:val="20"/>
                <w:szCs w:val="20"/>
              </w:rPr>
            </w:pPr>
            <w:r w:rsidRPr="007F72BA">
              <w:rPr>
                <w:b/>
                <w:sz w:val="20"/>
                <w:szCs w:val="20"/>
              </w:rPr>
              <w:t>(0 až 5)</w:t>
            </w:r>
          </w:p>
        </w:tc>
      </w:tr>
      <w:tr w:rsidR="00727D26" w:rsidRPr="006B78D2" w:rsidTr="00A70D48">
        <w:trPr>
          <w:trHeight w:val="3502"/>
        </w:trPr>
        <w:tc>
          <w:tcPr>
            <w:tcW w:w="3276" w:type="dxa"/>
          </w:tcPr>
          <w:p w:rsidR="00727D26" w:rsidRPr="007F72BA" w:rsidRDefault="00727D26" w:rsidP="00A70D48">
            <w:pPr>
              <w:jc w:val="both"/>
              <w:rPr>
                <w:sz w:val="20"/>
                <w:szCs w:val="20"/>
              </w:rPr>
            </w:pPr>
            <w:r w:rsidRPr="007F72BA">
              <w:rPr>
                <w:b/>
                <w:sz w:val="20"/>
                <w:szCs w:val="20"/>
              </w:rPr>
              <w:t>6.1.</w:t>
            </w:r>
            <w:r w:rsidRPr="007F72BA">
              <w:rPr>
                <w:sz w:val="20"/>
                <w:szCs w:val="20"/>
              </w:rPr>
              <w:t xml:space="preserve"> Predpokladá predložený návrh zmenu existujúcich elektronických služieb verejnej správy alebo vytvorenie nových služieb?</w:t>
            </w:r>
          </w:p>
          <w:p w:rsidR="00727D26" w:rsidRPr="007F72BA" w:rsidRDefault="00727D26" w:rsidP="00A70D48">
            <w:pPr>
              <w:jc w:val="both"/>
              <w:rPr>
                <w:b/>
                <w:sz w:val="20"/>
                <w:szCs w:val="20"/>
              </w:rPr>
            </w:pPr>
            <w:r w:rsidRPr="007F72BA">
              <w:rPr>
                <w:i/>
                <w:iCs/>
                <w:sz w:val="20"/>
                <w:szCs w:val="20"/>
              </w:rPr>
              <w:t xml:space="preserve">(Ak áno, uveďte zmenu služby alebo vytvorenie novej služby, ďalej  jej kód, názov a úroveň elektronizácie podľa katalógu </w:t>
            </w:r>
            <w:proofErr w:type="spellStart"/>
            <w:r w:rsidRPr="007F72BA">
              <w:rPr>
                <w:i/>
                <w:iCs/>
                <w:sz w:val="20"/>
                <w:szCs w:val="20"/>
              </w:rPr>
              <w:t>eGovernment</w:t>
            </w:r>
            <w:proofErr w:type="spellEnd"/>
            <w:r w:rsidRPr="007F72BA">
              <w:rPr>
                <w:i/>
                <w:iCs/>
                <w:sz w:val="20"/>
                <w:szCs w:val="20"/>
              </w:rPr>
              <w:t xml:space="preserve"> služieb, ktorý je vedený v centrálnom </w:t>
            </w:r>
            <w:proofErr w:type="spellStart"/>
            <w:r w:rsidRPr="007F72BA">
              <w:rPr>
                <w:i/>
                <w:iCs/>
                <w:sz w:val="20"/>
                <w:szCs w:val="20"/>
              </w:rPr>
              <w:t>metainformačnom</w:t>
            </w:r>
            <w:proofErr w:type="spellEnd"/>
            <w:r w:rsidRPr="007F72BA">
              <w:rPr>
                <w:i/>
                <w:iCs/>
                <w:sz w:val="20"/>
                <w:szCs w:val="20"/>
              </w:rPr>
              <w:t xml:space="preserve"> systéme verejnej správy.)</w:t>
            </w:r>
            <w:r w:rsidRPr="007F72BA">
              <w:rPr>
                <w:sz w:val="20"/>
                <w:szCs w:val="20"/>
              </w:rPr>
              <w:t xml:space="preserve"> </w:t>
            </w:r>
          </w:p>
        </w:tc>
        <w:tc>
          <w:tcPr>
            <w:tcW w:w="1134" w:type="dxa"/>
          </w:tcPr>
          <w:p w:rsidR="00727D26" w:rsidRPr="007F72BA" w:rsidRDefault="00727D26" w:rsidP="00A70D48">
            <w:pPr>
              <w:jc w:val="center"/>
              <w:rPr>
                <w:sz w:val="20"/>
                <w:szCs w:val="20"/>
              </w:rPr>
            </w:pPr>
          </w:p>
          <w:p w:rsidR="00727D26" w:rsidRPr="007F72BA" w:rsidRDefault="00727D26" w:rsidP="00A70D48">
            <w:pPr>
              <w:jc w:val="center"/>
              <w:rPr>
                <w:b/>
                <w:sz w:val="20"/>
                <w:szCs w:val="20"/>
              </w:rPr>
            </w:pPr>
            <w:r w:rsidRPr="007F72BA">
              <w:rPr>
                <w:b/>
                <w:sz w:val="20"/>
                <w:szCs w:val="20"/>
              </w:rPr>
              <w:t>B</w:t>
            </w:r>
          </w:p>
        </w:tc>
        <w:tc>
          <w:tcPr>
            <w:tcW w:w="1275" w:type="dxa"/>
          </w:tcPr>
          <w:p w:rsidR="00727D26" w:rsidRPr="007F72BA" w:rsidRDefault="00727D26" w:rsidP="00A70D48">
            <w:pPr>
              <w:jc w:val="center"/>
              <w:rPr>
                <w:sz w:val="20"/>
                <w:szCs w:val="20"/>
              </w:rPr>
            </w:pPr>
          </w:p>
          <w:p w:rsidR="00727D26" w:rsidRPr="007F72BA" w:rsidRDefault="00727D26" w:rsidP="00A70D48">
            <w:pPr>
              <w:jc w:val="center"/>
              <w:rPr>
                <w:b/>
                <w:sz w:val="20"/>
                <w:szCs w:val="20"/>
              </w:rPr>
            </w:pPr>
            <w:r w:rsidRPr="007F72BA">
              <w:rPr>
                <w:color w:val="333333"/>
                <w:sz w:val="20"/>
                <w:szCs w:val="20"/>
                <w:shd w:val="clear" w:color="auto" w:fill="FFFFFF"/>
              </w:rPr>
              <w:t>ks_339008</w:t>
            </w:r>
          </w:p>
        </w:tc>
        <w:tc>
          <w:tcPr>
            <w:tcW w:w="2694" w:type="dxa"/>
            <w:gridSpan w:val="2"/>
          </w:tcPr>
          <w:p w:rsidR="00727D26" w:rsidRDefault="00727D26" w:rsidP="00A70D48">
            <w:pPr>
              <w:jc w:val="both"/>
              <w:rPr>
                <w:sz w:val="20"/>
                <w:szCs w:val="20"/>
              </w:rPr>
            </w:pPr>
          </w:p>
          <w:p w:rsidR="00727D26" w:rsidRPr="007F72BA" w:rsidRDefault="00727D26" w:rsidP="00A70D48">
            <w:pPr>
              <w:jc w:val="both"/>
              <w:rPr>
                <w:b/>
                <w:sz w:val="20"/>
                <w:szCs w:val="20"/>
              </w:rPr>
            </w:pPr>
            <w:r w:rsidRPr="007F72BA">
              <w:rPr>
                <w:sz w:val="20"/>
                <w:szCs w:val="20"/>
              </w:rPr>
              <w:t>Podávanie daňového priznania k spotrebnej dani z</w:t>
            </w:r>
            <w:r>
              <w:rPr>
                <w:sz w:val="20"/>
                <w:szCs w:val="20"/>
              </w:rPr>
              <w:t> minerálnych olejov.</w:t>
            </w:r>
          </w:p>
        </w:tc>
        <w:tc>
          <w:tcPr>
            <w:tcW w:w="992" w:type="dxa"/>
          </w:tcPr>
          <w:p w:rsidR="00727D26" w:rsidRPr="007F72BA" w:rsidRDefault="00727D26" w:rsidP="00A70D48">
            <w:pPr>
              <w:jc w:val="center"/>
              <w:rPr>
                <w:sz w:val="20"/>
                <w:szCs w:val="20"/>
              </w:rPr>
            </w:pPr>
          </w:p>
          <w:p w:rsidR="00727D26" w:rsidRPr="007F72BA" w:rsidRDefault="00727D26" w:rsidP="00A70D48">
            <w:pPr>
              <w:jc w:val="center"/>
              <w:rPr>
                <w:b/>
                <w:sz w:val="20"/>
                <w:szCs w:val="20"/>
              </w:rPr>
            </w:pPr>
            <w:r w:rsidRPr="007F72BA">
              <w:rPr>
                <w:b/>
                <w:sz w:val="20"/>
                <w:szCs w:val="20"/>
              </w:rPr>
              <w:t>4</w:t>
            </w:r>
          </w:p>
          <w:p w:rsidR="00727D26" w:rsidRPr="007F72BA" w:rsidRDefault="00727D26" w:rsidP="00A70D48">
            <w:pPr>
              <w:jc w:val="center"/>
              <w:rPr>
                <w:b/>
                <w:sz w:val="20"/>
                <w:szCs w:val="20"/>
              </w:rPr>
            </w:pPr>
          </w:p>
        </w:tc>
      </w:tr>
      <w:tr w:rsidR="00727D26" w:rsidRPr="006B78D2" w:rsidTr="00A70D48">
        <w:trPr>
          <w:trHeight w:val="20"/>
        </w:trPr>
        <w:tc>
          <w:tcPr>
            <w:tcW w:w="3276" w:type="dxa"/>
            <w:shd w:val="clear" w:color="auto" w:fill="C0C0C0"/>
            <w:vAlign w:val="center"/>
          </w:tcPr>
          <w:p w:rsidR="00727D26" w:rsidRPr="007F72BA" w:rsidRDefault="00727D26" w:rsidP="00A70D48">
            <w:pPr>
              <w:jc w:val="center"/>
              <w:rPr>
                <w:b/>
                <w:sz w:val="20"/>
                <w:szCs w:val="20"/>
              </w:rPr>
            </w:pPr>
            <w:r w:rsidRPr="007F72BA">
              <w:rPr>
                <w:b/>
                <w:sz w:val="20"/>
                <w:szCs w:val="20"/>
              </w:rPr>
              <w:t>Infraštruktúra</w:t>
            </w:r>
          </w:p>
        </w:tc>
        <w:tc>
          <w:tcPr>
            <w:tcW w:w="1134" w:type="dxa"/>
            <w:shd w:val="clear" w:color="auto" w:fill="C0C0C0"/>
            <w:vAlign w:val="center"/>
          </w:tcPr>
          <w:p w:rsidR="00727D26" w:rsidRPr="007F72BA" w:rsidRDefault="00727D26" w:rsidP="00A70D48">
            <w:pPr>
              <w:jc w:val="center"/>
              <w:rPr>
                <w:b/>
                <w:sz w:val="20"/>
                <w:szCs w:val="20"/>
              </w:rPr>
            </w:pPr>
            <w:r w:rsidRPr="007F72BA">
              <w:rPr>
                <w:b/>
                <w:sz w:val="20"/>
                <w:szCs w:val="20"/>
              </w:rPr>
              <w:t>A – nový systém</w:t>
            </w:r>
          </w:p>
          <w:p w:rsidR="00727D26" w:rsidRPr="007F72BA" w:rsidRDefault="00727D26" w:rsidP="00A70D48">
            <w:pPr>
              <w:jc w:val="center"/>
              <w:rPr>
                <w:b/>
                <w:sz w:val="20"/>
                <w:szCs w:val="20"/>
              </w:rPr>
            </w:pPr>
            <w:r w:rsidRPr="007F72BA">
              <w:rPr>
                <w:b/>
                <w:sz w:val="20"/>
                <w:szCs w:val="20"/>
              </w:rPr>
              <w:t>B – zmena systému</w:t>
            </w:r>
          </w:p>
        </w:tc>
        <w:tc>
          <w:tcPr>
            <w:tcW w:w="1275" w:type="dxa"/>
            <w:shd w:val="clear" w:color="auto" w:fill="C0C0C0"/>
            <w:vAlign w:val="center"/>
          </w:tcPr>
          <w:p w:rsidR="00727D26" w:rsidRPr="007F72BA" w:rsidRDefault="00727D26" w:rsidP="00A70D48">
            <w:pPr>
              <w:jc w:val="center"/>
              <w:rPr>
                <w:b/>
                <w:sz w:val="20"/>
                <w:szCs w:val="20"/>
              </w:rPr>
            </w:pPr>
            <w:r w:rsidRPr="007F72BA">
              <w:rPr>
                <w:b/>
                <w:sz w:val="20"/>
                <w:szCs w:val="20"/>
              </w:rPr>
              <w:t>Kód systému</w:t>
            </w:r>
          </w:p>
        </w:tc>
        <w:tc>
          <w:tcPr>
            <w:tcW w:w="3686" w:type="dxa"/>
            <w:gridSpan w:val="3"/>
            <w:shd w:val="clear" w:color="auto" w:fill="C0C0C0"/>
            <w:vAlign w:val="center"/>
          </w:tcPr>
          <w:p w:rsidR="00727D26" w:rsidRPr="007F72BA" w:rsidRDefault="00727D26" w:rsidP="00A70D48">
            <w:pPr>
              <w:jc w:val="center"/>
              <w:rPr>
                <w:b/>
                <w:sz w:val="20"/>
                <w:szCs w:val="20"/>
              </w:rPr>
            </w:pPr>
            <w:r w:rsidRPr="007F72BA">
              <w:rPr>
                <w:b/>
                <w:sz w:val="20"/>
                <w:szCs w:val="20"/>
              </w:rPr>
              <w:t>Názov systému</w:t>
            </w:r>
          </w:p>
        </w:tc>
      </w:tr>
      <w:tr w:rsidR="00727D26" w:rsidRPr="006B78D2" w:rsidTr="00A70D48">
        <w:trPr>
          <w:trHeight w:val="20"/>
        </w:trPr>
        <w:tc>
          <w:tcPr>
            <w:tcW w:w="3276" w:type="dxa"/>
          </w:tcPr>
          <w:p w:rsidR="00727D26" w:rsidRPr="007F72BA" w:rsidRDefault="00727D26" w:rsidP="00A70D48">
            <w:pPr>
              <w:jc w:val="both"/>
              <w:rPr>
                <w:sz w:val="20"/>
                <w:szCs w:val="20"/>
              </w:rPr>
            </w:pPr>
            <w:r w:rsidRPr="007F72BA">
              <w:rPr>
                <w:b/>
                <w:sz w:val="20"/>
                <w:szCs w:val="20"/>
              </w:rPr>
              <w:t>6.2.</w:t>
            </w:r>
            <w:r w:rsidRPr="007F72BA">
              <w:rPr>
                <w:sz w:val="20"/>
                <w:szCs w:val="20"/>
              </w:rPr>
              <w:t xml:space="preserve"> Predpokladá predložený návrh zmenu existujúceho alebo vytvorenie nového informačného systému verejnej správy?</w:t>
            </w:r>
          </w:p>
          <w:p w:rsidR="00727D26" w:rsidRPr="007F72BA" w:rsidRDefault="00727D26" w:rsidP="00A70D48">
            <w:pPr>
              <w:spacing w:line="20" w:lineRule="atLeast"/>
              <w:jc w:val="both"/>
              <w:rPr>
                <w:sz w:val="20"/>
                <w:szCs w:val="20"/>
              </w:rPr>
            </w:pPr>
            <w:r w:rsidRPr="007F72BA">
              <w:rPr>
                <w:i/>
                <w:iCs/>
                <w:sz w:val="20"/>
                <w:szCs w:val="20"/>
              </w:rPr>
              <w:t xml:space="preserve">(Ak áno, uveďte zmenu systému alebo vytvorenie nového systému, ďalej jeho kód a názov z centrálneho </w:t>
            </w:r>
            <w:proofErr w:type="spellStart"/>
            <w:r w:rsidRPr="007F72BA">
              <w:rPr>
                <w:i/>
                <w:iCs/>
                <w:sz w:val="20"/>
                <w:szCs w:val="20"/>
              </w:rPr>
              <w:t>metainformačného</w:t>
            </w:r>
            <w:proofErr w:type="spellEnd"/>
            <w:r w:rsidRPr="007F72BA">
              <w:rPr>
                <w:i/>
                <w:iCs/>
                <w:sz w:val="20"/>
                <w:szCs w:val="20"/>
              </w:rPr>
              <w:t xml:space="preserve"> systému verejnej správy.)</w:t>
            </w:r>
          </w:p>
        </w:tc>
        <w:tc>
          <w:tcPr>
            <w:tcW w:w="1134" w:type="dxa"/>
          </w:tcPr>
          <w:p w:rsidR="00727D26" w:rsidRPr="007F72BA" w:rsidRDefault="00727D26" w:rsidP="00A70D48">
            <w:pPr>
              <w:jc w:val="center"/>
              <w:rPr>
                <w:i/>
                <w:iCs/>
                <w:sz w:val="20"/>
                <w:szCs w:val="20"/>
              </w:rPr>
            </w:pPr>
          </w:p>
          <w:p w:rsidR="00727D26" w:rsidRPr="007F72BA" w:rsidRDefault="00727D26" w:rsidP="00A70D48">
            <w:pPr>
              <w:jc w:val="center"/>
              <w:rPr>
                <w:i/>
                <w:iCs/>
                <w:sz w:val="20"/>
                <w:szCs w:val="20"/>
              </w:rPr>
            </w:pPr>
            <w:r w:rsidRPr="007F72BA">
              <w:rPr>
                <w:i/>
                <w:iCs/>
                <w:sz w:val="20"/>
                <w:szCs w:val="20"/>
              </w:rPr>
              <w:t>B</w:t>
            </w:r>
          </w:p>
          <w:p w:rsidR="00727D26" w:rsidRPr="007F72BA" w:rsidRDefault="00727D26" w:rsidP="00A70D48">
            <w:pPr>
              <w:jc w:val="center"/>
              <w:rPr>
                <w:i/>
                <w:iCs/>
                <w:sz w:val="20"/>
                <w:szCs w:val="20"/>
              </w:rPr>
            </w:pPr>
          </w:p>
          <w:p w:rsidR="00727D26" w:rsidRPr="007F72BA" w:rsidRDefault="00727D26" w:rsidP="00A70D48">
            <w:pPr>
              <w:jc w:val="center"/>
              <w:rPr>
                <w:i/>
                <w:iCs/>
                <w:sz w:val="20"/>
                <w:szCs w:val="20"/>
              </w:rPr>
            </w:pPr>
            <w:r w:rsidRPr="007F72BA">
              <w:rPr>
                <w:i/>
                <w:iCs/>
                <w:sz w:val="20"/>
                <w:szCs w:val="20"/>
              </w:rPr>
              <w:t>B</w:t>
            </w:r>
          </w:p>
        </w:tc>
        <w:tc>
          <w:tcPr>
            <w:tcW w:w="1275" w:type="dxa"/>
          </w:tcPr>
          <w:p w:rsidR="00727D26" w:rsidRPr="007F72BA" w:rsidRDefault="00727D26" w:rsidP="00A70D48">
            <w:pPr>
              <w:rPr>
                <w:i/>
                <w:iCs/>
                <w:sz w:val="20"/>
                <w:szCs w:val="20"/>
              </w:rPr>
            </w:pPr>
          </w:p>
          <w:p w:rsidR="00727D26" w:rsidRPr="007F72BA" w:rsidRDefault="00727D26" w:rsidP="00A70D48">
            <w:pPr>
              <w:rPr>
                <w:iCs/>
                <w:sz w:val="20"/>
                <w:szCs w:val="20"/>
              </w:rPr>
            </w:pPr>
            <w:r w:rsidRPr="007F72BA">
              <w:rPr>
                <w:iCs/>
                <w:sz w:val="20"/>
                <w:szCs w:val="20"/>
              </w:rPr>
              <w:t>isvs_7205</w:t>
            </w:r>
          </w:p>
          <w:p w:rsidR="00727D26" w:rsidRPr="007F72BA" w:rsidRDefault="00727D26" w:rsidP="00A70D48">
            <w:pPr>
              <w:rPr>
                <w:sz w:val="20"/>
                <w:szCs w:val="20"/>
              </w:rPr>
            </w:pPr>
          </w:p>
          <w:p w:rsidR="00727D26" w:rsidRPr="007F72BA" w:rsidRDefault="00727D26" w:rsidP="00A70D48">
            <w:pPr>
              <w:rPr>
                <w:sz w:val="20"/>
                <w:szCs w:val="20"/>
              </w:rPr>
            </w:pPr>
            <w:r w:rsidRPr="007F72BA">
              <w:rPr>
                <w:sz w:val="20"/>
                <w:szCs w:val="20"/>
              </w:rPr>
              <w:t>isvs_7213</w:t>
            </w:r>
          </w:p>
        </w:tc>
        <w:tc>
          <w:tcPr>
            <w:tcW w:w="3686" w:type="dxa"/>
            <w:gridSpan w:val="3"/>
          </w:tcPr>
          <w:p w:rsidR="00727D26" w:rsidRPr="007F72BA" w:rsidRDefault="00727D26" w:rsidP="00A70D48">
            <w:pPr>
              <w:jc w:val="center"/>
              <w:rPr>
                <w:sz w:val="20"/>
                <w:szCs w:val="20"/>
              </w:rPr>
            </w:pPr>
          </w:p>
          <w:p w:rsidR="00727D26" w:rsidRPr="007F72BA" w:rsidRDefault="00727D26" w:rsidP="00A70D48">
            <w:pPr>
              <w:jc w:val="center"/>
              <w:rPr>
                <w:i/>
                <w:iCs/>
                <w:sz w:val="20"/>
                <w:szCs w:val="20"/>
              </w:rPr>
            </w:pPr>
            <w:r w:rsidRPr="007F72BA">
              <w:rPr>
                <w:sz w:val="20"/>
                <w:szCs w:val="20"/>
              </w:rPr>
              <w:t>Systém správy nepriamych daní (</w:t>
            </w:r>
            <w:proofErr w:type="spellStart"/>
            <w:r w:rsidRPr="007F72BA">
              <w:rPr>
                <w:sz w:val="20"/>
                <w:szCs w:val="20"/>
              </w:rPr>
              <w:t>SySNeD</w:t>
            </w:r>
            <w:proofErr w:type="spellEnd"/>
            <w:r w:rsidRPr="007F72BA">
              <w:rPr>
                <w:sz w:val="20"/>
                <w:szCs w:val="20"/>
              </w:rPr>
              <w:t>)</w:t>
            </w:r>
          </w:p>
          <w:p w:rsidR="00727D26" w:rsidRPr="007F72BA" w:rsidRDefault="00727D26" w:rsidP="00A70D48">
            <w:pPr>
              <w:jc w:val="center"/>
              <w:rPr>
                <w:i/>
                <w:iCs/>
                <w:sz w:val="20"/>
                <w:szCs w:val="20"/>
              </w:rPr>
            </w:pPr>
          </w:p>
          <w:p w:rsidR="00727D26" w:rsidRPr="007F72BA" w:rsidRDefault="00727D26" w:rsidP="00A70D48">
            <w:pPr>
              <w:jc w:val="center"/>
              <w:rPr>
                <w:i/>
                <w:iCs/>
                <w:sz w:val="20"/>
                <w:szCs w:val="20"/>
              </w:rPr>
            </w:pPr>
            <w:r w:rsidRPr="007F72BA">
              <w:rPr>
                <w:sz w:val="20"/>
                <w:szCs w:val="20"/>
              </w:rPr>
              <w:t xml:space="preserve">Portál Finančnej správy (PFS) </w:t>
            </w:r>
          </w:p>
        </w:tc>
      </w:tr>
      <w:tr w:rsidR="00727D26" w:rsidRPr="006B78D2" w:rsidTr="00A70D48">
        <w:trPr>
          <w:trHeight w:val="20"/>
        </w:trPr>
        <w:tc>
          <w:tcPr>
            <w:tcW w:w="3276" w:type="dxa"/>
            <w:shd w:val="clear" w:color="auto" w:fill="BFBFBF"/>
            <w:vAlign w:val="center"/>
          </w:tcPr>
          <w:p w:rsidR="00727D26" w:rsidRPr="007F72BA" w:rsidRDefault="00727D26" w:rsidP="00A70D48">
            <w:pPr>
              <w:spacing w:line="20" w:lineRule="atLeast"/>
              <w:ind w:hanging="55"/>
              <w:jc w:val="center"/>
              <w:rPr>
                <w:b/>
                <w:sz w:val="20"/>
                <w:szCs w:val="20"/>
              </w:rPr>
            </w:pPr>
            <w:r w:rsidRPr="007F72BA">
              <w:rPr>
                <w:b/>
                <w:sz w:val="20"/>
                <w:szCs w:val="20"/>
              </w:rPr>
              <w:t>Financovanie procesu informatizácie</w:t>
            </w:r>
          </w:p>
        </w:tc>
        <w:tc>
          <w:tcPr>
            <w:tcW w:w="1134" w:type="dxa"/>
            <w:shd w:val="clear" w:color="auto" w:fill="BFBFBF"/>
            <w:vAlign w:val="center"/>
          </w:tcPr>
          <w:p w:rsidR="00727D26" w:rsidRPr="007F72BA" w:rsidRDefault="00727D26" w:rsidP="00A70D48">
            <w:pPr>
              <w:jc w:val="center"/>
              <w:rPr>
                <w:b/>
                <w:i/>
                <w:iCs/>
                <w:sz w:val="20"/>
                <w:szCs w:val="20"/>
              </w:rPr>
            </w:pPr>
            <w:r w:rsidRPr="007F72BA">
              <w:rPr>
                <w:b/>
                <w:sz w:val="20"/>
                <w:szCs w:val="20"/>
              </w:rPr>
              <w:t>Rezortná úroveň</w:t>
            </w:r>
          </w:p>
        </w:tc>
        <w:tc>
          <w:tcPr>
            <w:tcW w:w="1701" w:type="dxa"/>
            <w:gridSpan w:val="2"/>
            <w:shd w:val="clear" w:color="auto" w:fill="BFBFBF"/>
            <w:vAlign w:val="center"/>
          </w:tcPr>
          <w:p w:rsidR="00727D26" w:rsidRPr="00385231" w:rsidRDefault="00727D26" w:rsidP="00A70D48">
            <w:pPr>
              <w:jc w:val="center"/>
              <w:rPr>
                <w:b/>
                <w:i/>
                <w:iCs/>
                <w:sz w:val="20"/>
                <w:szCs w:val="20"/>
              </w:rPr>
            </w:pPr>
            <w:r w:rsidRPr="007F72BA">
              <w:rPr>
                <w:b/>
                <w:sz w:val="20"/>
                <w:szCs w:val="20"/>
              </w:rPr>
              <w:t>Nadrezortná úroveň</w:t>
            </w:r>
          </w:p>
        </w:tc>
        <w:tc>
          <w:tcPr>
            <w:tcW w:w="3260" w:type="dxa"/>
            <w:gridSpan w:val="2"/>
            <w:shd w:val="clear" w:color="auto" w:fill="BFBFBF"/>
            <w:vAlign w:val="center"/>
          </w:tcPr>
          <w:p w:rsidR="00727D26" w:rsidRPr="007F72BA" w:rsidRDefault="00727D26" w:rsidP="00A70D48">
            <w:pPr>
              <w:rPr>
                <w:b/>
                <w:sz w:val="20"/>
                <w:szCs w:val="20"/>
              </w:rPr>
            </w:pPr>
            <w:r>
              <w:rPr>
                <w:b/>
                <w:sz w:val="20"/>
                <w:szCs w:val="20"/>
              </w:rPr>
              <w:t xml:space="preserve">A - z prostriedkov EÚ </w:t>
            </w:r>
          </w:p>
          <w:p w:rsidR="00727D26" w:rsidRPr="007F72BA" w:rsidRDefault="00727D26" w:rsidP="00A70D48">
            <w:pPr>
              <w:rPr>
                <w:b/>
                <w:sz w:val="20"/>
                <w:szCs w:val="20"/>
              </w:rPr>
            </w:pPr>
            <w:r w:rsidRPr="007F72BA">
              <w:rPr>
                <w:b/>
                <w:sz w:val="20"/>
                <w:szCs w:val="20"/>
              </w:rPr>
              <w:t>B - z ďalších zdrojov financovania</w:t>
            </w:r>
          </w:p>
        </w:tc>
      </w:tr>
      <w:tr w:rsidR="00727D26" w:rsidRPr="006B78D2" w:rsidTr="00A70D48">
        <w:trPr>
          <w:trHeight w:val="2225"/>
        </w:trPr>
        <w:tc>
          <w:tcPr>
            <w:tcW w:w="3276" w:type="dxa"/>
          </w:tcPr>
          <w:p w:rsidR="00727D26" w:rsidRPr="007F72BA" w:rsidRDefault="00727D26" w:rsidP="00A70D48">
            <w:pPr>
              <w:jc w:val="both"/>
              <w:rPr>
                <w:sz w:val="20"/>
                <w:szCs w:val="20"/>
              </w:rPr>
            </w:pPr>
            <w:r w:rsidRPr="007F72BA">
              <w:rPr>
                <w:b/>
                <w:sz w:val="20"/>
                <w:szCs w:val="20"/>
              </w:rPr>
              <w:t>6.3.</w:t>
            </w:r>
            <w:r w:rsidRPr="007F72BA">
              <w:rPr>
                <w:sz w:val="20"/>
                <w:szCs w:val="20"/>
              </w:rPr>
              <w:t xml:space="preserve"> Vyžaduje si proces informatizácie  finančné investície?</w:t>
            </w:r>
          </w:p>
          <w:p w:rsidR="00727D26" w:rsidRPr="007F72BA" w:rsidRDefault="00727D26" w:rsidP="00A70D48">
            <w:pPr>
              <w:spacing w:line="20" w:lineRule="atLeast"/>
              <w:jc w:val="both"/>
              <w:rPr>
                <w:sz w:val="20"/>
                <w:szCs w:val="20"/>
              </w:rPr>
            </w:pPr>
            <w:r w:rsidRPr="007F72BA">
              <w:rPr>
                <w:i/>
                <w:iCs/>
                <w:sz w:val="20"/>
                <w:szCs w:val="20"/>
              </w:rPr>
              <w:t>(Uveďte príslušnú úroveň financovania a kvantifikáciu finančných výdavkov uveďte  v analýze vplyvov na rozpočet verejnej správy.)</w:t>
            </w:r>
          </w:p>
        </w:tc>
        <w:tc>
          <w:tcPr>
            <w:tcW w:w="1134" w:type="dxa"/>
          </w:tcPr>
          <w:p w:rsidR="00727D26" w:rsidRPr="007F72BA" w:rsidRDefault="00727D26" w:rsidP="00A70D48">
            <w:pPr>
              <w:jc w:val="center"/>
              <w:rPr>
                <w:i/>
                <w:iCs/>
                <w:sz w:val="20"/>
                <w:szCs w:val="20"/>
              </w:rPr>
            </w:pPr>
          </w:p>
          <w:p w:rsidR="00727D26" w:rsidRPr="007F72BA" w:rsidRDefault="00727D26" w:rsidP="00A70D48">
            <w:pPr>
              <w:jc w:val="center"/>
              <w:rPr>
                <w:b/>
                <w:i/>
                <w:iCs/>
                <w:sz w:val="20"/>
                <w:szCs w:val="20"/>
              </w:rPr>
            </w:pPr>
            <w:r w:rsidRPr="007F72BA">
              <w:rPr>
                <w:b/>
                <w:i/>
                <w:iCs/>
                <w:sz w:val="20"/>
                <w:szCs w:val="20"/>
              </w:rPr>
              <w:t>X</w:t>
            </w:r>
          </w:p>
        </w:tc>
        <w:tc>
          <w:tcPr>
            <w:tcW w:w="1701" w:type="dxa"/>
            <w:gridSpan w:val="2"/>
          </w:tcPr>
          <w:p w:rsidR="00727D26" w:rsidRDefault="00727D26" w:rsidP="00A70D48">
            <w:pPr>
              <w:jc w:val="center"/>
              <w:rPr>
                <w:i/>
                <w:iCs/>
                <w:sz w:val="20"/>
                <w:szCs w:val="20"/>
              </w:rPr>
            </w:pPr>
          </w:p>
          <w:p w:rsidR="00727D26" w:rsidRDefault="00727D26" w:rsidP="00A70D48">
            <w:pPr>
              <w:jc w:val="center"/>
              <w:rPr>
                <w:i/>
                <w:iCs/>
                <w:sz w:val="20"/>
                <w:szCs w:val="20"/>
              </w:rPr>
            </w:pPr>
          </w:p>
          <w:p w:rsidR="00727D26" w:rsidRPr="007F72BA" w:rsidRDefault="00727D26" w:rsidP="00A70D48">
            <w:pPr>
              <w:jc w:val="center"/>
              <w:rPr>
                <w:i/>
                <w:iCs/>
                <w:sz w:val="20"/>
                <w:szCs w:val="20"/>
              </w:rPr>
            </w:pPr>
          </w:p>
        </w:tc>
        <w:tc>
          <w:tcPr>
            <w:tcW w:w="3260" w:type="dxa"/>
            <w:gridSpan w:val="2"/>
          </w:tcPr>
          <w:p w:rsidR="00727D26" w:rsidRPr="007F72BA" w:rsidRDefault="00727D26" w:rsidP="00A70D48">
            <w:pPr>
              <w:jc w:val="center"/>
              <w:rPr>
                <w:iCs/>
                <w:sz w:val="20"/>
                <w:szCs w:val="20"/>
              </w:rPr>
            </w:pPr>
          </w:p>
          <w:p w:rsidR="00727D26" w:rsidRDefault="00727D26" w:rsidP="00A70D48">
            <w:pPr>
              <w:jc w:val="center"/>
              <w:rPr>
                <w:b/>
                <w:i/>
                <w:iCs/>
                <w:sz w:val="20"/>
                <w:szCs w:val="20"/>
              </w:rPr>
            </w:pPr>
            <w:r w:rsidRPr="007F72BA">
              <w:rPr>
                <w:b/>
                <w:i/>
                <w:iCs/>
                <w:sz w:val="20"/>
                <w:szCs w:val="20"/>
              </w:rPr>
              <w:t>B</w:t>
            </w:r>
          </w:p>
          <w:p w:rsidR="00727D26" w:rsidRPr="007F72BA" w:rsidRDefault="00727D26" w:rsidP="00A70D48">
            <w:pPr>
              <w:jc w:val="center"/>
              <w:rPr>
                <w:iCs/>
                <w:sz w:val="20"/>
                <w:szCs w:val="20"/>
              </w:rPr>
            </w:pPr>
          </w:p>
          <w:p w:rsidR="00727D26" w:rsidRPr="007F72BA" w:rsidRDefault="00727D26" w:rsidP="00A70D48">
            <w:pPr>
              <w:pBdr>
                <w:top w:val="single" w:sz="4" w:space="1" w:color="auto"/>
                <w:left w:val="single" w:sz="4" w:space="4" w:color="auto"/>
                <w:bottom w:val="single" w:sz="4" w:space="0" w:color="auto"/>
                <w:right w:val="single" w:sz="4" w:space="4" w:color="auto"/>
              </w:pBdr>
              <w:jc w:val="both"/>
              <w:rPr>
                <w:i/>
                <w:iCs/>
                <w:sz w:val="20"/>
                <w:szCs w:val="20"/>
              </w:rPr>
            </w:pPr>
          </w:p>
        </w:tc>
      </w:tr>
    </w:tbl>
    <w:p w:rsidR="00727D26" w:rsidRDefault="00727D26" w:rsidP="00727D26">
      <w:pPr>
        <w:jc w:val="both"/>
        <w:rPr>
          <w:bCs/>
        </w:rPr>
      </w:pPr>
    </w:p>
    <w:p w:rsidR="00727D26" w:rsidRDefault="00727D26" w:rsidP="00727D26">
      <w:pPr>
        <w:jc w:val="both"/>
        <w:rPr>
          <w:bCs/>
        </w:rPr>
      </w:pPr>
    </w:p>
    <w:p w:rsidR="00727D26" w:rsidRDefault="00727D26" w:rsidP="00727D26">
      <w:pPr>
        <w:jc w:val="both"/>
        <w:rPr>
          <w:bCs/>
        </w:rPr>
      </w:pPr>
    </w:p>
    <w:p w:rsidR="00727D26" w:rsidRDefault="00727D26" w:rsidP="00727D26">
      <w:pPr>
        <w:jc w:val="both"/>
        <w:rPr>
          <w:bCs/>
        </w:rPr>
      </w:pPr>
    </w:p>
    <w:p w:rsidR="00727D26" w:rsidRDefault="00727D26" w:rsidP="00727D26">
      <w:pPr>
        <w:jc w:val="both"/>
        <w:rPr>
          <w:bCs/>
        </w:rPr>
      </w:pPr>
    </w:p>
    <w:p w:rsidR="00727D26" w:rsidRDefault="00727D26" w:rsidP="00727D26">
      <w:pPr>
        <w:jc w:val="both"/>
        <w:rPr>
          <w:bCs/>
        </w:rPr>
      </w:pPr>
    </w:p>
    <w:p w:rsidR="00727D26" w:rsidRDefault="00727D26" w:rsidP="00727D26">
      <w:pPr>
        <w:jc w:val="both"/>
        <w:rPr>
          <w:bCs/>
        </w:rPr>
      </w:pPr>
    </w:p>
    <w:p w:rsidR="00727D26" w:rsidRPr="00727D26" w:rsidRDefault="00727D26" w:rsidP="00727D26">
      <w:pPr>
        <w:jc w:val="both"/>
        <w:rPr>
          <w:bCs/>
        </w:rPr>
      </w:pPr>
    </w:p>
    <w:p w:rsidR="00727D26" w:rsidRDefault="00727D26" w:rsidP="001B1696">
      <w:pPr>
        <w:rPr>
          <w:bCs/>
        </w:rPr>
      </w:pPr>
    </w:p>
    <w:p w:rsidR="00727D26" w:rsidRPr="00C70AB4" w:rsidRDefault="00727D26" w:rsidP="00727D26">
      <w:pPr>
        <w:pStyle w:val="Nzov"/>
        <w:rPr>
          <w:noProof/>
        </w:rPr>
      </w:pPr>
      <w:r w:rsidRPr="00C70AB4">
        <w:rPr>
          <w:noProof/>
        </w:rPr>
        <w:t>DOLOŽKA  ZLUČITEĽNOSTI</w:t>
      </w:r>
    </w:p>
    <w:p w:rsidR="00727D26" w:rsidRPr="00C70AB4" w:rsidRDefault="00727D26" w:rsidP="00727D26">
      <w:pPr>
        <w:jc w:val="center"/>
        <w:rPr>
          <w:b/>
          <w:noProof/>
        </w:rPr>
      </w:pPr>
      <w:r w:rsidRPr="00C70AB4">
        <w:rPr>
          <w:b/>
          <w:noProof/>
        </w:rPr>
        <w:t xml:space="preserve">návrhu zákona </w:t>
      </w:r>
      <w:r w:rsidRPr="00C70AB4">
        <w:rPr>
          <w:b/>
          <w:bCs/>
          <w:noProof/>
        </w:rPr>
        <w:t>s právom Európskej únie</w:t>
      </w:r>
    </w:p>
    <w:p w:rsidR="00727D26" w:rsidRPr="00C70AB4" w:rsidRDefault="00727D26" w:rsidP="00727D26">
      <w:pPr>
        <w:pBdr>
          <w:bottom w:val="single" w:sz="12" w:space="1" w:color="auto"/>
        </w:pBdr>
        <w:jc w:val="center"/>
        <w:rPr>
          <w:noProof/>
        </w:rPr>
      </w:pPr>
    </w:p>
    <w:p w:rsidR="00727D26" w:rsidRPr="00C70AB4" w:rsidRDefault="00727D26" w:rsidP="00727D26">
      <w:pPr>
        <w:pStyle w:val="Zkladntext1"/>
        <w:tabs>
          <w:tab w:val="left" w:pos="284"/>
        </w:tabs>
        <w:spacing w:before="120"/>
        <w:rPr>
          <w:bCs/>
          <w:noProof/>
          <w:sz w:val="24"/>
          <w:szCs w:val="24"/>
        </w:rPr>
      </w:pPr>
    </w:p>
    <w:p w:rsidR="00727D26" w:rsidRPr="00C70AB4" w:rsidRDefault="00727D26" w:rsidP="00727D26">
      <w:pPr>
        <w:pStyle w:val="Zkladntext1"/>
        <w:tabs>
          <w:tab w:val="left" w:pos="284"/>
        </w:tabs>
        <w:spacing w:before="120"/>
        <w:rPr>
          <w:b/>
          <w:bCs/>
          <w:noProof/>
          <w:sz w:val="24"/>
          <w:szCs w:val="24"/>
        </w:rPr>
      </w:pPr>
      <w:r w:rsidRPr="00C70AB4">
        <w:rPr>
          <w:b/>
          <w:bCs/>
          <w:noProof/>
          <w:sz w:val="24"/>
          <w:szCs w:val="24"/>
        </w:rPr>
        <w:t>1.</w:t>
      </w:r>
      <w:r w:rsidRPr="00C70AB4">
        <w:rPr>
          <w:b/>
          <w:bCs/>
          <w:noProof/>
          <w:sz w:val="24"/>
          <w:szCs w:val="24"/>
        </w:rPr>
        <w:tab/>
        <w:t>Navrhovateľ zákona:</w:t>
      </w:r>
    </w:p>
    <w:p w:rsidR="00727D26" w:rsidRPr="00C70AB4" w:rsidRDefault="00727D26" w:rsidP="00727D26">
      <w:pPr>
        <w:pStyle w:val="Zkladntext1"/>
        <w:spacing w:before="120"/>
        <w:ind w:left="284"/>
        <w:jc w:val="both"/>
        <w:rPr>
          <w:noProof/>
          <w:sz w:val="24"/>
          <w:szCs w:val="24"/>
        </w:rPr>
      </w:pPr>
      <w:r w:rsidRPr="00C70AB4">
        <w:rPr>
          <w:noProof/>
          <w:sz w:val="24"/>
          <w:szCs w:val="24"/>
        </w:rPr>
        <w:t>Vláda Slovenskej republiky.</w:t>
      </w:r>
    </w:p>
    <w:p w:rsidR="00727D26" w:rsidRPr="00C70AB4" w:rsidRDefault="00727D26" w:rsidP="00727D26">
      <w:pPr>
        <w:pStyle w:val="Zkladntext1"/>
        <w:numPr>
          <w:ilvl w:val="0"/>
          <w:numId w:val="28"/>
        </w:numPr>
        <w:tabs>
          <w:tab w:val="clear" w:pos="360"/>
          <w:tab w:val="left" w:pos="284"/>
        </w:tabs>
        <w:spacing w:before="120" w:after="120"/>
        <w:ind w:left="0" w:firstLine="0"/>
        <w:jc w:val="both"/>
        <w:rPr>
          <w:b/>
          <w:bCs/>
          <w:noProof/>
          <w:sz w:val="24"/>
          <w:szCs w:val="24"/>
        </w:rPr>
      </w:pPr>
      <w:r w:rsidRPr="00C70AB4">
        <w:rPr>
          <w:b/>
          <w:bCs/>
          <w:noProof/>
          <w:sz w:val="24"/>
          <w:szCs w:val="24"/>
        </w:rPr>
        <w:t>Názov návrhu zákona:</w:t>
      </w:r>
    </w:p>
    <w:p w:rsidR="00727D26" w:rsidRPr="00C70AB4" w:rsidRDefault="00727D26" w:rsidP="00727D26">
      <w:pPr>
        <w:spacing w:line="276" w:lineRule="auto"/>
        <w:ind w:left="284"/>
        <w:jc w:val="both"/>
        <w:rPr>
          <w:noProof/>
        </w:rPr>
      </w:pPr>
      <w:r w:rsidRPr="00C70AB4">
        <w:rPr>
          <w:noProof/>
        </w:rPr>
        <w:t xml:space="preserve">Návrh zákona, ktorým sa mení a dopĺňa zákon </w:t>
      </w:r>
      <w:r w:rsidRPr="00C70AB4">
        <w:rPr>
          <w:bCs/>
          <w:noProof/>
        </w:rPr>
        <w:t xml:space="preserve">č. 98/2004 Z. z. o spotrebnej dani z minerálneho oleja v znení neskorších predpisov </w:t>
      </w:r>
      <w:r w:rsidRPr="00C70AB4">
        <w:t xml:space="preserve">a ktorým sa mení zákon č. 218/2013 Z. z. o núdzových zásobách ropy a ropných výrobkov a o riešení stavu ropnej núdze a o zmene  </w:t>
      </w:r>
      <w:r w:rsidR="00F45B35">
        <w:t xml:space="preserve">      </w:t>
      </w:r>
      <w:r w:rsidRPr="00C70AB4">
        <w:t>a doplnení niektorých zákonov v znení neskorších predpisov</w:t>
      </w:r>
    </w:p>
    <w:p w:rsidR="00727D26" w:rsidRPr="00C70AB4" w:rsidRDefault="00727D26" w:rsidP="00727D26">
      <w:pPr>
        <w:pStyle w:val="Zkladntext1"/>
        <w:numPr>
          <w:ilvl w:val="0"/>
          <w:numId w:val="28"/>
        </w:numPr>
        <w:tabs>
          <w:tab w:val="clear" w:pos="360"/>
          <w:tab w:val="left" w:pos="284"/>
        </w:tabs>
        <w:spacing w:before="120" w:after="120"/>
        <w:ind w:left="0" w:firstLine="0"/>
        <w:jc w:val="both"/>
        <w:rPr>
          <w:b/>
          <w:bCs/>
          <w:noProof/>
          <w:sz w:val="24"/>
          <w:szCs w:val="24"/>
        </w:rPr>
      </w:pPr>
      <w:r w:rsidRPr="00C70AB4">
        <w:rPr>
          <w:b/>
          <w:bCs/>
          <w:noProof/>
          <w:sz w:val="24"/>
          <w:szCs w:val="24"/>
        </w:rPr>
        <w:t xml:space="preserve">Predmet návrhu zákona </w:t>
      </w:r>
      <w:r w:rsidRPr="00C70AB4">
        <w:rPr>
          <w:b/>
          <w:noProof/>
          <w:sz w:val="24"/>
          <w:szCs w:val="24"/>
        </w:rPr>
        <w:t>je upravený v práve Európskej únie:</w:t>
      </w:r>
    </w:p>
    <w:p w:rsidR="00727D26" w:rsidRPr="00727D26" w:rsidRDefault="00727D26" w:rsidP="00727D26">
      <w:pPr>
        <w:pStyle w:val="Zkladntext1"/>
        <w:numPr>
          <w:ilvl w:val="0"/>
          <w:numId w:val="30"/>
        </w:numPr>
        <w:spacing w:after="120"/>
        <w:ind w:left="641" w:hanging="357"/>
        <w:rPr>
          <w:b/>
          <w:noProof/>
          <w:sz w:val="24"/>
          <w:szCs w:val="24"/>
        </w:rPr>
      </w:pPr>
      <w:r w:rsidRPr="00727D26">
        <w:rPr>
          <w:b/>
          <w:noProof/>
          <w:sz w:val="24"/>
          <w:szCs w:val="24"/>
        </w:rPr>
        <w:t>Primárne právo:</w:t>
      </w:r>
    </w:p>
    <w:p w:rsidR="00727D26" w:rsidRPr="00727D26" w:rsidRDefault="00727D26" w:rsidP="00727D26">
      <w:pPr>
        <w:pStyle w:val="Zkladntext1"/>
        <w:numPr>
          <w:ilvl w:val="0"/>
          <w:numId w:val="27"/>
        </w:numPr>
        <w:spacing w:after="120"/>
        <w:ind w:left="658" w:hanging="357"/>
        <w:rPr>
          <w:noProof/>
          <w:sz w:val="24"/>
          <w:szCs w:val="24"/>
        </w:rPr>
      </w:pPr>
      <w:r w:rsidRPr="00727D26">
        <w:rPr>
          <w:noProof/>
          <w:sz w:val="24"/>
          <w:szCs w:val="24"/>
        </w:rPr>
        <w:t xml:space="preserve">čl. 52 Zmluvy o Európskej únii </w:t>
      </w:r>
      <w:r w:rsidRPr="00727D26">
        <w:rPr>
          <w:color w:val="auto"/>
          <w:sz w:val="24"/>
          <w:szCs w:val="24"/>
        </w:rPr>
        <w:t>(</w:t>
      </w:r>
      <w:r w:rsidRPr="00727D26">
        <w:rPr>
          <w:rStyle w:val="awspan1"/>
          <w:color w:val="auto"/>
          <w:szCs w:val="24"/>
        </w:rPr>
        <w:t>Ú. v. EÚ C 202, 7.6.2016) v platnom znení</w:t>
      </w:r>
      <w:r w:rsidRPr="00727D26">
        <w:rPr>
          <w:noProof/>
          <w:sz w:val="24"/>
          <w:szCs w:val="24"/>
        </w:rPr>
        <w:t>,</w:t>
      </w:r>
    </w:p>
    <w:p w:rsidR="00727D26" w:rsidRPr="00727D26" w:rsidRDefault="00727D26" w:rsidP="00727D26">
      <w:pPr>
        <w:pStyle w:val="Zkladntext1"/>
        <w:numPr>
          <w:ilvl w:val="0"/>
          <w:numId w:val="27"/>
        </w:numPr>
        <w:spacing w:after="240"/>
        <w:ind w:left="658" w:hanging="357"/>
        <w:jc w:val="both"/>
        <w:rPr>
          <w:noProof/>
          <w:sz w:val="24"/>
          <w:szCs w:val="24"/>
        </w:rPr>
      </w:pPr>
      <w:r w:rsidRPr="00727D26">
        <w:rPr>
          <w:noProof/>
          <w:sz w:val="24"/>
          <w:szCs w:val="24"/>
        </w:rPr>
        <w:t xml:space="preserve">čl. 110 až 113 a čl. 355 Zmluvy o fungovaní Európskej únie </w:t>
      </w:r>
      <w:r w:rsidRPr="00727D26">
        <w:rPr>
          <w:color w:val="auto"/>
          <w:sz w:val="24"/>
          <w:szCs w:val="24"/>
        </w:rPr>
        <w:t>(</w:t>
      </w:r>
      <w:r w:rsidRPr="00727D26">
        <w:rPr>
          <w:rStyle w:val="awspan1"/>
          <w:color w:val="auto"/>
          <w:szCs w:val="24"/>
        </w:rPr>
        <w:t>Ú. v. EÚ C 202, 7.6.2016) v platnom znení</w:t>
      </w:r>
      <w:r w:rsidRPr="00727D26">
        <w:rPr>
          <w:noProof/>
          <w:sz w:val="24"/>
          <w:szCs w:val="24"/>
        </w:rPr>
        <w:t>.</w:t>
      </w:r>
    </w:p>
    <w:p w:rsidR="00727D26" w:rsidRPr="00C70AB4" w:rsidRDefault="00727D26" w:rsidP="00727D26">
      <w:pPr>
        <w:pStyle w:val="Odsekzoznamu"/>
        <w:widowControl w:val="0"/>
        <w:numPr>
          <w:ilvl w:val="0"/>
          <w:numId w:val="30"/>
        </w:numPr>
        <w:autoSpaceDE w:val="0"/>
        <w:autoSpaceDN w:val="0"/>
        <w:adjustRightInd w:val="0"/>
        <w:spacing w:after="0" w:line="240" w:lineRule="auto"/>
        <w:jc w:val="both"/>
        <w:rPr>
          <w:noProof/>
        </w:rPr>
      </w:pPr>
      <w:r w:rsidRPr="00727D26">
        <w:rPr>
          <w:rFonts w:ascii="Times New Roman" w:hAnsi="Times New Roman"/>
          <w:b/>
          <w:noProof/>
          <w:sz w:val="24"/>
          <w:szCs w:val="24"/>
        </w:rPr>
        <w:t>Sekundárne právo</w:t>
      </w:r>
      <w:r w:rsidRPr="00C70AB4">
        <w:rPr>
          <w:b/>
          <w:noProof/>
        </w:rPr>
        <w:t>:</w:t>
      </w:r>
    </w:p>
    <w:p w:rsidR="00727D26" w:rsidRPr="00C70AB4" w:rsidRDefault="00727D26" w:rsidP="00727D26">
      <w:pPr>
        <w:numPr>
          <w:ilvl w:val="0"/>
          <w:numId w:val="27"/>
        </w:numPr>
        <w:spacing w:before="120" w:after="120" w:line="276" w:lineRule="auto"/>
        <w:ind w:left="658" w:hanging="357"/>
        <w:jc w:val="both"/>
        <w:rPr>
          <w:rStyle w:val="Zvraznenie"/>
          <w:noProof/>
        </w:rPr>
      </w:pPr>
      <w:r w:rsidRPr="00C70AB4">
        <w:rPr>
          <w:bCs/>
        </w:rPr>
        <w:t xml:space="preserve">smernica Rady (EÚ) </w:t>
      </w:r>
      <w:r w:rsidRPr="00C70AB4">
        <w:rPr>
          <w:bCs/>
          <w:u w:val="single"/>
        </w:rPr>
        <w:t>2020/262</w:t>
      </w:r>
      <w:r w:rsidRPr="00C70AB4">
        <w:rPr>
          <w:bCs/>
        </w:rPr>
        <w:t xml:space="preserve"> z 19. decembra 2019, ktorou sa ustanovuje všeobecný systém spotrebných daní (prepracované znenie) </w:t>
      </w:r>
      <w:r w:rsidRPr="00C70AB4">
        <w:rPr>
          <w:iCs/>
          <w:shd w:val="clear" w:color="auto" w:fill="FFFFFF"/>
        </w:rPr>
        <w:t>Ú. v. EÚ L 58, 27.2.2020)</w:t>
      </w:r>
      <w:r w:rsidRPr="00C70AB4">
        <w:rPr>
          <w:rStyle w:val="Zvraznenie"/>
          <w:i w:val="0"/>
        </w:rPr>
        <w:t>, gestor: zatiaľ nebol určený,</w:t>
      </w:r>
    </w:p>
    <w:p w:rsidR="00727D26" w:rsidRPr="00C70AB4" w:rsidRDefault="00727D26" w:rsidP="00727D26">
      <w:pPr>
        <w:numPr>
          <w:ilvl w:val="0"/>
          <w:numId w:val="27"/>
        </w:numPr>
        <w:spacing w:before="120" w:after="120" w:line="276" w:lineRule="auto"/>
        <w:ind w:left="660" w:hanging="357"/>
        <w:jc w:val="both"/>
      </w:pPr>
      <w:r w:rsidRPr="00C70AB4">
        <w:rPr>
          <w:shd w:val="clear" w:color="auto" w:fill="FFFFFF"/>
        </w:rPr>
        <w:t xml:space="preserve">smernica Rady (EÚ) 2019/2235 zo 16. decembra 2019, ktorou sa mení smernica 2006/112/ES o spoločnom systéme dane z pridanej hodnoty a smernica 2008/118/ES   </w:t>
      </w:r>
      <w:r w:rsidR="00F45B35">
        <w:rPr>
          <w:shd w:val="clear" w:color="auto" w:fill="FFFFFF"/>
        </w:rPr>
        <w:t xml:space="preserve">    </w:t>
      </w:r>
      <w:r w:rsidRPr="00C70AB4">
        <w:rPr>
          <w:shd w:val="clear" w:color="auto" w:fill="FFFFFF"/>
        </w:rPr>
        <w:t>o všeobecnom systéme spotrebných daní, pokiaľ ide o obranné úsilie v rámci Únie (</w:t>
      </w:r>
      <w:r w:rsidRPr="00C70AB4">
        <w:rPr>
          <w:rStyle w:val="Zvraznenie"/>
          <w:i w:val="0"/>
          <w:iCs/>
          <w:shd w:val="clear" w:color="auto" w:fill="FFFFFF"/>
        </w:rPr>
        <w:t xml:space="preserve">Ú. v. EÚ L 336, 30.12.2019), </w:t>
      </w:r>
      <w:r w:rsidRPr="00C70AB4">
        <w:rPr>
          <w:rStyle w:val="Zvraznenie"/>
          <w:i w:val="0"/>
        </w:rPr>
        <w:t>gestor: MF SR,</w:t>
      </w:r>
    </w:p>
    <w:p w:rsidR="00727D26" w:rsidRPr="00C70AB4" w:rsidRDefault="00727D26" w:rsidP="00727D26">
      <w:pPr>
        <w:numPr>
          <w:ilvl w:val="0"/>
          <w:numId w:val="27"/>
        </w:numPr>
        <w:spacing w:before="120" w:after="120" w:line="276" w:lineRule="auto"/>
        <w:ind w:left="658" w:hanging="357"/>
        <w:jc w:val="both"/>
        <w:rPr>
          <w:i/>
          <w:noProof/>
        </w:rPr>
      </w:pPr>
      <w:r w:rsidRPr="00C70AB4">
        <w:t xml:space="preserve">smernica Rady </w:t>
      </w:r>
      <w:r w:rsidRPr="00C70AB4">
        <w:rPr>
          <w:u w:val="single"/>
        </w:rPr>
        <w:t>2008/118/ES</w:t>
      </w:r>
      <w:r w:rsidRPr="00C70AB4">
        <w:t xml:space="preserve"> zo 16.decembra 2008 o všeobecnom systéme spotrebných daní a o zrušení smernice 92/12/EHS (Ú. v. EÚ L 9, 14.1.2009) v platnom znení, gestor: MF SR,</w:t>
      </w:r>
    </w:p>
    <w:p w:rsidR="00727D26" w:rsidRPr="00C70AB4" w:rsidRDefault="00727D26" w:rsidP="00727D26">
      <w:pPr>
        <w:numPr>
          <w:ilvl w:val="0"/>
          <w:numId w:val="27"/>
        </w:numPr>
        <w:spacing w:before="120" w:after="120" w:line="276" w:lineRule="auto"/>
        <w:ind w:left="658" w:hanging="357"/>
        <w:jc w:val="both"/>
        <w:rPr>
          <w:rStyle w:val="Zvraznenie"/>
          <w:noProof/>
        </w:rPr>
      </w:pPr>
      <w:r w:rsidRPr="00C70AB4">
        <w:rPr>
          <w:noProof/>
        </w:rPr>
        <w:t xml:space="preserve">smernica Rady </w:t>
      </w:r>
      <w:r w:rsidRPr="00C70AB4">
        <w:rPr>
          <w:noProof/>
          <w:u w:val="single"/>
        </w:rPr>
        <w:t>2003/96/ES</w:t>
      </w:r>
      <w:r w:rsidRPr="00C70AB4">
        <w:rPr>
          <w:noProof/>
        </w:rPr>
        <w:t xml:space="preserve"> z 27. októbra 2003 o reštrukturalizácii právneho rámca spoločenstva pre zdaňovanie energetických výrobkov a elektriny (Ú. v. ES L 283 31.10.2003; </w:t>
      </w:r>
      <w:r w:rsidRPr="00C70AB4">
        <w:rPr>
          <w:rStyle w:val="Zvraznenie"/>
          <w:i w:val="0"/>
          <w:iCs/>
          <w:noProof/>
        </w:rPr>
        <w:t xml:space="preserve">Mimoriadne vydanie Ú.v. EÚ kap. 9/zv. 1) </w:t>
      </w:r>
      <w:r w:rsidRPr="00C70AB4">
        <w:rPr>
          <w:noProof/>
        </w:rPr>
        <w:t>v platnom znení</w:t>
      </w:r>
      <w:r w:rsidRPr="00C70AB4">
        <w:rPr>
          <w:rStyle w:val="Zvraznenie"/>
          <w:i w:val="0"/>
          <w:iCs/>
          <w:noProof/>
        </w:rPr>
        <w:t xml:space="preserve">, gestor: </w:t>
      </w:r>
      <w:r w:rsidRPr="00C70AB4">
        <w:rPr>
          <w:noProof/>
        </w:rPr>
        <w:t>MF SR, spolugestor: Ministerstvo hospodárstva SR</w:t>
      </w:r>
      <w:r w:rsidRPr="00C70AB4">
        <w:rPr>
          <w:rStyle w:val="Zvraznenie"/>
          <w:i w:val="0"/>
          <w:iCs/>
          <w:noProof/>
        </w:rPr>
        <w:t>,</w:t>
      </w:r>
    </w:p>
    <w:p w:rsidR="00727D26" w:rsidRPr="00727D26" w:rsidRDefault="00727D26" w:rsidP="00727D26">
      <w:pPr>
        <w:numPr>
          <w:ilvl w:val="0"/>
          <w:numId w:val="27"/>
        </w:numPr>
        <w:spacing w:before="120" w:after="120" w:line="276" w:lineRule="auto"/>
        <w:ind w:left="658" w:hanging="357"/>
        <w:jc w:val="both"/>
        <w:rPr>
          <w:rStyle w:val="Zvraznenie"/>
          <w:noProof/>
        </w:rPr>
      </w:pPr>
      <w:r w:rsidRPr="00727D26">
        <w:rPr>
          <w:rStyle w:val="Zvraznenie"/>
          <w:i w:val="0"/>
          <w:iCs/>
          <w:noProof/>
        </w:rPr>
        <w:t xml:space="preserve">nariadenie </w:t>
      </w:r>
      <w:r w:rsidRPr="00727D26">
        <w:rPr>
          <w:shd w:val="clear" w:color="auto" w:fill="FFFFFF"/>
        </w:rPr>
        <w:t xml:space="preserve">Európskeho parlamentu a Rady (EÚ) č. 910/2014 z 23. júla 2014 o elektronickej identifikácii a dôveryhodných službách pre elektronické transakcie na vnútornom trhu a o zrušení smernice 1999/93/ES </w:t>
      </w:r>
      <w:r w:rsidRPr="00727D26">
        <w:t>(Ú. v. EÚ L 257, 28. 8. 2014), gestori: NBÚ, MIRRI SR, MV SR,</w:t>
      </w:r>
    </w:p>
    <w:p w:rsidR="00727D26" w:rsidRPr="00727D26" w:rsidRDefault="00727D26" w:rsidP="00727D26">
      <w:pPr>
        <w:pStyle w:val="Odsekzoznamu"/>
        <w:widowControl w:val="0"/>
        <w:numPr>
          <w:ilvl w:val="0"/>
          <w:numId w:val="27"/>
        </w:numPr>
        <w:tabs>
          <w:tab w:val="left" w:pos="1134"/>
        </w:tabs>
        <w:autoSpaceDE w:val="0"/>
        <w:autoSpaceDN w:val="0"/>
        <w:adjustRightInd w:val="0"/>
        <w:spacing w:before="120" w:after="120" w:line="276" w:lineRule="auto"/>
        <w:ind w:left="641" w:hanging="357"/>
        <w:jc w:val="both"/>
        <w:rPr>
          <w:rFonts w:ascii="Times New Roman" w:hAnsi="Times New Roman"/>
          <w:noProof/>
          <w:sz w:val="24"/>
          <w:szCs w:val="24"/>
        </w:rPr>
      </w:pPr>
      <w:r w:rsidRPr="00727D26">
        <w:rPr>
          <w:rFonts w:ascii="Times New Roman" w:hAnsi="Times New Roman"/>
          <w:bCs/>
          <w:iCs/>
          <w:noProof/>
          <w:sz w:val="24"/>
          <w:szCs w:val="24"/>
        </w:rPr>
        <w:t xml:space="preserve">nariadenie </w:t>
      </w:r>
      <w:r w:rsidRPr="00727D26">
        <w:rPr>
          <w:rFonts w:ascii="Times New Roman" w:hAnsi="Times New Roman"/>
          <w:noProof/>
          <w:sz w:val="24"/>
          <w:szCs w:val="24"/>
        </w:rPr>
        <w:t xml:space="preserve">Európskeho parlamentu a Rady (EÚ) č. </w:t>
      </w:r>
      <w:r w:rsidRPr="00727D26">
        <w:rPr>
          <w:rFonts w:ascii="Times New Roman" w:hAnsi="Times New Roman"/>
          <w:noProof/>
          <w:sz w:val="24"/>
          <w:szCs w:val="24"/>
          <w:u w:val="single"/>
        </w:rPr>
        <w:t>952/2013</w:t>
      </w:r>
      <w:r w:rsidRPr="00727D26">
        <w:rPr>
          <w:rFonts w:ascii="Times New Roman" w:hAnsi="Times New Roman"/>
          <w:noProof/>
          <w:sz w:val="24"/>
          <w:szCs w:val="24"/>
        </w:rPr>
        <w:t xml:space="preserve"> z 9. októbra 2013, ktorým sa ustanovuje Colný kódex Únie (prepracované znenie) (Ú. v. EÚ L 269, 10. 10. 2013) v platnom znení, gestor: MF SR,</w:t>
      </w:r>
    </w:p>
    <w:p w:rsidR="00727D26" w:rsidRPr="00727D26" w:rsidRDefault="00727D26" w:rsidP="00727D26">
      <w:pPr>
        <w:pStyle w:val="Odsekzoznamu"/>
        <w:tabs>
          <w:tab w:val="left" w:pos="1134"/>
        </w:tabs>
        <w:autoSpaceDE w:val="0"/>
        <w:autoSpaceDN w:val="0"/>
        <w:spacing w:before="120" w:after="120" w:line="276" w:lineRule="auto"/>
        <w:ind w:left="641"/>
        <w:jc w:val="both"/>
        <w:rPr>
          <w:rFonts w:ascii="Times New Roman" w:hAnsi="Times New Roman"/>
          <w:noProof/>
          <w:sz w:val="24"/>
          <w:szCs w:val="24"/>
        </w:rPr>
      </w:pPr>
    </w:p>
    <w:p w:rsidR="00727D26" w:rsidRPr="00727D26" w:rsidRDefault="00727D26" w:rsidP="00727D26">
      <w:pPr>
        <w:pStyle w:val="Odsekzoznamu"/>
        <w:widowControl w:val="0"/>
        <w:numPr>
          <w:ilvl w:val="0"/>
          <w:numId w:val="27"/>
        </w:numPr>
        <w:tabs>
          <w:tab w:val="left" w:pos="1134"/>
        </w:tabs>
        <w:autoSpaceDE w:val="0"/>
        <w:autoSpaceDN w:val="0"/>
        <w:adjustRightInd w:val="0"/>
        <w:spacing w:before="120" w:after="120" w:line="276" w:lineRule="auto"/>
        <w:jc w:val="both"/>
        <w:rPr>
          <w:rFonts w:ascii="Times New Roman" w:hAnsi="Times New Roman"/>
          <w:noProof/>
          <w:sz w:val="24"/>
          <w:szCs w:val="24"/>
        </w:rPr>
      </w:pPr>
      <w:r w:rsidRPr="00727D26">
        <w:rPr>
          <w:rFonts w:ascii="Times New Roman" w:hAnsi="Times New Roman"/>
          <w:noProof/>
          <w:sz w:val="24"/>
          <w:szCs w:val="24"/>
        </w:rPr>
        <w:t>nariadenie Rady (EÚ) č. </w:t>
      </w:r>
      <w:r w:rsidRPr="00727D26">
        <w:rPr>
          <w:rFonts w:ascii="Times New Roman" w:hAnsi="Times New Roman"/>
          <w:noProof/>
          <w:sz w:val="24"/>
          <w:szCs w:val="24"/>
          <w:u w:val="single"/>
        </w:rPr>
        <w:t>389/2012</w:t>
      </w:r>
      <w:r w:rsidRPr="00727D26">
        <w:rPr>
          <w:rFonts w:ascii="Times New Roman" w:hAnsi="Times New Roman"/>
          <w:noProof/>
          <w:sz w:val="24"/>
          <w:szCs w:val="24"/>
        </w:rPr>
        <w:t xml:space="preserve"> z  2. mája 2012 o administratívnej spolupráci v oblasti spotrebných daní a zrušení nariadenia (ES) č. 2073/2004 (</w:t>
      </w:r>
      <w:r w:rsidRPr="00727D26">
        <w:rPr>
          <w:rFonts w:ascii="Times New Roman" w:hAnsi="Times New Roman"/>
          <w:iCs/>
          <w:noProof/>
          <w:sz w:val="24"/>
          <w:szCs w:val="24"/>
        </w:rPr>
        <w:t xml:space="preserve">Ú. v. EÚ L 121, 8.5.2012) </w:t>
      </w:r>
      <w:r w:rsidRPr="00727D26">
        <w:rPr>
          <w:rFonts w:ascii="Times New Roman" w:hAnsi="Times New Roman"/>
          <w:noProof/>
          <w:sz w:val="24"/>
          <w:szCs w:val="24"/>
        </w:rPr>
        <w:t xml:space="preserve">v platnom znení, </w:t>
      </w:r>
      <w:r w:rsidRPr="00727D26">
        <w:rPr>
          <w:rStyle w:val="Zvraznenie"/>
          <w:rFonts w:ascii="Times New Roman" w:hAnsi="Times New Roman"/>
          <w:i w:val="0"/>
          <w:iCs/>
          <w:noProof/>
          <w:sz w:val="24"/>
          <w:szCs w:val="24"/>
        </w:rPr>
        <w:t xml:space="preserve">gestor: </w:t>
      </w:r>
      <w:r w:rsidRPr="00727D26">
        <w:rPr>
          <w:rFonts w:ascii="Times New Roman" w:hAnsi="Times New Roman"/>
          <w:noProof/>
          <w:sz w:val="24"/>
          <w:szCs w:val="24"/>
        </w:rPr>
        <w:t>MF SR,</w:t>
      </w:r>
    </w:p>
    <w:p w:rsidR="00727D26" w:rsidRPr="00727D26" w:rsidRDefault="00727D26" w:rsidP="00727D26">
      <w:pPr>
        <w:numPr>
          <w:ilvl w:val="0"/>
          <w:numId w:val="27"/>
        </w:numPr>
        <w:spacing w:before="120" w:after="120" w:line="276" w:lineRule="auto"/>
        <w:ind w:left="658" w:hanging="357"/>
        <w:jc w:val="both"/>
        <w:rPr>
          <w:rStyle w:val="Zvraznenie"/>
          <w:noProof/>
        </w:rPr>
      </w:pPr>
      <w:r w:rsidRPr="00727D26">
        <w:rPr>
          <w:noProof/>
        </w:rPr>
        <w:t xml:space="preserve">nariadenie Komisie (ES) č. </w:t>
      </w:r>
      <w:r w:rsidRPr="00727D26">
        <w:rPr>
          <w:noProof/>
          <w:u w:val="single"/>
        </w:rPr>
        <w:t>684/2009</w:t>
      </w:r>
      <w:r w:rsidRPr="00727D26">
        <w:rPr>
          <w:noProof/>
        </w:rPr>
        <w:t xml:space="preserve"> z 24. júla 2009, ktorým sa implementuje smernica Rady 2008/118/ES, pokiaľ ide o elektronické postupy pri preprave tovaru podliehajúceho spotrebnej dani v režime pozastavenia dane (Ú. v. EÚ L 197, 29.7.2009) v platnom znení, </w:t>
      </w:r>
      <w:r w:rsidRPr="00727D26">
        <w:rPr>
          <w:rStyle w:val="Zvraznenie"/>
          <w:i w:val="0"/>
          <w:iCs/>
          <w:noProof/>
        </w:rPr>
        <w:t xml:space="preserve">gestor: MF SR, </w:t>
      </w:r>
    </w:p>
    <w:p w:rsidR="00727D26" w:rsidRPr="00727D26" w:rsidRDefault="00727D26" w:rsidP="00727D26">
      <w:pPr>
        <w:numPr>
          <w:ilvl w:val="0"/>
          <w:numId w:val="27"/>
        </w:numPr>
        <w:spacing w:before="120" w:after="120" w:line="276" w:lineRule="auto"/>
        <w:ind w:left="658" w:hanging="357"/>
        <w:jc w:val="both"/>
        <w:rPr>
          <w:i/>
          <w:noProof/>
        </w:rPr>
      </w:pPr>
      <w:r w:rsidRPr="00727D26">
        <w:rPr>
          <w:shd w:val="clear" w:color="auto" w:fill="FFFFFF"/>
        </w:rPr>
        <w:t>nariadenie Rady (EHS) č. 2658/87 z 23. júla 1987 o colnej a štatistickej nomenklatúre a o Spoločnom colnom sadzobníku (</w:t>
      </w:r>
      <w:r w:rsidRPr="00727D26">
        <w:rPr>
          <w:iCs/>
          <w:shd w:val="clear" w:color="auto" w:fill="FFFFFF"/>
        </w:rPr>
        <w:t>Ú. v. ES L 256, 7.9.1987;</w:t>
      </w:r>
      <w:r w:rsidRPr="00727D26">
        <w:rPr>
          <w:rStyle w:val="Zvraznenie"/>
          <w:i w:val="0"/>
          <w:iCs/>
          <w:noProof/>
        </w:rPr>
        <w:t xml:space="preserve"> Mimoriadne vydanie Ú.v. EÚ kap. 2/zv. 2</w:t>
      </w:r>
      <w:r w:rsidRPr="00727D26">
        <w:rPr>
          <w:iCs/>
          <w:shd w:val="clear" w:color="auto" w:fill="FFFFFF"/>
        </w:rPr>
        <w:t xml:space="preserve">) v platnom znení, </w:t>
      </w:r>
      <w:r w:rsidRPr="00727D26">
        <w:rPr>
          <w:rStyle w:val="Zvraznenie"/>
          <w:i w:val="0"/>
        </w:rPr>
        <w:t>gestor: nebol určený,</w:t>
      </w:r>
    </w:p>
    <w:p w:rsidR="00727D26" w:rsidRPr="00727D26" w:rsidRDefault="00727D26" w:rsidP="00727D26">
      <w:pPr>
        <w:numPr>
          <w:ilvl w:val="0"/>
          <w:numId w:val="27"/>
        </w:numPr>
        <w:spacing w:before="120" w:after="120" w:line="276" w:lineRule="auto"/>
        <w:ind w:left="660" w:hanging="357"/>
        <w:jc w:val="both"/>
      </w:pPr>
      <w:r w:rsidRPr="00727D26">
        <w:rPr>
          <w:bCs/>
        </w:rPr>
        <w:t xml:space="preserve">rozhodnutie </w:t>
      </w:r>
      <w:r w:rsidRPr="00727D26">
        <w:rPr>
          <w:noProof/>
        </w:rPr>
        <w:t xml:space="preserve">Európskeho parlamentu a Rady </w:t>
      </w:r>
      <w:r w:rsidRPr="00727D26">
        <w:rPr>
          <w:bCs/>
        </w:rPr>
        <w:t xml:space="preserve">(EÚ) 2020/263 z 15. januára 2020 </w:t>
      </w:r>
      <w:r w:rsidR="00F45B35">
        <w:rPr>
          <w:bCs/>
        </w:rPr>
        <w:t xml:space="preserve">                     </w:t>
      </w:r>
      <w:r w:rsidRPr="00727D26">
        <w:rPr>
          <w:bCs/>
        </w:rPr>
        <w:t xml:space="preserve">o informatizácii prepravy a kontroly tovaru podliehajúceho spotrebnej dani (prepracované znenie) </w:t>
      </w:r>
      <w:r w:rsidRPr="00727D26">
        <w:rPr>
          <w:shd w:val="clear" w:color="auto" w:fill="FFFFFF"/>
        </w:rPr>
        <w:t>(</w:t>
      </w:r>
      <w:r w:rsidRPr="00727D26">
        <w:rPr>
          <w:rStyle w:val="Zvraznenie"/>
          <w:i w:val="0"/>
          <w:iCs/>
          <w:shd w:val="clear" w:color="auto" w:fill="FFFFFF"/>
        </w:rPr>
        <w:t xml:space="preserve">Ú. v. EÚ L 58, 27.2.2020), </w:t>
      </w:r>
      <w:r w:rsidRPr="00727D26">
        <w:rPr>
          <w:rStyle w:val="Zvraznenie"/>
          <w:i w:val="0"/>
        </w:rPr>
        <w:t>gestor: zatiaľ nebol určený.</w:t>
      </w:r>
    </w:p>
    <w:p w:rsidR="00727D26" w:rsidRPr="00727D26" w:rsidRDefault="00727D26" w:rsidP="00727D26">
      <w:pPr>
        <w:pStyle w:val="Zkladntext"/>
        <w:ind w:left="681" w:hanging="397"/>
        <w:rPr>
          <w:b/>
          <w:noProof/>
        </w:rPr>
      </w:pPr>
      <w:r w:rsidRPr="00727D26">
        <w:rPr>
          <w:b/>
          <w:noProof/>
        </w:rPr>
        <w:t>c)</w:t>
      </w:r>
      <w:r w:rsidRPr="00727D26">
        <w:rPr>
          <w:b/>
          <w:noProof/>
        </w:rPr>
        <w:tab/>
        <w:t>Judikatúra Súdneho dvora Európskej únie:</w:t>
      </w:r>
    </w:p>
    <w:p w:rsidR="00727D26" w:rsidRPr="00727D26" w:rsidRDefault="00727D26" w:rsidP="00727D26">
      <w:pPr>
        <w:numPr>
          <w:ilvl w:val="0"/>
          <w:numId w:val="27"/>
        </w:numPr>
        <w:spacing w:after="240" w:line="276" w:lineRule="auto"/>
        <w:ind w:left="658" w:hanging="357"/>
        <w:jc w:val="both"/>
        <w:rPr>
          <w:noProof/>
        </w:rPr>
      </w:pPr>
      <w:r w:rsidRPr="00727D26">
        <w:rPr>
          <w:noProof/>
        </w:rPr>
        <w:t xml:space="preserve">rozhodnutie Súdneho dvora vo veci C - 82/12, </w:t>
      </w:r>
      <w:r w:rsidRPr="00727D26">
        <w:rPr>
          <w:bCs/>
          <w:noProof/>
        </w:rPr>
        <w:t>Transportes Jordi Besora SL</w:t>
      </w:r>
      <w:r w:rsidRPr="00727D26">
        <w:rPr>
          <w:noProof/>
        </w:rPr>
        <w:t xml:space="preserve"> proti </w:t>
      </w:r>
      <w:r w:rsidRPr="00727D26">
        <w:rPr>
          <w:bCs/>
          <w:noProof/>
        </w:rPr>
        <w:t>Generalitat de Catalunya</w:t>
      </w:r>
      <w:r w:rsidRPr="00727D26">
        <w:rPr>
          <w:noProof/>
        </w:rPr>
        <w:t>, [2014].</w:t>
      </w:r>
    </w:p>
    <w:p w:rsidR="00727D26" w:rsidRPr="00727D26" w:rsidRDefault="00727D26" w:rsidP="00727D26">
      <w:pPr>
        <w:tabs>
          <w:tab w:val="left" w:pos="567"/>
        </w:tabs>
        <w:spacing w:after="120" w:line="276" w:lineRule="auto"/>
        <w:ind w:firstLine="567"/>
        <w:jc w:val="both"/>
        <w:rPr>
          <w:b/>
          <w:noProof/>
        </w:rPr>
      </w:pPr>
      <w:r w:rsidRPr="00727D26">
        <w:rPr>
          <w:b/>
          <w:noProof/>
        </w:rPr>
        <w:t>Výrok rozhodnutia:</w:t>
      </w:r>
    </w:p>
    <w:p w:rsidR="00727D26" w:rsidRPr="00727D26" w:rsidRDefault="00727D26" w:rsidP="00727D26">
      <w:pPr>
        <w:pStyle w:val="Zkladntext"/>
        <w:spacing w:after="0"/>
        <w:ind w:left="567"/>
        <w:jc w:val="both"/>
        <w:rPr>
          <w:bCs/>
          <w:noProof/>
        </w:rPr>
      </w:pPr>
      <w:r w:rsidRPr="00727D26">
        <w:rPr>
          <w:bCs/>
          <w:noProof/>
        </w:rPr>
        <w:t>Článok 3 ods. 2 smernice Rady 92/12/EHS z 25. februára 1992 o všeobecnom systéme, držbe, preprave a kontrole tovarov podliehajúcich spotrebným daniam sa má vykladať v tom zmysle, že bráni vnútroštátnej právnej úprave, ktorá zavádza daň z maloobchodného predaja minerálnych olejov, akou je daň z predaja určitých minerálnych olejov dotknutá vo veci samej, keďže takúto daň nemožno považovať za daň, ktorá sleduje špecifický účel v zmysle tohto ustanovenia, pretože cieľ tejto dane, určenej na financovanie výkonu právomocí v oblasti zdravotníctva a životného prostredia dotknutými územnými samosprávnymi celkami, sám osebe nesmeruje k zabezpečeniu ochrany zdravia a životného prostredia.</w:t>
      </w:r>
    </w:p>
    <w:p w:rsidR="00727D26" w:rsidRPr="00727D26" w:rsidRDefault="00727D26" w:rsidP="00727D26">
      <w:pPr>
        <w:pStyle w:val="Zkladntext"/>
        <w:spacing w:after="0" w:line="276" w:lineRule="auto"/>
        <w:jc w:val="both"/>
        <w:rPr>
          <w:bCs/>
          <w:noProof/>
        </w:rPr>
      </w:pPr>
    </w:p>
    <w:p w:rsidR="00727D26" w:rsidRPr="00727D26" w:rsidRDefault="00727D26" w:rsidP="00727D26">
      <w:pPr>
        <w:numPr>
          <w:ilvl w:val="0"/>
          <w:numId w:val="27"/>
        </w:numPr>
        <w:tabs>
          <w:tab w:val="clear" w:pos="644"/>
          <w:tab w:val="num" w:pos="567"/>
          <w:tab w:val="num" w:pos="1134"/>
        </w:tabs>
        <w:spacing w:line="276" w:lineRule="auto"/>
        <w:ind w:hanging="357"/>
        <w:jc w:val="both"/>
        <w:rPr>
          <w:noProof/>
        </w:rPr>
      </w:pPr>
      <w:r w:rsidRPr="00727D26">
        <w:rPr>
          <w:noProof/>
        </w:rPr>
        <w:t xml:space="preserve">rozhodnutie Súdneho dvora vo veci C - 103/17, </w:t>
      </w:r>
      <w:proofErr w:type="spellStart"/>
      <w:r w:rsidRPr="00727D26">
        <w:rPr>
          <w:bCs/>
        </w:rPr>
        <w:t>Messer</w:t>
      </w:r>
      <w:proofErr w:type="spellEnd"/>
      <w:r w:rsidRPr="00727D26">
        <w:rPr>
          <w:bCs/>
        </w:rPr>
        <w:t xml:space="preserve"> </w:t>
      </w:r>
      <w:proofErr w:type="spellStart"/>
      <w:r w:rsidRPr="00727D26">
        <w:rPr>
          <w:bCs/>
        </w:rPr>
        <w:t>France</w:t>
      </w:r>
      <w:proofErr w:type="spellEnd"/>
      <w:r w:rsidRPr="00727D26">
        <w:rPr>
          <w:bCs/>
        </w:rPr>
        <w:t xml:space="preserve"> SAS</w:t>
      </w:r>
      <w:r w:rsidRPr="00727D26">
        <w:t xml:space="preserve"> </w:t>
      </w:r>
      <w:r w:rsidRPr="00727D26">
        <w:rPr>
          <w:noProof/>
        </w:rPr>
        <w:t xml:space="preserve">proti </w:t>
      </w:r>
      <w:proofErr w:type="spellStart"/>
      <w:r w:rsidRPr="00727D26">
        <w:t>Premier</w:t>
      </w:r>
      <w:proofErr w:type="spellEnd"/>
      <w:r w:rsidRPr="00727D26">
        <w:t xml:space="preserve"> </w:t>
      </w:r>
      <w:proofErr w:type="spellStart"/>
      <w:r w:rsidRPr="00727D26">
        <w:t>ministre</w:t>
      </w:r>
      <w:proofErr w:type="spellEnd"/>
      <w:r w:rsidRPr="00727D26">
        <w:t xml:space="preserve"> a i.</w:t>
      </w:r>
      <w:r w:rsidRPr="00727D26">
        <w:rPr>
          <w:noProof/>
        </w:rPr>
        <w:t>, [2018].</w:t>
      </w:r>
    </w:p>
    <w:p w:rsidR="00727D26" w:rsidRPr="00727D26" w:rsidRDefault="00727D26" w:rsidP="00727D26">
      <w:pPr>
        <w:pStyle w:val="Zkladntext"/>
        <w:ind w:right="-108"/>
        <w:rPr>
          <w:noProof/>
        </w:rPr>
      </w:pPr>
    </w:p>
    <w:p w:rsidR="00727D26" w:rsidRPr="00727D26" w:rsidRDefault="00727D26" w:rsidP="00727D26">
      <w:pPr>
        <w:pStyle w:val="Zkladntext"/>
        <w:ind w:left="301" w:right="-108" w:firstLine="266"/>
        <w:rPr>
          <w:b/>
          <w:noProof/>
        </w:rPr>
      </w:pPr>
      <w:r w:rsidRPr="00727D26">
        <w:rPr>
          <w:b/>
          <w:noProof/>
        </w:rPr>
        <w:t>Výrok rozhodnutia:</w:t>
      </w:r>
    </w:p>
    <w:p w:rsidR="00727D26" w:rsidRPr="00727D26" w:rsidRDefault="00727D26" w:rsidP="00727D26">
      <w:pPr>
        <w:pStyle w:val="c08dispositif"/>
        <w:numPr>
          <w:ilvl w:val="0"/>
          <w:numId w:val="31"/>
        </w:numPr>
        <w:tabs>
          <w:tab w:val="left" w:pos="993"/>
        </w:tabs>
        <w:ind w:left="567" w:firstLine="0"/>
        <w:rPr>
          <w:b w:val="0"/>
        </w:rPr>
      </w:pPr>
      <w:r w:rsidRPr="00727D26">
        <w:rPr>
          <w:b w:val="0"/>
        </w:rPr>
        <w:t xml:space="preserve">Článok 18 ods. 10 druhý </w:t>
      </w:r>
      <w:proofErr w:type="spellStart"/>
      <w:r w:rsidRPr="00727D26">
        <w:rPr>
          <w:b w:val="0"/>
        </w:rPr>
        <w:t>pododsek</w:t>
      </w:r>
      <w:proofErr w:type="spellEnd"/>
      <w:r w:rsidRPr="00727D26">
        <w:rPr>
          <w:b w:val="0"/>
        </w:rPr>
        <w:t xml:space="preserve"> smernice Rady 2003/96/ES z 27. októbra 2003 o reštrukturalizácii právneho rámca spoločenstva pre zdaňovanie energetických výrobkov a elektriny sa má vykladať v tom zmysle, že až do 1. januára 2009 predstavovalo dodržiavanie minimálnych úrovní zdanenia stanovených touto smernicou spomedzi pravidiel zdanenia elektriny stanovených právom Únie jedinú povinnosť, ktorá prináležala Francúzskej republike.</w:t>
      </w:r>
    </w:p>
    <w:p w:rsidR="00727D26" w:rsidRPr="00727D26" w:rsidRDefault="00727D26" w:rsidP="00727D26">
      <w:pPr>
        <w:pStyle w:val="c08dispositif"/>
        <w:numPr>
          <w:ilvl w:val="0"/>
          <w:numId w:val="31"/>
        </w:numPr>
        <w:tabs>
          <w:tab w:val="left" w:pos="993"/>
        </w:tabs>
        <w:ind w:left="567" w:firstLine="0"/>
        <w:rPr>
          <w:b w:val="0"/>
        </w:rPr>
      </w:pPr>
      <w:r w:rsidRPr="00727D26">
        <w:rPr>
          <w:b w:val="0"/>
        </w:rPr>
        <w:t xml:space="preserve">Článok 3 ods. 2 smernice Rady 92/12/EHS z 25. februára 1992 o všeobecných systémoch pre výrobky podliehajúce spotrebnej dani a o vlastníctve, pohybe a monitorovaní takýchto výrobkov sa má vykladať v tom zmysle, že zavedenie inej </w:t>
      </w:r>
      <w:r w:rsidRPr="00727D26">
        <w:rPr>
          <w:b w:val="0"/>
        </w:rPr>
        <w:lastRenderedPageBreak/>
        <w:t>nepriamej dane z elektriny nie je podmienené zavedením harmonizovanej spotrebnej dane a keďže taká daň, o akú ide vo veci samej, nepredstavuje takúto spotrebnú daň, jej zlučiteľnosť so smernicami 92/12 a 2003/96 sa musí posúdiť vzhľadom na podmienky stanovené v článku 3 ods. 2 smernice 92/12 pre existenciu iných nepriamych daní sledujúcich osobitné účely.</w:t>
      </w:r>
    </w:p>
    <w:p w:rsidR="00727D26" w:rsidRPr="00727D26" w:rsidRDefault="00727D26" w:rsidP="00727D26">
      <w:pPr>
        <w:pStyle w:val="c08dispositif"/>
        <w:numPr>
          <w:ilvl w:val="0"/>
          <w:numId w:val="31"/>
        </w:numPr>
        <w:tabs>
          <w:tab w:val="left" w:pos="993"/>
        </w:tabs>
        <w:ind w:left="567" w:firstLine="0"/>
        <w:rPr>
          <w:b w:val="0"/>
        </w:rPr>
      </w:pPr>
      <w:r w:rsidRPr="00727D26">
        <w:rPr>
          <w:b w:val="0"/>
        </w:rPr>
        <w:t xml:space="preserve">Článok 3 ods. 2 smernice 92/12 sa má vykladať v tom zmysle, že taká daň, o akú ide vo veci samej, môže byť považovaná za „inú nepriamu daň“ vzhľadom na jej environmentálny účel, ktorého cieľom je financovať dodatočné náklady spojené s povinnosťou nákupu zelenej energie, vylúčiac však účely tejto dane týkajúce sa územnej a sociálnej kohézie, ako je realizácia geografického vyrovnania sadzieb a zníženie ceny elektriny pre domácnosti postihnuté chudobou, a čisto administratívne účely, ako je najmä financovanie nákladov na administratívne fungovanie verejných orgánov a inštitúcií, ako je </w:t>
      </w:r>
      <w:proofErr w:type="spellStart"/>
      <w:r w:rsidRPr="00727D26">
        <w:rPr>
          <w:b w:val="0"/>
        </w:rPr>
        <w:t>Médiateur</w:t>
      </w:r>
      <w:proofErr w:type="spellEnd"/>
      <w:r w:rsidRPr="00727D26">
        <w:rPr>
          <w:b w:val="0"/>
        </w:rPr>
        <w:t xml:space="preserve"> </w:t>
      </w:r>
      <w:proofErr w:type="spellStart"/>
      <w:r w:rsidRPr="00727D26">
        <w:rPr>
          <w:b w:val="0"/>
        </w:rPr>
        <w:t>national</w:t>
      </w:r>
      <w:proofErr w:type="spellEnd"/>
      <w:r w:rsidRPr="00727D26">
        <w:rPr>
          <w:b w:val="0"/>
        </w:rPr>
        <w:t xml:space="preserve"> de </w:t>
      </w:r>
      <w:proofErr w:type="spellStart"/>
      <w:r w:rsidRPr="00727D26">
        <w:rPr>
          <w:b w:val="0"/>
        </w:rPr>
        <w:t>l’énergie</w:t>
      </w:r>
      <w:proofErr w:type="spellEnd"/>
      <w:r w:rsidRPr="00727D26">
        <w:rPr>
          <w:b w:val="0"/>
        </w:rPr>
        <w:t xml:space="preserve"> (Národný energetický </w:t>
      </w:r>
      <w:proofErr w:type="spellStart"/>
      <w:r w:rsidRPr="00727D26">
        <w:rPr>
          <w:b w:val="0"/>
        </w:rPr>
        <w:t>mediátor</w:t>
      </w:r>
      <w:proofErr w:type="spellEnd"/>
      <w:r w:rsidRPr="00727D26">
        <w:rPr>
          <w:b w:val="0"/>
        </w:rPr>
        <w:t>) a </w:t>
      </w:r>
      <w:proofErr w:type="spellStart"/>
      <w:r w:rsidRPr="00727D26">
        <w:rPr>
          <w:b w:val="0"/>
        </w:rPr>
        <w:t>Caisse</w:t>
      </w:r>
      <w:proofErr w:type="spellEnd"/>
      <w:r w:rsidRPr="00727D26">
        <w:rPr>
          <w:b w:val="0"/>
        </w:rPr>
        <w:t xml:space="preserve"> de </w:t>
      </w:r>
      <w:proofErr w:type="spellStart"/>
      <w:r w:rsidRPr="00727D26">
        <w:rPr>
          <w:b w:val="0"/>
        </w:rPr>
        <w:t>dépôts</w:t>
      </w:r>
      <w:proofErr w:type="spellEnd"/>
      <w:r w:rsidRPr="00727D26">
        <w:rPr>
          <w:b w:val="0"/>
        </w:rPr>
        <w:t xml:space="preserve"> et </w:t>
      </w:r>
      <w:proofErr w:type="spellStart"/>
      <w:r w:rsidRPr="00727D26">
        <w:rPr>
          <w:b w:val="0"/>
        </w:rPr>
        <w:t>consignations</w:t>
      </w:r>
      <w:proofErr w:type="spellEnd"/>
      <w:r w:rsidRPr="00727D26">
        <w:rPr>
          <w:b w:val="0"/>
        </w:rPr>
        <w:t xml:space="preserve"> (Štátna depozitná pokladnica), pod podmienkou, že vnútroštátny súd overí dodržiavanie pravidiel zdanenia uplatniteľných na účely spotrebných daní.</w:t>
      </w:r>
    </w:p>
    <w:p w:rsidR="00727D26" w:rsidRPr="00727D26" w:rsidRDefault="00727D26" w:rsidP="00727D26">
      <w:pPr>
        <w:pStyle w:val="c08dispositif"/>
        <w:numPr>
          <w:ilvl w:val="0"/>
          <w:numId w:val="31"/>
        </w:numPr>
        <w:tabs>
          <w:tab w:val="left" w:pos="993"/>
        </w:tabs>
        <w:ind w:left="567" w:firstLine="0"/>
        <w:rPr>
          <w:b w:val="0"/>
        </w:rPr>
      </w:pPr>
      <w:r w:rsidRPr="00727D26">
        <w:rPr>
          <w:b w:val="0"/>
        </w:rPr>
        <w:t>Právo Únie sa má vykladať v tom zmysle, že daňovníci môžu žiadať o vrátenie časti takej dane, o akú ide vo veci samej, v závislosti od toho, aká časť z príjmov z tejto dane je určená na financovanie účelov, ktoré nie sú osobitné, pod podmienkou, že túto daň nepreniesli títo daňovníci na svojich vlastných zákazníkov, čo prináleží overiť vnútroštátnemu súdu.</w:t>
      </w:r>
    </w:p>
    <w:p w:rsidR="00727D26" w:rsidRPr="00727D26" w:rsidRDefault="00727D26" w:rsidP="00727D26">
      <w:pPr>
        <w:pStyle w:val="Zkladntext"/>
        <w:numPr>
          <w:ilvl w:val="0"/>
          <w:numId w:val="27"/>
        </w:numPr>
        <w:tabs>
          <w:tab w:val="clear" w:pos="644"/>
          <w:tab w:val="num" w:pos="567"/>
        </w:tabs>
        <w:spacing w:after="240"/>
        <w:ind w:left="641" w:right="-108" w:hanging="357"/>
        <w:jc w:val="both"/>
        <w:rPr>
          <w:noProof/>
        </w:rPr>
      </w:pPr>
      <w:r w:rsidRPr="00727D26">
        <w:rPr>
          <w:noProof/>
        </w:rPr>
        <w:t xml:space="preserve">rozhodnutie Súdneho dvora vo veci </w:t>
      </w:r>
      <w:r w:rsidRPr="00727D26">
        <w:t xml:space="preserve">C </w:t>
      </w:r>
      <w:r w:rsidRPr="00727D26">
        <w:noBreakHyphen/>
        <w:t xml:space="preserve"> 355/14 </w:t>
      </w:r>
      <w:r w:rsidRPr="00727D26">
        <w:rPr>
          <w:bCs/>
        </w:rPr>
        <w:t>„</w:t>
      </w:r>
      <w:proofErr w:type="spellStart"/>
      <w:r w:rsidRPr="00727D26">
        <w:rPr>
          <w:bCs/>
        </w:rPr>
        <w:t>Polichim</w:t>
      </w:r>
      <w:proofErr w:type="spellEnd"/>
      <w:r w:rsidRPr="00727D26">
        <w:rPr>
          <w:bCs/>
        </w:rPr>
        <w:noBreakHyphen/>
        <w:t xml:space="preserve">SS“ EOOD proti </w:t>
      </w:r>
      <w:proofErr w:type="spellStart"/>
      <w:r w:rsidRPr="00727D26">
        <w:rPr>
          <w:bCs/>
        </w:rPr>
        <w:t>Načalnik</w:t>
      </w:r>
      <w:proofErr w:type="spellEnd"/>
      <w:r w:rsidRPr="00727D26">
        <w:rPr>
          <w:bCs/>
        </w:rPr>
        <w:t xml:space="preserve"> na </w:t>
      </w:r>
      <w:proofErr w:type="spellStart"/>
      <w:r w:rsidRPr="00727D26">
        <w:rPr>
          <w:bCs/>
        </w:rPr>
        <w:t>Mitnica</w:t>
      </w:r>
      <w:proofErr w:type="spellEnd"/>
      <w:r w:rsidRPr="00727D26">
        <w:rPr>
          <w:bCs/>
        </w:rPr>
        <w:t xml:space="preserve"> </w:t>
      </w:r>
      <w:proofErr w:type="spellStart"/>
      <w:r w:rsidRPr="00727D26">
        <w:rPr>
          <w:bCs/>
        </w:rPr>
        <w:t>Svištov</w:t>
      </w:r>
      <w:proofErr w:type="spellEnd"/>
      <w:r w:rsidRPr="00727D26">
        <w:rPr>
          <w:bCs/>
        </w:rPr>
        <w:t xml:space="preserve">, </w:t>
      </w:r>
      <w:r w:rsidRPr="00727D26">
        <w:rPr>
          <w:noProof/>
        </w:rPr>
        <w:t>[2016].</w:t>
      </w:r>
    </w:p>
    <w:p w:rsidR="00727D26" w:rsidRPr="00727D26" w:rsidRDefault="00727D26" w:rsidP="00727D26">
      <w:pPr>
        <w:pStyle w:val="Zkladntext"/>
        <w:ind w:left="567" w:right="-108"/>
        <w:rPr>
          <w:b/>
          <w:noProof/>
        </w:rPr>
      </w:pPr>
      <w:r w:rsidRPr="00727D26">
        <w:rPr>
          <w:b/>
          <w:noProof/>
        </w:rPr>
        <w:t>Výrok rozhodnutia:</w:t>
      </w:r>
    </w:p>
    <w:p w:rsidR="00727D26" w:rsidRPr="00727D26" w:rsidRDefault="00727D26" w:rsidP="00727D26">
      <w:pPr>
        <w:pStyle w:val="c08dispositif"/>
        <w:numPr>
          <w:ilvl w:val="0"/>
          <w:numId w:val="32"/>
        </w:numPr>
        <w:tabs>
          <w:tab w:val="left" w:pos="993"/>
        </w:tabs>
        <w:ind w:left="567" w:firstLine="0"/>
        <w:rPr>
          <w:b w:val="0"/>
          <w:bCs w:val="0"/>
        </w:rPr>
      </w:pPr>
      <w:r w:rsidRPr="00727D26">
        <w:rPr>
          <w:b w:val="0"/>
        </w:rPr>
        <w:t xml:space="preserve">Článok 7 ods. 2 smernice Rady </w:t>
      </w:r>
      <w:bookmarkStart w:id="0" w:name="ctx27"/>
      <w:r w:rsidRPr="00727D26">
        <w:rPr>
          <w:b w:val="0"/>
        </w:rPr>
        <w:t>2008/118</w:t>
      </w:r>
      <w:bookmarkEnd w:id="0"/>
      <w:r w:rsidRPr="00727D26">
        <w:rPr>
          <w:b w:val="0"/>
        </w:rPr>
        <w:t>/ES zo 16. decembra 2008 o všeobecnom systéme spotrebných daní a o zrušení smernice 92/12/EHS sa má vykladať v tom zmysle, že predaj výrobku podliehajúceho spotrebnej dani držaného oprávneným prevádzkovateľom daňového skladu v daňovom sklade vedie k prepusteniu do daňového voľného obehu až v momente, keď tento výrobok fyzicky opustí daňový sklad.</w:t>
      </w:r>
    </w:p>
    <w:p w:rsidR="00727D26" w:rsidRPr="00727D26" w:rsidRDefault="00727D26" w:rsidP="00727D26">
      <w:pPr>
        <w:pStyle w:val="c08dispositif"/>
        <w:numPr>
          <w:ilvl w:val="0"/>
          <w:numId w:val="32"/>
        </w:numPr>
        <w:tabs>
          <w:tab w:val="left" w:pos="993"/>
        </w:tabs>
        <w:ind w:left="567" w:firstLine="0"/>
        <w:rPr>
          <w:b w:val="0"/>
          <w:bCs w:val="0"/>
        </w:rPr>
      </w:pPr>
      <w:r w:rsidRPr="00727D26">
        <w:rPr>
          <w:b w:val="0"/>
        </w:rPr>
        <w:t xml:space="preserve">Článok 14 ods. 1 písm. a) smernice Rady 2003/96/ES z 27. októbra 2003 o reštrukturalizácii právneho rámca spoločenstva pre zdaňovanie energetických výrobkov a elektriny v spojení s článkom 7 smernice </w:t>
      </w:r>
      <w:bookmarkStart w:id="1" w:name="ctx28"/>
      <w:r w:rsidRPr="00727D26">
        <w:rPr>
          <w:b w:val="0"/>
        </w:rPr>
        <w:t>2008/118</w:t>
      </w:r>
      <w:bookmarkEnd w:id="1"/>
      <w:r w:rsidRPr="00727D26">
        <w:rPr>
          <w:b w:val="0"/>
        </w:rPr>
        <w:t xml:space="preserve"> sa má vykladať v tom zmysle, že bráni tomu, aby vnútroštátne orgány odmietli oslobodiť od spotrebnej dane energetické výrobky, ktoré potom, ako boli oprávneným prevádzkovateľom daňového skladu predané </w:t>
      </w:r>
      <w:proofErr w:type="spellStart"/>
      <w:r w:rsidRPr="00727D26">
        <w:rPr>
          <w:b w:val="0"/>
        </w:rPr>
        <w:t>sprostredkujúcemu</w:t>
      </w:r>
      <w:proofErr w:type="spellEnd"/>
      <w:r w:rsidRPr="00727D26">
        <w:rPr>
          <w:b w:val="0"/>
        </w:rPr>
        <w:t xml:space="preserve"> kupujúcemu, ich tento kupujúci predal konečnému spotrebiteľovi, ktorý spĺňa všetky požiadavky vnútroštátneho práva na oslobodenie týchto výrobkov od spotrebnej dane a ktorému boli tieto výrobky dodané priamo týmto oprávneným prevádzkovateľom daňového skladu z daňového skladu, len z toho dôvodu, že </w:t>
      </w:r>
      <w:proofErr w:type="spellStart"/>
      <w:r w:rsidRPr="00727D26">
        <w:rPr>
          <w:b w:val="0"/>
        </w:rPr>
        <w:t>sprostredkujúci</w:t>
      </w:r>
      <w:proofErr w:type="spellEnd"/>
      <w:r w:rsidRPr="00727D26">
        <w:rPr>
          <w:b w:val="0"/>
        </w:rPr>
        <w:t xml:space="preserve"> kupujúci označený týmto oprávneným prevádzkovateľom daňového skladu ako príjemca uvedených výrobkov nie je konečným spotrebiteľom oprávneným podľa vnútroštátneho práva prijímať energetické výrobky oslobodené od spotrebnej dane.</w:t>
      </w:r>
    </w:p>
    <w:p w:rsidR="00727D26" w:rsidRPr="00727D26" w:rsidRDefault="00727D26" w:rsidP="00727D26">
      <w:pPr>
        <w:pStyle w:val="Zkladntext"/>
        <w:numPr>
          <w:ilvl w:val="0"/>
          <w:numId w:val="27"/>
        </w:numPr>
        <w:tabs>
          <w:tab w:val="clear" w:pos="644"/>
          <w:tab w:val="num" w:pos="567"/>
        </w:tabs>
        <w:spacing w:after="240"/>
        <w:ind w:left="641" w:right="-108" w:hanging="357"/>
        <w:jc w:val="both"/>
        <w:rPr>
          <w:noProof/>
        </w:rPr>
      </w:pPr>
      <w:r w:rsidRPr="00727D26">
        <w:rPr>
          <w:noProof/>
        </w:rPr>
        <w:t xml:space="preserve">rozhodnutie Súdneho dvora vo veci </w:t>
      </w:r>
      <w:r w:rsidRPr="00727D26">
        <w:t xml:space="preserve">C </w:t>
      </w:r>
      <w:r w:rsidRPr="00727D26">
        <w:noBreakHyphen/>
        <w:t xml:space="preserve"> 349/13 </w:t>
      </w:r>
      <w:r w:rsidRPr="00727D26">
        <w:rPr>
          <w:bCs/>
        </w:rPr>
        <w:t xml:space="preserve">Minister </w:t>
      </w:r>
      <w:proofErr w:type="spellStart"/>
      <w:r w:rsidRPr="00727D26">
        <w:rPr>
          <w:bCs/>
        </w:rPr>
        <w:t>Finansów</w:t>
      </w:r>
      <w:proofErr w:type="spellEnd"/>
      <w:r w:rsidRPr="00727D26">
        <w:rPr>
          <w:bCs/>
        </w:rPr>
        <w:t xml:space="preserve"> proti Oil </w:t>
      </w:r>
      <w:proofErr w:type="spellStart"/>
      <w:r w:rsidRPr="00727D26">
        <w:rPr>
          <w:bCs/>
        </w:rPr>
        <w:t>Trading</w:t>
      </w:r>
      <w:proofErr w:type="spellEnd"/>
      <w:r w:rsidRPr="00727D26">
        <w:rPr>
          <w:bCs/>
        </w:rPr>
        <w:t xml:space="preserve"> </w:t>
      </w:r>
      <w:proofErr w:type="spellStart"/>
      <w:r w:rsidRPr="00727D26">
        <w:rPr>
          <w:bCs/>
        </w:rPr>
        <w:t>Poland</w:t>
      </w:r>
      <w:proofErr w:type="spellEnd"/>
      <w:r w:rsidRPr="00727D26">
        <w:rPr>
          <w:bCs/>
        </w:rPr>
        <w:t xml:space="preserve"> </w:t>
      </w:r>
      <w:proofErr w:type="spellStart"/>
      <w:r w:rsidRPr="00727D26">
        <w:rPr>
          <w:bCs/>
        </w:rPr>
        <w:t>sp</w:t>
      </w:r>
      <w:proofErr w:type="spellEnd"/>
      <w:r w:rsidRPr="00727D26">
        <w:rPr>
          <w:bCs/>
        </w:rPr>
        <w:t xml:space="preserve">. z o. o., </w:t>
      </w:r>
      <w:r w:rsidRPr="00727D26">
        <w:rPr>
          <w:noProof/>
        </w:rPr>
        <w:t>[2015].</w:t>
      </w:r>
    </w:p>
    <w:p w:rsidR="00727D26" w:rsidRPr="00727D26" w:rsidRDefault="00727D26" w:rsidP="00727D26">
      <w:pPr>
        <w:pStyle w:val="Zkladntext"/>
        <w:ind w:left="567" w:right="-108"/>
        <w:rPr>
          <w:b/>
          <w:noProof/>
        </w:rPr>
      </w:pPr>
      <w:r w:rsidRPr="00727D26">
        <w:rPr>
          <w:b/>
          <w:noProof/>
        </w:rPr>
        <w:lastRenderedPageBreak/>
        <w:t>Výrok rozhodnutia:</w:t>
      </w:r>
    </w:p>
    <w:p w:rsidR="00727D26" w:rsidRPr="00727D26" w:rsidRDefault="00727D26" w:rsidP="00727D26">
      <w:pPr>
        <w:pStyle w:val="Zkladntext"/>
        <w:ind w:left="567" w:right="-108"/>
        <w:jc w:val="both"/>
      </w:pPr>
      <w:r w:rsidRPr="00727D26">
        <w:rPr>
          <w:bCs/>
        </w:rPr>
        <w:t xml:space="preserve">Článok 3 ods. 3 smernice Rady 92/12/EHS z 25. februára 1992 o všeobecných systémoch pre výrobky podliehajúce spotrebnej dani a o vlastníctve, pohybe a monitorovaní takýchto výrobkov a článok 1 ods. 3 smernice Rady </w:t>
      </w:r>
      <w:bookmarkStart w:id="2" w:name="ctx21"/>
      <w:r w:rsidRPr="00727D26">
        <w:rPr>
          <w:bCs/>
        </w:rPr>
        <w:t>2008/118</w:t>
      </w:r>
      <w:bookmarkEnd w:id="2"/>
      <w:r w:rsidRPr="00727D26">
        <w:rPr>
          <w:bCs/>
        </w:rPr>
        <w:t>/ES zo 16. decembra 2008 o všeobecnom systéme spotrebných daní a o zrušení smernice 92/12/EHS sa majú vykladať v tom zmysle, že nebránia tomu, aby výrobky, ktoré nespadajú do pôsobnosti uvedených smerníc, ako sú mazacie oleje určené na iné účely ako motorové palivá alebo vykurovacie palivá, podliehali dani upravenej rovnakými pravidlami ako režim zosúladenej spotrebnej dane vyplývajúci z uvedených smerníc, pretože skutočnosť, že uvedené výrobky tejto dani podliehajú, nepredstavuje v obchode medzi členskými štátmi formality spojené s prekročením hraníc.</w:t>
      </w:r>
    </w:p>
    <w:p w:rsidR="00727D26" w:rsidRPr="00727D26" w:rsidRDefault="00727D26" w:rsidP="00727D26">
      <w:pPr>
        <w:pStyle w:val="Zkladntext"/>
        <w:ind w:right="-108"/>
        <w:rPr>
          <w:noProof/>
        </w:rPr>
      </w:pPr>
    </w:p>
    <w:p w:rsidR="00727D26" w:rsidRPr="00727D26" w:rsidRDefault="00727D26" w:rsidP="00727D26">
      <w:pPr>
        <w:pStyle w:val="Zkladntext1"/>
        <w:tabs>
          <w:tab w:val="left" w:pos="284"/>
        </w:tabs>
        <w:spacing w:before="120" w:after="120"/>
        <w:ind w:left="3"/>
        <w:jc w:val="both"/>
        <w:rPr>
          <w:b/>
          <w:bCs/>
          <w:noProof/>
          <w:sz w:val="24"/>
          <w:szCs w:val="24"/>
        </w:rPr>
      </w:pPr>
      <w:r w:rsidRPr="00727D26">
        <w:rPr>
          <w:b/>
          <w:bCs/>
          <w:noProof/>
          <w:sz w:val="24"/>
          <w:szCs w:val="24"/>
        </w:rPr>
        <w:t>4.</w:t>
      </w:r>
      <w:r w:rsidRPr="00727D26">
        <w:rPr>
          <w:b/>
          <w:bCs/>
          <w:noProof/>
          <w:sz w:val="24"/>
          <w:szCs w:val="24"/>
        </w:rPr>
        <w:tab/>
        <w:t>Záväzky Slovenskej republiky vo vzťahu Európskej únii:</w:t>
      </w:r>
    </w:p>
    <w:p w:rsidR="00727D26" w:rsidRPr="00727D26" w:rsidRDefault="00727D26" w:rsidP="00727D26">
      <w:pPr>
        <w:numPr>
          <w:ilvl w:val="0"/>
          <w:numId w:val="29"/>
        </w:numPr>
        <w:tabs>
          <w:tab w:val="clear" w:pos="720"/>
          <w:tab w:val="left" w:pos="709"/>
        </w:tabs>
        <w:spacing w:after="120"/>
        <w:ind w:left="709" w:hanging="425"/>
        <w:jc w:val="both"/>
        <w:rPr>
          <w:noProof/>
          <w:lang w:eastAsia="cs-CZ"/>
        </w:rPr>
      </w:pPr>
      <w:r w:rsidRPr="00727D26">
        <w:rPr>
          <w:noProof/>
          <w:lang w:eastAsia="cs-CZ"/>
        </w:rPr>
        <w:t>Lehota na prebratie smernice 2003/96/ES: do dňa pristúpenia Slovenskej republiky k Európskej únii, t.j. do 1. 5. 2004.</w:t>
      </w:r>
    </w:p>
    <w:p w:rsidR="00727D26" w:rsidRPr="00727D26" w:rsidRDefault="00727D26" w:rsidP="00727D26">
      <w:pPr>
        <w:tabs>
          <w:tab w:val="left" w:pos="709"/>
        </w:tabs>
        <w:spacing w:after="120"/>
        <w:ind w:left="709" w:hanging="425"/>
        <w:jc w:val="both"/>
        <w:rPr>
          <w:bCs/>
          <w:noProof/>
        </w:rPr>
      </w:pPr>
      <w:r w:rsidRPr="00727D26">
        <w:rPr>
          <w:noProof/>
          <w:lang w:eastAsia="cs-CZ"/>
        </w:rPr>
        <w:tab/>
        <w:t xml:space="preserve">Lehota na prebratie smernice 2020/262/EÚ je </w:t>
      </w:r>
      <w:r w:rsidRPr="00727D26">
        <w:rPr>
          <w:bCs/>
          <w:noProof/>
        </w:rPr>
        <w:t>stanovená do 31. 12. 2021.</w:t>
      </w:r>
    </w:p>
    <w:p w:rsidR="00727D26" w:rsidRPr="00727D26" w:rsidRDefault="00727D26" w:rsidP="00727D26">
      <w:pPr>
        <w:pStyle w:val="Odsekzoznamu"/>
        <w:jc w:val="both"/>
        <w:rPr>
          <w:rFonts w:ascii="Times New Roman" w:hAnsi="Times New Roman"/>
          <w:bCs/>
          <w:sz w:val="24"/>
          <w:szCs w:val="24"/>
        </w:rPr>
      </w:pPr>
      <w:r w:rsidRPr="00727D26">
        <w:rPr>
          <w:rFonts w:ascii="Times New Roman" w:hAnsi="Times New Roman"/>
          <w:bCs/>
          <w:sz w:val="24"/>
          <w:szCs w:val="24"/>
        </w:rPr>
        <w:t>Lehota na prebratie smernice (EÚ) 2019/2235 je stanovená do 30. 6.</w:t>
      </w:r>
      <w:r>
        <w:rPr>
          <w:rFonts w:ascii="Times New Roman" w:hAnsi="Times New Roman"/>
          <w:bCs/>
          <w:sz w:val="24"/>
          <w:szCs w:val="24"/>
        </w:rPr>
        <w:t xml:space="preserve"> 2022.</w:t>
      </w:r>
    </w:p>
    <w:p w:rsidR="00727D26" w:rsidRPr="00727D26" w:rsidRDefault="00727D26" w:rsidP="00727D26">
      <w:pPr>
        <w:numPr>
          <w:ilvl w:val="0"/>
          <w:numId w:val="29"/>
        </w:numPr>
        <w:tabs>
          <w:tab w:val="clear" w:pos="720"/>
          <w:tab w:val="left" w:pos="709"/>
        </w:tabs>
        <w:spacing w:after="120"/>
        <w:ind w:left="709" w:hanging="425"/>
        <w:jc w:val="both"/>
        <w:rPr>
          <w:noProof/>
          <w:lang w:eastAsia="cs-CZ"/>
        </w:rPr>
      </w:pPr>
      <w:r w:rsidRPr="00727D26">
        <w:rPr>
          <w:noProof/>
          <w:lang w:eastAsia="cs-CZ"/>
        </w:rPr>
        <w:t xml:space="preserve">Proti SR nebolo </w:t>
      </w:r>
      <w:r w:rsidRPr="00727D26">
        <w:rPr>
          <w:noProof/>
        </w:rPr>
        <w:t xml:space="preserve">začaté konanie v rámci „EÚ Pilot“, ani nebol začatý postup EK ako aj nebolo </w:t>
      </w:r>
      <w:r w:rsidRPr="00727D26">
        <w:rPr>
          <w:noProof/>
          <w:lang w:eastAsia="cs-CZ"/>
        </w:rPr>
        <w:t xml:space="preserve">začaté konanie o porušení </w:t>
      </w:r>
      <w:r w:rsidRPr="00727D26">
        <w:rPr>
          <w:noProof/>
        </w:rPr>
        <w:t>podľa čl. 258 až 260 Zmluvy o fungovaní Európskej únie.</w:t>
      </w:r>
    </w:p>
    <w:p w:rsidR="00727D26" w:rsidRPr="00727D26" w:rsidRDefault="00727D26" w:rsidP="00727D26">
      <w:pPr>
        <w:numPr>
          <w:ilvl w:val="0"/>
          <w:numId w:val="29"/>
        </w:numPr>
        <w:tabs>
          <w:tab w:val="clear" w:pos="720"/>
          <w:tab w:val="left" w:pos="709"/>
        </w:tabs>
        <w:spacing w:after="120"/>
        <w:ind w:left="709" w:hanging="425"/>
        <w:jc w:val="both"/>
        <w:rPr>
          <w:noProof/>
          <w:lang w:eastAsia="cs-CZ"/>
        </w:rPr>
      </w:pPr>
      <w:r w:rsidRPr="00727D26">
        <w:rPr>
          <w:noProof/>
        </w:rPr>
        <w:t>Smernica 2003/96/ES bola prebratá do zákona č. 609/2007 Z. z. o spotrebnej dani z elektriny, uhlia a zemného plynu a o zmene a doplnení zákona č. 98/2004 Z. z. o spotrebnej dani z minerálneho oleja v znení neskorších predpisov a do zákona                č. 98/2004 Z. z. o spotrebnej dani z minerálneho oleja v znení neskorších predpisov.</w:t>
      </w:r>
    </w:p>
    <w:p w:rsidR="00727D26" w:rsidRPr="00727D26" w:rsidRDefault="00727D26" w:rsidP="00727D26">
      <w:pPr>
        <w:pStyle w:val="Zkladntext0"/>
        <w:suppressAutoHyphens/>
        <w:jc w:val="both"/>
        <w:rPr>
          <w:rFonts w:ascii="Times New Roman" w:hAnsi="Times New Roman" w:cs="Times New Roman"/>
          <w:noProof/>
          <w:color w:val="auto"/>
        </w:rPr>
      </w:pPr>
    </w:p>
    <w:p w:rsidR="00727D26" w:rsidRPr="00727D26" w:rsidRDefault="00727D26" w:rsidP="00727D26">
      <w:pPr>
        <w:pStyle w:val="Zkladntext1"/>
        <w:tabs>
          <w:tab w:val="left" w:pos="284"/>
        </w:tabs>
        <w:spacing w:before="120"/>
        <w:ind w:firstLine="11"/>
        <w:jc w:val="both"/>
        <w:rPr>
          <w:b/>
          <w:noProof/>
          <w:sz w:val="24"/>
          <w:szCs w:val="24"/>
        </w:rPr>
      </w:pPr>
      <w:r w:rsidRPr="00727D26">
        <w:rPr>
          <w:b/>
          <w:noProof/>
          <w:sz w:val="24"/>
          <w:szCs w:val="24"/>
        </w:rPr>
        <w:t>5.</w:t>
      </w:r>
      <w:r w:rsidRPr="00727D26">
        <w:rPr>
          <w:b/>
          <w:noProof/>
          <w:sz w:val="24"/>
          <w:szCs w:val="24"/>
        </w:rPr>
        <w:tab/>
        <w:t>Návrh zákona je zlučiteľný s právom Európskej únie:</w:t>
      </w:r>
    </w:p>
    <w:p w:rsidR="00727D26" w:rsidRPr="00727D26" w:rsidRDefault="00727D26" w:rsidP="00727D26">
      <w:pPr>
        <w:pStyle w:val="Zkladntext1"/>
        <w:spacing w:before="120"/>
        <w:ind w:left="284"/>
        <w:jc w:val="both"/>
        <w:rPr>
          <w:noProof/>
          <w:sz w:val="24"/>
          <w:szCs w:val="24"/>
        </w:rPr>
      </w:pPr>
      <w:r w:rsidRPr="00727D26">
        <w:rPr>
          <w:noProof/>
          <w:sz w:val="24"/>
          <w:szCs w:val="24"/>
        </w:rPr>
        <w:t>Úplne.</w:t>
      </w:r>
    </w:p>
    <w:p w:rsidR="00727D26" w:rsidRPr="00727D26" w:rsidRDefault="00727D26" w:rsidP="00727D26">
      <w:pPr>
        <w:rPr>
          <w:noProof/>
        </w:rPr>
      </w:pPr>
    </w:p>
    <w:p w:rsidR="00727D26" w:rsidRPr="00727D26" w:rsidRDefault="00727D26" w:rsidP="001B1696">
      <w:pPr>
        <w:rPr>
          <w:bCs/>
        </w:rPr>
      </w:pPr>
    </w:p>
    <w:p w:rsidR="00727D26" w:rsidRDefault="00727D26" w:rsidP="001B1696">
      <w:pPr>
        <w:rPr>
          <w:bCs/>
        </w:rPr>
      </w:pPr>
    </w:p>
    <w:p w:rsidR="00727D26" w:rsidRDefault="00727D26" w:rsidP="001B1696">
      <w:pPr>
        <w:rPr>
          <w:bCs/>
        </w:rPr>
      </w:pPr>
    </w:p>
    <w:p w:rsidR="00727D26" w:rsidRDefault="00727D26" w:rsidP="001B1696">
      <w:pPr>
        <w:rPr>
          <w:bCs/>
        </w:rPr>
      </w:pPr>
    </w:p>
    <w:p w:rsidR="00727D26" w:rsidRDefault="00727D26" w:rsidP="001B1696">
      <w:pPr>
        <w:rPr>
          <w:bCs/>
        </w:rPr>
      </w:pPr>
    </w:p>
    <w:p w:rsidR="00727D26" w:rsidRDefault="00727D26" w:rsidP="001B1696">
      <w:pPr>
        <w:rPr>
          <w:bCs/>
        </w:rPr>
      </w:pPr>
    </w:p>
    <w:p w:rsidR="00727D26" w:rsidRDefault="00727D26" w:rsidP="001B1696">
      <w:pPr>
        <w:rPr>
          <w:bCs/>
        </w:rPr>
      </w:pPr>
    </w:p>
    <w:p w:rsidR="00727D26" w:rsidRDefault="00727D26" w:rsidP="001B1696">
      <w:pPr>
        <w:rPr>
          <w:bCs/>
        </w:rPr>
      </w:pPr>
    </w:p>
    <w:p w:rsidR="00727D26" w:rsidRDefault="00727D26" w:rsidP="001B1696">
      <w:pPr>
        <w:rPr>
          <w:bCs/>
        </w:rPr>
      </w:pPr>
    </w:p>
    <w:p w:rsidR="00727D26" w:rsidRDefault="00727D26" w:rsidP="001B1696">
      <w:pPr>
        <w:rPr>
          <w:bCs/>
        </w:rPr>
      </w:pPr>
    </w:p>
    <w:p w:rsidR="00727D26" w:rsidRDefault="00727D26" w:rsidP="001B1696">
      <w:pPr>
        <w:rPr>
          <w:bCs/>
        </w:rPr>
      </w:pPr>
    </w:p>
    <w:p w:rsidR="00727D26" w:rsidRDefault="00727D26" w:rsidP="001B1696">
      <w:pPr>
        <w:rPr>
          <w:bCs/>
        </w:rPr>
      </w:pPr>
    </w:p>
    <w:p w:rsidR="00727D26" w:rsidRDefault="00727D26" w:rsidP="001B1696">
      <w:pPr>
        <w:rPr>
          <w:bCs/>
        </w:rPr>
      </w:pPr>
    </w:p>
    <w:p w:rsidR="00727D26" w:rsidRDefault="00727D26" w:rsidP="001B1696">
      <w:pPr>
        <w:rPr>
          <w:bCs/>
        </w:rPr>
      </w:pPr>
    </w:p>
    <w:p w:rsidR="00727D26" w:rsidRDefault="00727D26" w:rsidP="001B1696">
      <w:pPr>
        <w:rPr>
          <w:bCs/>
        </w:rPr>
      </w:pPr>
    </w:p>
    <w:p w:rsidR="00727D26" w:rsidRDefault="00727D26" w:rsidP="001B1696">
      <w:pPr>
        <w:rPr>
          <w:bCs/>
        </w:rPr>
      </w:pPr>
    </w:p>
    <w:p w:rsidR="00727D26" w:rsidRDefault="00727D26" w:rsidP="001B1696">
      <w:pPr>
        <w:rPr>
          <w:bCs/>
        </w:rPr>
      </w:pPr>
    </w:p>
    <w:p w:rsidR="00727D26" w:rsidRPr="00E163DF" w:rsidRDefault="00727D26" w:rsidP="00727D26">
      <w:pPr>
        <w:jc w:val="both"/>
        <w:rPr>
          <w:b/>
          <w:color w:val="000000"/>
        </w:rPr>
      </w:pPr>
      <w:r w:rsidRPr="00E163DF">
        <w:rPr>
          <w:b/>
          <w:color w:val="000000"/>
        </w:rPr>
        <w:lastRenderedPageBreak/>
        <w:t>B. Osobitná časť</w:t>
      </w:r>
    </w:p>
    <w:p w:rsidR="00727D26" w:rsidRDefault="00727D26" w:rsidP="00727D26">
      <w:pPr>
        <w:jc w:val="both"/>
        <w:rPr>
          <w:bCs/>
        </w:rPr>
      </w:pPr>
    </w:p>
    <w:p w:rsidR="00274717" w:rsidRPr="00E163DF" w:rsidRDefault="00274717" w:rsidP="00727D26">
      <w:pPr>
        <w:jc w:val="both"/>
        <w:rPr>
          <w:bCs/>
        </w:rPr>
      </w:pPr>
    </w:p>
    <w:p w:rsidR="00727D26" w:rsidRPr="00E163DF" w:rsidRDefault="00727D26" w:rsidP="00727D26">
      <w:pPr>
        <w:jc w:val="both"/>
        <w:rPr>
          <w:b/>
          <w:bCs/>
        </w:rPr>
      </w:pPr>
      <w:r w:rsidRPr="00E163DF">
        <w:rPr>
          <w:b/>
          <w:bCs/>
        </w:rPr>
        <w:t>K článku I</w:t>
      </w:r>
    </w:p>
    <w:p w:rsidR="00727D26" w:rsidRDefault="00727D26" w:rsidP="00727D26">
      <w:pPr>
        <w:tabs>
          <w:tab w:val="left" w:pos="360"/>
        </w:tabs>
        <w:jc w:val="both"/>
      </w:pPr>
    </w:p>
    <w:p w:rsidR="00274717" w:rsidRDefault="00274717" w:rsidP="00727D26">
      <w:pPr>
        <w:tabs>
          <w:tab w:val="left" w:pos="360"/>
        </w:tabs>
        <w:jc w:val="both"/>
      </w:pPr>
    </w:p>
    <w:p w:rsidR="00727D26" w:rsidRPr="0006283B" w:rsidRDefault="00727D26" w:rsidP="00727D26">
      <w:pPr>
        <w:autoSpaceDE w:val="0"/>
        <w:autoSpaceDN w:val="0"/>
        <w:adjustRightInd w:val="0"/>
        <w:jc w:val="both"/>
        <w:rPr>
          <w:b/>
          <w:bCs/>
        </w:rPr>
      </w:pPr>
      <w:r>
        <w:rPr>
          <w:b/>
          <w:bCs/>
        </w:rPr>
        <w:t>K bodom</w:t>
      </w:r>
      <w:r w:rsidRPr="0006283B">
        <w:rPr>
          <w:b/>
          <w:bCs/>
        </w:rPr>
        <w:t xml:space="preserve"> 1</w:t>
      </w:r>
      <w:r>
        <w:rPr>
          <w:b/>
          <w:bCs/>
        </w:rPr>
        <w:t xml:space="preserve"> a 117</w:t>
      </w:r>
    </w:p>
    <w:p w:rsidR="00727D26" w:rsidRDefault="00727D26" w:rsidP="00727D26">
      <w:pPr>
        <w:tabs>
          <w:tab w:val="left" w:pos="360"/>
        </w:tabs>
        <w:ind w:firstLine="567"/>
        <w:jc w:val="both"/>
        <w:rPr>
          <w:bCs/>
          <w:color w:val="000000"/>
        </w:rPr>
      </w:pPr>
      <w:r w:rsidRPr="0006283B">
        <w:rPr>
          <w:bCs/>
          <w:color w:val="000000"/>
        </w:rPr>
        <w:t>Legislatívno-technické úpravy súvisiace s vypustením skratky pre Európsku úniu.</w:t>
      </w:r>
    </w:p>
    <w:p w:rsidR="00727D26" w:rsidRDefault="00727D26" w:rsidP="00727D26">
      <w:pPr>
        <w:tabs>
          <w:tab w:val="left" w:pos="360"/>
        </w:tabs>
        <w:jc w:val="both"/>
      </w:pPr>
    </w:p>
    <w:p w:rsidR="00727D26" w:rsidRDefault="00727D26" w:rsidP="00727D26">
      <w:pPr>
        <w:autoSpaceDE w:val="0"/>
        <w:autoSpaceDN w:val="0"/>
        <w:adjustRightInd w:val="0"/>
        <w:jc w:val="both"/>
        <w:rPr>
          <w:b/>
          <w:bCs/>
          <w:color w:val="000000"/>
        </w:rPr>
      </w:pPr>
      <w:r>
        <w:rPr>
          <w:b/>
          <w:bCs/>
          <w:color w:val="000000"/>
        </w:rPr>
        <w:t>K bodu 2</w:t>
      </w:r>
    </w:p>
    <w:p w:rsidR="00727D26" w:rsidRDefault="00727D26" w:rsidP="00727D26">
      <w:pPr>
        <w:tabs>
          <w:tab w:val="left" w:pos="360"/>
        </w:tabs>
        <w:ind w:firstLine="567"/>
        <w:jc w:val="both"/>
      </w:pPr>
      <w:r>
        <w:t>V súlade so smernicou Rady (EÚ) 2020/262 z 19. decembra 2019, ktorou sa stanovuje všeobecný systém spotrebných daní (ďalej len „smernica Rady (EÚ) 2020/262“) sa ustanovuje definícia nových daňových subjektov, ktoré budú oprávnené prepravovať minerálny olej uvedený do daňového voľného obehu zjednodušeným elektronickým administratívnym dokumentom v systéme elektronických prepráv na daňovom území a na území EÚ.</w:t>
      </w:r>
    </w:p>
    <w:p w:rsidR="00727D26" w:rsidRDefault="00727D26" w:rsidP="00727D26">
      <w:pPr>
        <w:tabs>
          <w:tab w:val="left" w:pos="360"/>
        </w:tabs>
        <w:jc w:val="both"/>
      </w:pPr>
    </w:p>
    <w:p w:rsidR="00727D26" w:rsidRDefault="00727D26" w:rsidP="00727D26">
      <w:pPr>
        <w:autoSpaceDE w:val="0"/>
        <w:autoSpaceDN w:val="0"/>
        <w:adjustRightInd w:val="0"/>
        <w:jc w:val="both"/>
        <w:rPr>
          <w:b/>
          <w:bCs/>
          <w:color w:val="000000"/>
        </w:rPr>
      </w:pPr>
      <w:r>
        <w:rPr>
          <w:b/>
          <w:bCs/>
          <w:color w:val="000000"/>
        </w:rPr>
        <w:t>K bodu 3</w:t>
      </w:r>
    </w:p>
    <w:p w:rsidR="00727D26" w:rsidRDefault="00727D26" w:rsidP="00727D26">
      <w:pPr>
        <w:autoSpaceDE w:val="0"/>
        <w:autoSpaceDN w:val="0"/>
        <w:adjustRightInd w:val="0"/>
        <w:ind w:firstLine="567"/>
        <w:jc w:val="both"/>
        <w:rPr>
          <w:bCs/>
          <w:color w:val="000000"/>
        </w:rPr>
      </w:pPr>
      <w:r>
        <w:rPr>
          <w:bCs/>
          <w:color w:val="000000"/>
        </w:rPr>
        <w:t>Legislatívno-technická úprava súvisiaca s úpravou ustanovenia o obchodovaní s vybraným minerálnym olejom.</w:t>
      </w:r>
    </w:p>
    <w:p w:rsidR="00727D26" w:rsidRPr="00AD5F8A" w:rsidRDefault="00727D26" w:rsidP="00727D26">
      <w:pPr>
        <w:autoSpaceDE w:val="0"/>
        <w:autoSpaceDN w:val="0"/>
        <w:adjustRightInd w:val="0"/>
        <w:jc w:val="both"/>
        <w:rPr>
          <w:bCs/>
          <w:color w:val="000000"/>
        </w:rPr>
      </w:pPr>
    </w:p>
    <w:p w:rsidR="00727D26" w:rsidRPr="00AD5F8A" w:rsidRDefault="00727D26" w:rsidP="00727D26">
      <w:pPr>
        <w:autoSpaceDE w:val="0"/>
        <w:autoSpaceDN w:val="0"/>
        <w:adjustRightInd w:val="0"/>
        <w:jc w:val="both"/>
        <w:rPr>
          <w:b/>
          <w:bCs/>
          <w:color w:val="000000"/>
        </w:rPr>
      </w:pPr>
      <w:r>
        <w:rPr>
          <w:b/>
          <w:bCs/>
          <w:color w:val="000000"/>
        </w:rPr>
        <w:t>K bodom 4</w:t>
      </w:r>
      <w:r w:rsidRPr="00DB08D4">
        <w:rPr>
          <w:b/>
          <w:bCs/>
          <w:color w:val="000000"/>
        </w:rPr>
        <w:t xml:space="preserve"> a</w:t>
      </w:r>
      <w:r>
        <w:rPr>
          <w:b/>
          <w:bCs/>
          <w:color w:val="000000"/>
        </w:rPr>
        <w:t> 5</w:t>
      </w:r>
    </w:p>
    <w:p w:rsidR="00727D26" w:rsidRPr="00DB08D4" w:rsidRDefault="00727D26" w:rsidP="00727D26">
      <w:pPr>
        <w:tabs>
          <w:tab w:val="left" w:pos="360"/>
        </w:tabs>
        <w:ind w:firstLine="567"/>
        <w:jc w:val="both"/>
      </w:pPr>
      <w:r w:rsidRPr="00DB08D4">
        <w:rPr>
          <w:bCs/>
          <w:color w:val="000000"/>
        </w:rPr>
        <w:t xml:space="preserve">Na základe notifikovanej Štátnej pomoci SA. 49509 – Slovensko </w:t>
      </w:r>
      <w:r>
        <w:rPr>
          <w:bCs/>
          <w:color w:val="000000"/>
        </w:rPr>
        <w:t>–</w:t>
      </w:r>
      <w:r w:rsidRPr="00DB08D4">
        <w:rPr>
          <w:bCs/>
          <w:color w:val="000000"/>
        </w:rPr>
        <w:t xml:space="preserve"> Daňové zvýhodnenie </w:t>
      </w:r>
      <w:proofErr w:type="spellStart"/>
      <w:r w:rsidRPr="00DB08D4">
        <w:rPr>
          <w:bCs/>
          <w:color w:val="000000"/>
        </w:rPr>
        <w:t>biopalív</w:t>
      </w:r>
      <w:proofErr w:type="spellEnd"/>
      <w:r w:rsidRPr="00DB08D4">
        <w:rPr>
          <w:bCs/>
          <w:color w:val="000000"/>
        </w:rPr>
        <w:t xml:space="preserve"> bude možné v Slovenskej republike od 1. januára 2021 uplatňovať daňové zvýhodnenie len na pokročilé </w:t>
      </w:r>
      <w:proofErr w:type="spellStart"/>
      <w:r w:rsidRPr="00DB08D4">
        <w:rPr>
          <w:bCs/>
          <w:color w:val="000000"/>
        </w:rPr>
        <w:t>biopalivá</w:t>
      </w:r>
      <w:proofErr w:type="spellEnd"/>
      <w:r w:rsidRPr="00DB08D4">
        <w:rPr>
          <w:bCs/>
          <w:color w:val="000000"/>
        </w:rPr>
        <w:t xml:space="preserve"> </w:t>
      </w:r>
      <w:r>
        <w:rPr>
          <w:bCs/>
          <w:color w:val="000000"/>
        </w:rPr>
        <w:t>(</w:t>
      </w:r>
      <w:proofErr w:type="spellStart"/>
      <w:r>
        <w:rPr>
          <w:bCs/>
          <w:color w:val="000000"/>
        </w:rPr>
        <w:t>biopalivá</w:t>
      </w:r>
      <w:proofErr w:type="spellEnd"/>
      <w:r>
        <w:rPr>
          <w:bCs/>
          <w:color w:val="000000"/>
        </w:rPr>
        <w:t xml:space="preserve"> druhej generácie) </w:t>
      </w:r>
      <w:r w:rsidRPr="00DB08D4">
        <w:rPr>
          <w:bCs/>
          <w:color w:val="000000"/>
        </w:rPr>
        <w:t>v zmesi s pohonnými látkami. S </w:t>
      </w:r>
      <w:r>
        <w:rPr>
          <w:bCs/>
          <w:color w:val="000000"/>
        </w:rPr>
        <w:t>o</w:t>
      </w:r>
      <w:r w:rsidRPr="00DB08D4">
        <w:rPr>
          <w:bCs/>
          <w:color w:val="000000"/>
        </w:rPr>
        <w:t xml:space="preserve">hľadom na skutočnosť, že pokročilé </w:t>
      </w:r>
      <w:proofErr w:type="spellStart"/>
      <w:r w:rsidRPr="00DB08D4">
        <w:rPr>
          <w:bCs/>
          <w:color w:val="000000"/>
        </w:rPr>
        <w:t>biopalivá</w:t>
      </w:r>
      <w:proofErr w:type="spellEnd"/>
      <w:r w:rsidRPr="00DB08D4">
        <w:rPr>
          <w:bCs/>
          <w:color w:val="000000"/>
        </w:rPr>
        <w:t xml:space="preserve"> nebudú na území Slovenskej r</w:t>
      </w:r>
      <w:r>
        <w:rPr>
          <w:bCs/>
          <w:color w:val="000000"/>
        </w:rPr>
        <w:t>epubliky</w:t>
      </w:r>
      <w:r w:rsidRPr="00DB08D4">
        <w:rPr>
          <w:bCs/>
          <w:color w:val="000000"/>
        </w:rPr>
        <w:t xml:space="preserve"> </w:t>
      </w:r>
      <w:r>
        <w:rPr>
          <w:bCs/>
          <w:color w:val="000000"/>
        </w:rPr>
        <w:t>od 1. januára 2021 d</w:t>
      </w:r>
      <w:r w:rsidRPr="00DB08D4">
        <w:rPr>
          <w:bCs/>
          <w:color w:val="000000"/>
        </w:rPr>
        <w:t>ostupné v </w:t>
      </w:r>
      <w:r>
        <w:rPr>
          <w:bCs/>
          <w:color w:val="000000"/>
        </w:rPr>
        <w:t>požado</w:t>
      </w:r>
      <w:r w:rsidRPr="00DB08D4">
        <w:rPr>
          <w:bCs/>
          <w:color w:val="000000"/>
        </w:rPr>
        <w:t>vanom objeme</w:t>
      </w:r>
      <w:r>
        <w:rPr>
          <w:bCs/>
          <w:color w:val="000000"/>
        </w:rPr>
        <w:t>,</w:t>
      </w:r>
      <w:r w:rsidRPr="00DB08D4">
        <w:rPr>
          <w:bCs/>
          <w:color w:val="000000"/>
        </w:rPr>
        <w:t xml:space="preserve"> </w:t>
      </w:r>
      <w:r>
        <w:rPr>
          <w:bCs/>
          <w:color w:val="000000"/>
        </w:rPr>
        <w:t>navrhuje sa stanoviť jednu sadzbu dane na motorový benzín a jednu sadzbu dane na motorovú naftu na úrovni terajšej zvýhodnenej sadzby dane a notifikované daňové zvýhodnenie neuplatňovať. Zároveň sa aktualizujú poznámky pod čiarou k príslušným odkazom.</w:t>
      </w:r>
    </w:p>
    <w:p w:rsidR="00727D26" w:rsidRDefault="00727D26" w:rsidP="00727D26">
      <w:pPr>
        <w:tabs>
          <w:tab w:val="left" w:pos="360"/>
        </w:tabs>
        <w:jc w:val="both"/>
      </w:pPr>
    </w:p>
    <w:p w:rsidR="00727D26" w:rsidRDefault="00727D26" w:rsidP="00727D26">
      <w:pPr>
        <w:autoSpaceDE w:val="0"/>
        <w:autoSpaceDN w:val="0"/>
        <w:adjustRightInd w:val="0"/>
        <w:jc w:val="both"/>
        <w:rPr>
          <w:b/>
          <w:bCs/>
          <w:color w:val="000000"/>
        </w:rPr>
      </w:pPr>
      <w:r>
        <w:rPr>
          <w:b/>
          <w:bCs/>
          <w:color w:val="000000"/>
        </w:rPr>
        <w:t>K bodom 6 a 35</w:t>
      </w:r>
    </w:p>
    <w:p w:rsidR="00727D26" w:rsidRDefault="00727D26" w:rsidP="00727D26">
      <w:pPr>
        <w:pStyle w:val="Bezriadkovania"/>
        <w:ind w:firstLine="567"/>
        <w:jc w:val="both"/>
        <w:rPr>
          <w:rFonts w:ascii="Times New Roman" w:hAnsi="Times New Roman"/>
          <w:sz w:val="24"/>
          <w:szCs w:val="24"/>
        </w:rPr>
      </w:pPr>
      <w:r>
        <w:rPr>
          <w:rFonts w:ascii="Times New Roman" w:hAnsi="Times New Roman"/>
          <w:bCs/>
          <w:sz w:val="24"/>
          <w:szCs w:val="24"/>
        </w:rPr>
        <w:t>V súlade s vykonávacím nariadením</w:t>
      </w:r>
      <w:r w:rsidRPr="00900E4B">
        <w:rPr>
          <w:rFonts w:ascii="Times New Roman" w:hAnsi="Times New Roman"/>
          <w:bCs/>
          <w:sz w:val="24"/>
          <w:szCs w:val="24"/>
        </w:rPr>
        <w:t xml:space="preserve"> Komisie </w:t>
      </w:r>
      <w:r w:rsidRPr="005C259E">
        <w:rPr>
          <w:rFonts w:ascii="Times New Roman" w:hAnsi="Times New Roman"/>
          <w:bCs/>
          <w:sz w:val="24"/>
          <w:szCs w:val="24"/>
        </w:rPr>
        <w:t>(EÚ) 2019/1776 z 9. októbra 2019, ktorým sa mení príloha I k nariad</w:t>
      </w:r>
      <w:r w:rsidRPr="005C259E">
        <w:rPr>
          <w:rFonts w:ascii="Times New Roman" w:hAnsi="Times New Roman"/>
          <w:bCs/>
          <w:sz w:val="24"/>
          <w:szCs w:val="24"/>
        </w:rPr>
        <w:softHyphen/>
        <w:t>eniu Rady (EHS) č. 2658/87 o colnej a štatistickej nomenklatúre a o Spoločnom colnom sadzobníku</w:t>
      </w:r>
      <w:r>
        <w:rPr>
          <w:rFonts w:ascii="Times New Roman" w:hAnsi="Times New Roman"/>
          <w:sz w:val="24"/>
          <w:szCs w:val="24"/>
        </w:rPr>
        <w:t xml:space="preserve"> sa upravujú kódy kombinovanej nomenklatúry pre vykurovacie oleje a plynové oleje</w:t>
      </w:r>
      <w:r w:rsidRPr="00D25164">
        <w:rPr>
          <w:rFonts w:ascii="Times New Roman" w:hAnsi="Times New Roman"/>
          <w:sz w:val="24"/>
          <w:szCs w:val="24"/>
        </w:rPr>
        <w:t>.</w:t>
      </w:r>
    </w:p>
    <w:p w:rsidR="00727D26" w:rsidRDefault="00727D26" w:rsidP="00727D26">
      <w:pPr>
        <w:tabs>
          <w:tab w:val="left" w:pos="360"/>
        </w:tabs>
        <w:jc w:val="both"/>
      </w:pPr>
    </w:p>
    <w:p w:rsidR="00727D26" w:rsidRPr="00DB08D4" w:rsidRDefault="00727D26" w:rsidP="00727D26">
      <w:pPr>
        <w:autoSpaceDE w:val="0"/>
        <w:autoSpaceDN w:val="0"/>
        <w:adjustRightInd w:val="0"/>
        <w:jc w:val="both"/>
        <w:rPr>
          <w:b/>
          <w:bCs/>
          <w:color w:val="000000"/>
        </w:rPr>
      </w:pPr>
      <w:r w:rsidRPr="00DB08D4">
        <w:rPr>
          <w:b/>
          <w:bCs/>
          <w:color w:val="000000"/>
        </w:rPr>
        <w:t xml:space="preserve">K bodom </w:t>
      </w:r>
      <w:r>
        <w:rPr>
          <w:b/>
          <w:bCs/>
          <w:color w:val="000000"/>
        </w:rPr>
        <w:t>7 až 9</w:t>
      </w:r>
    </w:p>
    <w:p w:rsidR="00727D26" w:rsidRDefault="00727D26" w:rsidP="00727D26">
      <w:pPr>
        <w:tabs>
          <w:tab w:val="left" w:pos="360"/>
        </w:tabs>
        <w:ind w:firstLine="567"/>
        <w:jc w:val="both"/>
      </w:pPr>
      <w:r>
        <w:t>Navrhovanými úpravami sa ustanovuje jedna sadzba dane na skvapalnené plynné uhľovodíky (ďalej len „LPG“) bez ohľadu na účel ich použitia. Zároveň sa ustanovuje daňovo zvýhodnená sadzba dane vo výške 0 eur/1 000 kg, ak je tento minerálny olej použitý ako palivo na výrobu tepla. Podmienkou uplatnenia daňovo zvýhodnenej sadzby dane je povinnosť požiadať o </w:t>
      </w:r>
      <w:r w:rsidRPr="00A7769C">
        <w:t xml:space="preserve">vydanie povolenia na </w:t>
      </w:r>
      <w:r>
        <w:t>použitie daňovo zvýhodneného minerálneho oleja a o odberný poukaz, okrem navrhovaných výnimiek.</w:t>
      </w:r>
    </w:p>
    <w:p w:rsidR="00727D26" w:rsidRDefault="00727D26" w:rsidP="00727D26">
      <w:pPr>
        <w:tabs>
          <w:tab w:val="left" w:pos="360"/>
        </w:tabs>
        <w:jc w:val="both"/>
      </w:pPr>
    </w:p>
    <w:p w:rsidR="00727D26" w:rsidRPr="009763CC" w:rsidRDefault="00727D26" w:rsidP="00727D26">
      <w:pPr>
        <w:autoSpaceDE w:val="0"/>
        <w:autoSpaceDN w:val="0"/>
        <w:adjustRightInd w:val="0"/>
        <w:jc w:val="both"/>
        <w:rPr>
          <w:b/>
          <w:bCs/>
          <w:color w:val="000000"/>
        </w:rPr>
      </w:pPr>
      <w:r>
        <w:rPr>
          <w:b/>
          <w:bCs/>
          <w:color w:val="000000"/>
        </w:rPr>
        <w:t>K bodom 10, 12 a 46</w:t>
      </w:r>
    </w:p>
    <w:p w:rsidR="00727D26" w:rsidRDefault="00727D26" w:rsidP="00727D26">
      <w:pPr>
        <w:ind w:firstLine="567"/>
        <w:jc w:val="both"/>
      </w:pPr>
      <w:r>
        <w:t xml:space="preserve">V súčasnosti nie je k dispozícii všeobecne záväzný právny predpis, ktorý by stanovoval normy strát minerálneho oleja pri jeho preprave, skladovaní a manipulácii. Colné úrady môžu určovať so súhlasom Finančného riaditeľstva SR najviac prípustnú výšku strát minerálneho oleja v daňových skladoch a v užívateľských podnikoch, zisťovať prirodzené úbytky minerálneho oleja pri výrobe, skladovaní a preprave súvisiace s jeho fyzikálno-chemickými </w:t>
      </w:r>
      <w:r>
        <w:lastRenderedPageBreak/>
        <w:t>vlastnosťami a na základe dlhodobého sledovania v trvaní najmenej 12 mesiacov, a to osobitne pre konkrétny daňový subjekt. Uvedený spôsob zisťovania strát je však náročný a nedostatočne efektívny.  V nadväznosti na uvedené je potrebné stanoviť všeobecne záväzné normy strát uplatňované rovnako pre všetky daňové subjekty. Z uvedených dôvodov sa navrhuje ustanovenie, ktoré splnomocní Ministerstvo financií SR vydať všeobecne záväzný predpis stanovujúci normy strát minerálneho oleja pri jeho preprave, skladovaní a manipulácii.</w:t>
      </w:r>
    </w:p>
    <w:p w:rsidR="00727D26" w:rsidRPr="00DB08D4" w:rsidRDefault="00727D26" w:rsidP="00727D26">
      <w:pPr>
        <w:tabs>
          <w:tab w:val="left" w:pos="360"/>
        </w:tabs>
        <w:ind w:firstLine="567"/>
        <w:jc w:val="both"/>
      </w:pPr>
      <w:r>
        <w:t xml:space="preserve">Návrhom na nové znenie tohto ustanovenia sa zrušujú tiež podmienky na uplatňovanie zvýhodnenej sadzby dane na motorový benzín a motorovú naftu uplatňované na základe </w:t>
      </w:r>
      <w:r w:rsidRPr="00DB08D4">
        <w:rPr>
          <w:bCs/>
          <w:color w:val="000000"/>
        </w:rPr>
        <w:t xml:space="preserve">notifikovanej Štátnej pomoci SA. 49509 – Slovensko – Daňové zvýhodnenie </w:t>
      </w:r>
      <w:proofErr w:type="spellStart"/>
      <w:r w:rsidRPr="00DB08D4">
        <w:rPr>
          <w:bCs/>
          <w:color w:val="000000"/>
        </w:rPr>
        <w:t>biopalív</w:t>
      </w:r>
      <w:proofErr w:type="spellEnd"/>
      <w:r>
        <w:rPr>
          <w:bCs/>
          <w:color w:val="000000"/>
        </w:rPr>
        <w:t>, ktorá sa nebude uplatňovať. Zároveň sa navrhuje primerane upraviť súvisiace ustanovenia.</w:t>
      </w:r>
    </w:p>
    <w:p w:rsidR="00727D26" w:rsidRDefault="00727D26" w:rsidP="00727D26">
      <w:pPr>
        <w:tabs>
          <w:tab w:val="left" w:pos="360"/>
        </w:tabs>
        <w:jc w:val="both"/>
      </w:pPr>
    </w:p>
    <w:p w:rsidR="00727D26" w:rsidRPr="009763CC" w:rsidRDefault="00727D26" w:rsidP="00727D26">
      <w:pPr>
        <w:autoSpaceDE w:val="0"/>
        <w:autoSpaceDN w:val="0"/>
        <w:adjustRightInd w:val="0"/>
        <w:jc w:val="both"/>
        <w:rPr>
          <w:b/>
          <w:bCs/>
          <w:color w:val="000000"/>
        </w:rPr>
      </w:pPr>
      <w:r>
        <w:rPr>
          <w:b/>
          <w:bCs/>
          <w:color w:val="000000"/>
        </w:rPr>
        <w:t>K bodu 11</w:t>
      </w:r>
    </w:p>
    <w:p w:rsidR="00727D26" w:rsidRDefault="00727D26" w:rsidP="00727D26">
      <w:pPr>
        <w:tabs>
          <w:tab w:val="left" w:pos="360"/>
        </w:tabs>
        <w:ind w:firstLine="567"/>
        <w:jc w:val="both"/>
      </w:pPr>
      <w:r w:rsidRPr="00F31D8F">
        <w:t xml:space="preserve">Navrhovanou úpravou </w:t>
      </w:r>
      <w:r>
        <w:t>sa rušia platné ale neúčinné ustanovenia upravujúce</w:t>
      </w:r>
      <w:r w:rsidRPr="00F31D8F">
        <w:t xml:space="preserve"> povinnosť označovať </w:t>
      </w:r>
      <w:r>
        <w:t>pohonné látky</w:t>
      </w:r>
      <w:r w:rsidRPr="00F31D8F">
        <w:t xml:space="preserve"> </w:t>
      </w:r>
      <w:r>
        <w:t>(</w:t>
      </w:r>
      <w:r w:rsidRPr="00F31D8F">
        <w:t>motorový benzín a motorovú naftu</w:t>
      </w:r>
      <w:r>
        <w:t>)</w:t>
      </w:r>
      <w:r w:rsidRPr="00F31D8F">
        <w:t xml:space="preserve"> identifikačnou látkou pred ich uvedením do daňového</w:t>
      </w:r>
      <w:r>
        <w:t xml:space="preserve"> voľného obehu na daňovom území, ktoré boli prijaté zákonom             </w:t>
      </w:r>
      <w:r w:rsidR="006A2D1A">
        <w:t xml:space="preserve">     </w:t>
      </w:r>
      <w:r>
        <w:t xml:space="preserve">č. 352/2018 Z. z a ktoré by mali </w:t>
      </w:r>
      <w:r>
        <w:rPr>
          <w:color w:val="000000"/>
        </w:rPr>
        <w:t>nadobudnúť</w:t>
      </w:r>
      <w:r w:rsidRPr="00C44C3D">
        <w:rPr>
          <w:color w:val="000000"/>
        </w:rPr>
        <w:t xml:space="preserve"> účinnosť </w:t>
      </w:r>
      <w:r>
        <w:rPr>
          <w:color w:val="000000"/>
        </w:rPr>
        <w:t>„</w:t>
      </w:r>
      <w:r w:rsidRPr="00C44C3D">
        <w:rPr>
          <w:color w:val="000000"/>
        </w:rPr>
        <w:t xml:space="preserve">prvým dňom kalendárneho mesiaca nasledujúceho po kalendárnom mesiaci, v ktorom </w:t>
      </w:r>
      <w:r w:rsidRPr="00C44C3D">
        <w:rPr>
          <w:color w:val="000000"/>
          <w:shd w:val="clear" w:color="auto" w:fill="FFFFFF"/>
        </w:rPr>
        <w:t>finančné riaditeľstvo uverejnilo na svojom webovom sídle oznámenie o začatí označovania minerálneho oleja</w:t>
      </w:r>
      <w:r>
        <w:rPr>
          <w:color w:val="000000"/>
          <w:shd w:val="clear" w:color="auto" w:fill="FFFFFF"/>
        </w:rPr>
        <w:t>“</w:t>
      </w:r>
      <w:r>
        <w:t>. Predmetné ustanovenia ako vyplýva z doterajšieho aplikačného procesu nie je možné v podmienkach EÚ v plnom rozsahu uplatňovať.</w:t>
      </w:r>
    </w:p>
    <w:p w:rsidR="00727D26" w:rsidRDefault="00727D26" w:rsidP="00727D26">
      <w:pPr>
        <w:autoSpaceDE w:val="0"/>
        <w:autoSpaceDN w:val="0"/>
        <w:adjustRightInd w:val="0"/>
        <w:jc w:val="both"/>
        <w:rPr>
          <w:bCs/>
        </w:rPr>
      </w:pPr>
    </w:p>
    <w:p w:rsidR="00727D26" w:rsidRDefault="00727D26" w:rsidP="00727D26">
      <w:pPr>
        <w:autoSpaceDE w:val="0"/>
        <w:autoSpaceDN w:val="0"/>
        <w:adjustRightInd w:val="0"/>
        <w:jc w:val="both"/>
        <w:rPr>
          <w:b/>
          <w:bCs/>
          <w:color w:val="000000"/>
        </w:rPr>
      </w:pPr>
      <w:r>
        <w:rPr>
          <w:b/>
          <w:bCs/>
          <w:color w:val="000000"/>
        </w:rPr>
        <w:t>K bodu 13</w:t>
      </w:r>
    </w:p>
    <w:p w:rsidR="00727D26" w:rsidRDefault="00727D26" w:rsidP="00727D26">
      <w:pPr>
        <w:tabs>
          <w:tab w:val="left" w:pos="360"/>
        </w:tabs>
        <w:ind w:firstLine="567"/>
        <w:jc w:val="both"/>
      </w:pPr>
      <w:r>
        <w:rPr>
          <w:color w:val="000000"/>
        </w:rPr>
        <w:t xml:space="preserve">Navrhovanou úpravou sa transponuje zo smernice </w:t>
      </w:r>
      <w:r>
        <w:t xml:space="preserve">Rady (EÚ) 2020/262 oslobodenie minerálneho oleja, ktorý bol </w:t>
      </w:r>
      <w:r w:rsidRPr="00F77A0C">
        <w:rPr>
          <w:color w:val="000000"/>
        </w:rPr>
        <w:t xml:space="preserve">prepravený na daňové územie v pozastavení dane ozbrojenými silami iných členských štátov </w:t>
      </w:r>
      <w:r w:rsidRPr="00F77A0C">
        <w:t xml:space="preserve">na použitie týmito ozbrojenými silami </w:t>
      </w:r>
      <w:r w:rsidRPr="00F77A0C">
        <w:rPr>
          <w:color w:val="000000"/>
        </w:rPr>
        <w:t xml:space="preserve">a ich civilnými zamestnancami pri obrannom </w:t>
      </w:r>
      <w:r w:rsidRPr="00F77A0C">
        <w:t>úsilí v rámci spoločnej bezpečnostnej a o</w:t>
      </w:r>
      <w:r>
        <w:t>brannej politiky Európskej únie. Zároveň sa stanovuje, že</w:t>
      </w:r>
      <w:r w:rsidRPr="00F77A0C">
        <w:t xml:space="preserve"> preprava </w:t>
      </w:r>
      <w:r>
        <w:t xml:space="preserve">tohto </w:t>
      </w:r>
      <w:r w:rsidRPr="00F77A0C">
        <w:t xml:space="preserve">minerálneho oleja v pozastavení dane sa uskutoční podľa </w:t>
      </w:r>
      <w:r>
        <w:t xml:space="preserve">ustanovenia </w:t>
      </w:r>
      <w:r w:rsidRPr="00F77A0C">
        <w:t>§ 24 ods. 14</w:t>
      </w:r>
      <w:r>
        <w:t xml:space="preserve"> zákona.</w:t>
      </w:r>
    </w:p>
    <w:p w:rsidR="00727D26" w:rsidRDefault="00727D26" w:rsidP="00727D26">
      <w:pPr>
        <w:autoSpaceDE w:val="0"/>
        <w:autoSpaceDN w:val="0"/>
        <w:adjustRightInd w:val="0"/>
        <w:jc w:val="both"/>
        <w:rPr>
          <w:bCs/>
        </w:rPr>
      </w:pPr>
    </w:p>
    <w:p w:rsidR="00727D26" w:rsidRPr="002B0336" w:rsidRDefault="00727D26" w:rsidP="00727D26">
      <w:pPr>
        <w:autoSpaceDE w:val="0"/>
        <w:autoSpaceDN w:val="0"/>
        <w:adjustRightInd w:val="0"/>
        <w:jc w:val="both"/>
        <w:rPr>
          <w:b/>
          <w:bCs/>
          <w:color w:val="000000"/>
        </w:rPr>
      </w:pPr>
      <w:r>
        <w:rPr>
          <w:b/>
          <w:bCs/>
          <w:color w:val="000000"/>
        </w:rPr>
        <w:t>K bodu 14</w:t>
      </w:r>
    </w:p>
    <w:p w:rsidR="00727D26" w:rsidRDefault="00727D26" w:rsidP="00727D26">
      <w:pPr>
        <w:autoSpaceDE w:val="0"/>
        <w:autoSpaceDN w:val="0"/>
        <w:adjustRightInd w:val="0"/>
        <w:ind w:firstLine="567"/>
        <w:jc w:val="both"/>
      </w:pPr>
      <w:r>
        <w:rPr>
          <w:bCs/>
        </w:rPr>
        <w:t>Navrhovanou úpravou sa stanovuje osobe,</w:t>
      </w:r>
      <w:r w:rsidRPr="00A7769C">
        <w:t xml:space="preserve"> ktorá chce odoberať a používať daňovo zvýhodnený minerálny </w:t>
      </w:r>
      <w:r w:rsidRPr="00594276">
        <w:t>olej p</w:t>
      </w:r>
      <w:r>
        <w:t xml:space="preserve">ovinnosť, </w:t>
      </w:r>
      <w:r w:rsidRPr="00A7769C">
        <w:t xml:space="preserve">požiadať colný úrad o vydanie povolenia na </w:t>
      </w:r>
      <w:r>
        <w:t xml:space="preserve">použitie </w:t>
      </w:r>
      <w:r w:rsidRPr="00A7769C">
        <w:t>daňovo zvýhodneného minerálneho oleja (ďalej len „</w:t>
      </w:r>
      <w:r w:rsidRPr="00D719AC">
        <w:t>povolenie</w:t>
      </w:r>
      <w:r>
        <w:t xml:space="preserve"> na použitie</w:t>
      </w:r>
      <w:r w:rsidRPr="00D719AC">
        <w:t>“)</w:t>
      </w:r>
      <w:r>
        <w:t xml:space="preserve"> a o vydanie odberného poukazu</w:t>
      </w:r>
      <w:r w:rsidRPr="00D719AC">
        <w:t xml:space="preserve">. Podľa </w:t>
      </w:r>
      <w:r>
        <w:t>do</w:t>
      </w:r>
      <w:r w:rsidRPr="00D719AC">
        <w:t>teraz pla</w:t>
      </w:r>
      <w:r>
        <w:t>t</w:t>
      </w:r>
      <w:r w:rsidRPr="00D719AC">
        <w:t>ného znenia § 11</w:t>
      </w:r>
      <w:r>
        <w:t xml:space="preserve"> zákona</w:t>
      </w:r>
      <w:r w:rsidRPr="00D719AC">
        <w:t xml:space="preserve"> je takáto osoba povinná</w:t>
      </w:r>
      <w:r>
        <w:t xml:space="preserve"> požiadať colný úrad o zaradenie</w:t>
      </w:r>
      <w:r w:rsidRPr="00D719AC">
        <w:t xml:space="preserve"> do evidencie užívateľských podnikov a o vydanie odberného poukazu. Administrácia spojená s </w:t>
      </w:r>
      <w:r>
        <w:t>vydáva</w:t>
      </w:r>
      <w:r w:rsidRPr="00D719AC">
        <w:t xml:space="preserve">ním </w:t>
      </w:r>
      <w:r>
        <w:t>odberných poukaz</w:t>
      </w:r>
      <w:r w:rsidRPr="00D719AC">
        <w:t>ov v listi</w:t>
      </w:r>
      <w:r>
        <w:t>n</w:t>
      </w:r>
      <w:r w:rsidRPr="00D719AC">
        <w:t xml:space="preserve">nej </w:t>
      </w:r>
      <w:r>
        <w:t>forme</w:t>
      </w:r>
      <w:r w:rsidRPr="00D719AC">
        <w:t xml:space="preserve"> a s</w:t>
      </w:r>
      <w:r>
        <w:t xml:space="preserve"> fyzickým </w:t>
      </w:r>
      <w:r w:rsidRPr="00D719AC">
        <w:t>odpisovaním spot</w:t>
      </w:r>
      <w:r>
        <w:t>reby daňovo zvýh</w:t>
      </w:r>
      <w:r w:rsidRPr="00D719AC">
        <w:t>odneného minerálneho oleja na o</w:t>
      </w:r>
      <w:r>
        <w:t xml:space="preserve">dpisových listoch </w:t>
      </w:r>
      <w:r w:rsidRPr="00D719AC">
        <w:t>odberného po</w:t>
      </w:r>
      <w:r>
        <w:t>u</w:t>
      </w:r>
      <w:r w:rsidRPr="00D719AC">
        <w:t>kazu sa po 16</w:t>
      </w:r>
      <w:r>
        <w:t xml:space="preserve"> rokoch uplatňovania javí</w:t>
      </w:r>
      <w:r w:rsidRPr="00D719AC">
        <w:t xml:space="preserve"> ako pr</w:t>
      </w:r>
      <w:r>
        <w:t>ekonan</w:t>
      </w:r>
      <w:r w:rsidRPr="00D719AC">
        <w:t>á</w:t>
      </w:r>
      <w:r>
        <w:t>.</w:t>
      </w:r>
      <w:r w:rsidRPr="00D719AC">
        <w:t xml:space="preserve"> </w:t>
      </w:r>
      <w:r>
        <w:t>Z uvedeného</w:t>
      </w:r>
      <w:r w:rsidRPr="00D719AC">
        <w:t xml:space="preserve"> </w:t>
      </w:r>
      <w:r>
        <w:t>dô</w:t>
      </w:r>
      <w:r w:rsidRPr="00D719AC">
        <w:t xml:space="preserve">vodu sa navrhuje </w:t>
      </w:r>
      <w:r>
        <w:t>admi</w:t>
      </w:r>
      <w:r w:rsidRPr="00D719AC">
        <w:t>nistratívne jednoduchší sy</w:t>
      </w:r>
      <w:r>
        <w:t>s</w:t>
      </w:r>
      <w:r w:rsidRPr="00D719AC">
        <w:t>t</w:t>
      </w:r>
      <w:r>
        <w:t>ém evidencie spotreby daňovo zvýhodneného minerálneho oleja užívateľským podn</w:t>
      </w:r>
      <w:r w:rsidRPr="00D719AC">
        <w:t>iko</w:t>
      </w:r>
      <w:r>
        <w:t xml:space="preserve">m, a to vydaním povolenia na použitie (v elektronickej forme) po splnení zákonom stanovených podmienok a odberného poukazu (v elektronickej forme) bez odpisových listov. </w:t>
      </w:r>
      <w:r w:rsidRPr="00D719AC">
        <w:t>Navrhovaná úprava prispeje k zníženiu administratívnej záťaže daňových subjektov ako i správcu dane.</w:t>
      </w:r>
    </w:p>
    <w:p w:rsidR="00727D26" w:rsidRPr="00D33815" w:rsidRDefault="00727D26" w:rsidP="00727D26">
      <w:pPr>
        <w:autoSpaceDE w:val="0"/>
        <w:autoSpaceDN w:val="0"/>
        <w:adjustRightInd w:val="0"/>
        <w:ind w:firstLine="567"/>
        <w:jc w:val="both"/>
      </w:pPr>
      <w:r>
        <w:t>Zároveň sa navrhuje doplniť daňovo zvýhodnený minerálny olej o LPG, na ktoré bude možné uplatniť daňovo zvýhodnenú sadzbu dane 0 eur/1 000 kg, ak bude použitý ako palivo na výrobu tepla. Použitie daňovo zvýhodnenej sadzby dane na LPG bude možné len, ak osoba, ktorá bude chcieť použiť LPG ako palivo na výrobu tepla, bude užívateľským podnikom, s výnimkou fyzických osôb v domácnosti, ktoré používajú LPG ako palivo na výrobu tepla a ohrev teplej úžitkovej vody, za ktorých bude plniť povinnosti užívateľského podniku dodávateľ (predajca) tohto LPG.</w:t>
      </w:r>
    </w:p>
    <w:p w:rsidR="00727D26" w:rsidRPr="00D33815" w:rsidRDefault="00727D26" w:rsidP="00727D26">
      <w:pPr>
        <w:autoSpaceDE w:val="0"/>
        <w:autoSpaceDN w:val="0"/>
        <w:adjustRightInd w:val="0"/>
        <w:ind w:firstLine="567"/>
        <w:jc w:val="both"/>
      </w:pPr>
      <w:r>
        <w:lastRenderedPageBreak/>
        <w:t>Taktiež nebudú užívateľským podnikom osoby, ktoré nakúpia LPG v tlakových nádobách zodpovedajúcich technickým požiadavkám podľa osobitného predpisu určeného na konečnú spotrebu ako palivo na výrobu tepla, za ktorých bude plniť povinnosti užívateľského podniku dodávateľ (predajca) tohto LPG, ktorý má technické zariadenie na plnenie LPG do tlakových nádob a na túto činnosť má tiež vydané povolenie ÚRSO.</w:t>
      </w:r>
    </w:p>
    <w:p w:rsidR="00727D26" w:rsidRPr="00D63355" w:rsidRDefault="00727D26" w:rsidP="00727D26">
      <w:pPr>
        <w:autoSpaceDE w:val="0"/>
        <w:autoSpaceDN w:val="0"/>
        <w:adjustRightInd w:val="0"/>
        <w:jc w:val="both"/>
        <w:rPr>
          <w:bCs/>
          <w:color w:val="000000"/>
        </w:rPr>
      </w:pPr>
    </w:p>
    <w:p w:rsidR="00727D26" w:rsidRDefault="00727D26" w:rsidP="00727D26">
      <w:pPr>
        <w:autoSpaceDE w:val="0"/>
        <w:autoSpaceDN w:val="0"/>
        <w:adjustRightInd w:val="0"/>
        <w:jc w:val="both"/>
        <w:rPr>
          <w:bCs/>
        </w:rPr>
      </w:pPr>
      <w:r>
        <w:rPr>
          <w:b/>
          <w:bCs/>
          <w:color w:val="000000"/>
        </w:rPr>
        <w:t>K bodom 15 a 19</w:t>
      </w:r>
    </w:p>
    <w:p w:rsidR="00727D26" w:rsidRPr="00E936B3" w:rsidRDefault="00727D26" w:rsidP="00727D26">
      <w:pPr>
        <w:autoSpaceDE w:val="0"/>
        <w:autoSpaceDN w:val="0"/>
        <w:adjustRightInd w:val="0"/>
        <w:ind w:firstLine="567"/>
        <w:jc w:val="both"/>
        <w:rPr>
          <w:bCs/>
          <w:color w:val="000000"/>
        </w:rPr>
      </w:pPr>
      <w:r>
        <w:rPr>
          <w:bCs/>
          <w:color w:val="000000"/>
        </w:rPr>
        <w:t xml:space="preserve">Navrhovanou úpravou sa stanovuje vznik daňovej povinnosti </w:t>
      </w:r>
      <w:r>
        <w:rPr>
          <w:color w:val="000000"/>
        </w:rPr>
        <w:t>pri prijatí</w:t>
      </w:r>
      <w:r w:rsidRPr="00F67F6D">
        <w:rPr>
          <w:color w:val="000000"/>
        </w:rPr>
        <w:t xml:space="preserve"> minerálneho oleja </w:t>
      </w:r>
      <w:r>
        <w:rPr>
          <w:color w:val="000000"/>
        </w:rPr>
        <w:t>zahraničným zástupcom</w:t>
      </w:r>
      <w:r w:rsidRPr="00F67F6D">
        <w:rPr>
          <w:color w:val="000000"/>
        </w:rPr>
        <w:t xml:space="preserve"> alebo ozbrojenými silami iných štátov, ktoré sú st</w:t>
      </w:r>
      <w:r>
        <w:rPr>
          <w:color w:val="000000"/>
        </w:rPr>
        <w:t xml:space="preserve">ranami Severoatlantickej </w:t>
      </w:r>
      <w:r w:rsidRPr="008B39E6">
        <w:rPr>
          <w:color w:val="000000"/>
        </w:rPr>
        <w:t>zmluvy na použitie týmito ozbrojenými silami a ich civilnými zamestnancami v súvislosti s a</w:t>
      </w:r>
      <w:r w:rsidRPr="00F67F6D">
        <w:rPr>
          <w:color w:val="000000"/>
        </w:rPr>
        <w:t xml:space="preserve">ktivitami podľa medzinárodnej zmluvy, ak na takéto prijatie nenadväzuje oslobodenie od dane </w:t>
      </w:r>
      <w:r w:rsidRPr="00F67F6D">
        <w:t>alebo ozbrojenými silami iného členského štátu a ich civilnými zamestnancami na použitie pri obrannom úsilí v rámci spoločnej bezpečnostnej a obrannej politiky Európskej únie, ak na takéto prijatie nenadväzuje oslobodenie od dane</w:t>
      </w:r>
      <w:r w:rsidRPr="00F67F6D">
        <w:rPr>
          <w:color w:val="000000"/>
        </w:rPr>
        <w:t>.</w:t>
      </w:r>
      <w:r>
        <w:rPr>
          <w:color w:val="000000"/>
        </w:rPr>
        <w:t xml:space="preserve"> </w:t>
      </w:r>
      <w:r>
        <w:rPr>
          <w:bCs/>
        </w:rPr>
        <w:t>Zároveň sa stanovuje platiteľ dane.</w:t>
      </w:r>
    </w:p>
    <w:p w:rsidR="00727D26" w:rsidRPr="00E936B3" w:rsidRDefault="00727D26" w:rsidP="00727D26">
      <w:pPr>
        <w:autoSpaceDE w:val="0"/>
        <w:autoSpaceDN w:val="0"/>
        <w:adjustRightInd w:val="0"/>
        <w:jc w:val="both"/>
        <w:rPr>
          <w:bCs/>
          <w:color w:val="000000"/>
        </w:rPr>
      </w:pPr>
    </w:p>
    <w:p w:rsidR="00727D26" w:rsidRDefault="00727D26" w:rsidP="00727D26">
      <w:pPr>
        <w:autoSpaceDE w:val="0"/>
        <w:autoSpaceDN w:val="0"/>
        <w:adjustRightInd w:val="0"/>
        <w:jc w:val="both"/>
        <w:rPr>
          <w:bCs/>
        </w:rPr>
      </w:pPr>
      <w:r>
        <w:rPr>
          <w:b/>
          <w:bCs/>
          <w:color w:val="000000"/>
        </w:rPr>
        <w:t>K bodom 16 a 20</w:t>
      </w:r>
    </w:p>
    <w:p w:rsidR="00727D26" w:rsidRDefault="00727D26" w:rsidP="00727D26">
      <w:pPr>
        <w:tabs>
          <w:tab w:val="left" w:pos="567"/>
        </w:tabs>
        <w:autoSpaceDE w:val="0"/>
        <w:autoSpaceDN w:val="0"/>
        <w:adjustRightInd w:val="0"/>
        <w:ind w:firstLine="567"/>
        <w:jc w:val="both"/>
        <w:rPr>
          <w:bCs/>
        </w:rPr>
      </w:pPr>
      <w:r>
        <w:rPr>
          <w:bCs/>
        </w:rPr>
        <w:t>Legislatívno-technická úprava stanovujúca vznik daňovej povinnosti daňovo zvýhodneného LPG, ktorý bol požitý ako pohonná látka. Zároveň sa stanovuje platiteľ dane.</w:t>
      </w:r>
    </w:p>
    <w:p w:rsidR="00727D26" w:rsidRDefault="00727D26" w:rsidP="00727D26">
      <w:pPr>
        <w:autoSpaceDE w:val="0"/>
        <w:autoSpaceDN w:val="0"/>
        <w:adjustRightInd w:val="0"/>
        <w:jc w:val="both"/>
        <w:rPr>
          <w:bCs/>
        </w:rPr>
      </w:pPr>
    </w:p>
    <w:p w:rsidR="00727D26" w:rsidRDefault="00727D26" w:rsidP="00727D26">
      <w:pPr>
        <w:autoSpaceDE w:val="0"/>
        <w:autoSpaceDN w:val="0"/>
        <w:adjustRightInd w:val="0"/>
        <w:jc w:val="both"/>
        <w:rPr>
          <w:bCs/>
        </w:rPr>
      </w:pPr>
      <w:r>
        <w:rPr>
          <w:b/>
          <w:bCs/>
          <w:color w:val="000000"/>
        </w:rPr>
        <w:t>K bodom 17 a 21</w:t>
      </w:r>
    </w:p>
    <w:p w:rsidR="00727D26" w:rsidRDefault="00727D26" w:rsidP="00727D26">
      <w:pPr>
        <w:autoSpaceDE w:val="0"/>
        <w:autoSpaceDN w:val="0"/>
        <w:adjustRightInd w:val="0"/>
        <w:ind w:firstLine="567"/>
        <w:jc w:val="both"/>
        <w:rPr>
          <w:bCs/>
        </w:rPr>
      </w:pPr>
      <w:r>
        <w:t>Navrhovaná úprava stanovuje vznik daňovej povinnosti mazacích olejo</w:t>
      </w:r>
      <w:r w:rsidRPr="00F67F6D">
        <w:t>v</w:t>
      </w:r>
      <w:r>
        <w:t xml:space="preserve"> a ostatných olejov na deň ich v</w:t>
      </w:r>
      <w:r w:rsidRPr="00F67F6D">
        <w:t>yloženia, preloženia, prečerpania</w:t>
      </w:r>
      <w:r>
        <w:t>,</w:t>
      </w:r>
      <w:r w:rsidRPr="00F67F6D">
        <w:t xml:space="preserve"> </w:t>
      </w:r>
      <w:r>
        <w:t>ktoré</w:t>
      </w:r>
      <w:r w:rsidRPr="00F67F6D">
        <w:t xml:space="preserve"> bol</w:t>
      </w:r>
      <w:r>
        <w:t>i uvedené</w:t>
      </w:r>
      <w:r w:rsidRPr="00F67F6D">
        <w:t xml:space="preserve"> do daňového voľného obehu </w:t>
      </w:r>
      <w:r>
        <w:t>na území iného členského štátu</w:t>
      </w:r>
      <w:r w:rsidRPr="00F67F6D">
        <w:t xml:space="preserve"> a </w:t>
      </w:r>
      <w:r>
        <w:t>sú prepravované</w:t>
      </w:r>
      <w:r w:rsidRPr="00F67F6D">
        <w:t xml:space="preserve"> na podnikateľské účely cez daňové územie </w:t>
      </w:r>
      <w:r>
        <w:t>na územie</w:t>
      </w:r>
      <w:r w:rsidRPr="00F67F6D">
        <w:t xml:space="preserve"> iného členského štátu alebo </w:t>
      </w:r>
      <w:r>
        <w:t>na deň</w:t>
      </w:r>
      <w:r w:rsidRPr="00F67F6D">
        <w:t xml:space="preserve"> keď sa vymení motorový dopravný pros</w:t>
      </w:r>
      <w:r>
        <w:t>triedok, na ktorom sa prepravujú</w:t>
      </w:r>
      <w:r w:rsidRPr="00F67F6D">
        <w:t xml:space="preserve"> </w:t>
      </w:r>
      <w:r>
        <w:t>tieto minerálne</w:t>
      </w:r>
      <w:r w:rsidRPr="00F67F6D">
        <w:t xml:space="preserve"> olej</w:t>
      </w:r>
      <w:r>
        <w:t>e</w:t>
      </w:r>
      <w:r w:rsidRPr="00F67F6D">
        <w:t>, okrem vyloženia, preloženia, prečerpania alebo výmeny motorového dopravného prostriedku z dôvodu vyššej moci</w:t>
      </w:r>
      <w:r>
        <w:t>.</w:t>
      </w:r>
      <w:r>
        <w:rPr>
          <w:bCs/>
        </w:rPr>
        <w:t xml:space="preserve"> Zároveň sa stanovuje platiteľ dane.</w:t>
      </w:r>
    </w:p>
    <w:p w:rsidR="00727D26" w:rsidRDefault="00727D26" w:rsidP="00727D26">
      <w:pPr>
        <w:autoSpaceDE w:val="0"/>
        <w:autoSpaceDN w:val="0"/>
        <w:adjustRightInd w:val="0"/>
        <w:jc w:val="both"/>
        <w:rPr>
          <w:bCs/>
        </w:rPr>
      </w:pPr>
    </w:p>
    <w:p w:rsidR="00727D26" w:rsidRDefault="00727D26" w:rsidP="00727D26">
      <w:pPr>
        <w:autoSpaceDE w:val="0"/>
        <w:autoSpaceDN w:val="0"/>
        <w:adjustRightInd w:val="0"/>
        <w:jc w:val="both"/>
        <w:rPr>
          <w:bCs/>
        </w:rPr>
      </w:pPr>
      <w:r>
        <w:rPr>
          <w:b/>
          <w:bCs/>
          <w:color w:val="000000"/>
        </w:rPr>
        <w:t>K bodom 18 a 22</w:t>
      </w:r>
    </w:p>
    <w:p w:rsidR="00727D26" w:rsidRPr="00727D26" w:rsidRDefault="00727D26" w:rsidP="00727D26">
      <w:pPr>
        <w:autoSpaceDE w:val="0"/>
        <w:autoSpaceDN w:val="0"/>
        <w:adjustRightInd w:val="0"/>
        <w:ind w:firstLine="567"/>
        <w:jc w:val="both"/>
        <w:rPr>
          <w:bCs/>
        </w:rPr>
      </w:pPr>
      <w:r>
        <w:t xml:space="preserve">Touto navrhovanou úpravou sa stanovuje vznik daňovej povinnosti každého </w:t>
      </w:r>
      <w:r w:rsidRPr="00D55912">
        <w:t>minerálneho oleja na daňovom území na podnikateľské účely uvedeného do daňového voľného obehu na území iné</w:t>
      </w:r>
      <w:r>
        <w:t xml:space="preserve">ho členského štátu na deň jeho </w:t>
      </w:r>
      <w:r w:rsidRPr="00D55912">
        <w:t>prijatia</w:t>
      </w:r>
      <w:r>
        <w:t xml:space="preserve">. Súčasne sa stanovuje vznik daňovej povinnosti, </w:t>
      </w:r>
      <w:r w:rsidRPr="00D55912">
        <w:t xml:space="preserve">ak nie je známy deň prepravenia tohto minerálneho oleja na daňové </w:t>
      </w:r>
      <w:r w:rsidRPr="00727D26">
        <w:t xml:space="preserve">územie na podnikateľské účely. </w:t>
      </w:r>
      <w:r w:rsidRPr="00727D26">
        <w:rPr>
          <w:bCs/>
        </w:rPr>
        <w:t>Tiež sa primerane stanovuje platiteľ dane</w:t>
      </w:r>
      <w:r w:rsidRPr="00727D26">
        <w:rPr>
          <w:color w:val="000000"/>
        </w:rPr>
        <w:t>.</w:t>
      </w:r>
    </w:p>
    <w:p w:rsidR="00727D26" w:rsidRPr="00727D26" w:rsidRDefault="00727D26" w:rsidP="00727D26">
      <w:pPr>
        <w:autoSpaceDE w:val="0"/>
        <w:autoSpaceDN w:val="0"/>
        <w:adjustRightInd w:val="0"/>
        <w:jc w:val="both"/>
        <w:rPr>
          <w:bCs/>
        </w:rPr>
      </w:pPr>
    </w:p>
    <w:p w:rsidR="00727D26" w:rsidRPr="00727D26" w:rsidRDefault="00727D26" w:rsidP="00727D26">
      <w:pPr>
        <w:autoSpaceDE w:val="0"/>
        <w:autoSpaceDN w:val="0"/>
        <w:adjustRightInd w:val="0"/>
        <w:jc w:val="both"/>
        <w:rPr>
          <w:b/>
          <w:bCs/>
        </w:rPr>
      </w:pPr>
      <w:r w:rsidRPr="00727D26">
        <w:rPr>
          <w:b/>
          <w:bCs/>
        </w:rPr>
        <w:t>K bodu 23</w:t>
      </w:r>
    </w:p>
    <w:p w:rsidR="00727D26" w:rsidRPr="00727D26" w:rsidRDefault="00727D26" w:rsidP="00727D26">
      <w:pPr>
        <w:pStyle w:val="Odsekzoznamu"/>
        <w:ind w:left="0" w:firstLine="567"/>
        <w:jc w:val="both"/>
        <w:rPr>
          <w:rFonts w:ascii="Times New Roman" w:hAnsi="Times New Roman"/>
          <w:sz w:val="24"/>
          <w:szCs w:val="24"/>
        </w:rPr>
      </w:pPr>
      <w:r w:rsidRPr="00727D26">
        <w:rPr>
          <w:rFonts w:ascii="Times New Roman" w:hAnsi="Times New Roman"/>
          <w:sz w:val="24"/>
          <w:szCs w:val="24"/>
        </w:rPr>
        <w:t>Navrhovanou úpravou sa stanovuje platiteľovi dane, ktorý má ako prvý na daňovom území v držbe prepravený minerálny olej uvedený do daňového voľného obehu na území iného členského štátu na podnikateľské účely, alebo ktorý takýto minerálny olej ako prvý použil, ak nie je známy deň prepravenia tohto minerálneho oleja na daňové územie a tento platiteľ dane nemá sídlo alebo trvalý pobyt na daňovom území, podať daňové priznanie a zaplatiť daň Colnému úradu Bratislava, a to podľa sadzieb dane platných v deň prepravenia alebo použitia minerálneho oleja.</w:t>
      </w:r>
    </w:p>
    <w:p w:rsidR="00727D26" w:rsidRDefault="00727D26" w:rsidP="00727D26">
      <w:pPr>
        <w:pStyle w:val="Odsekzoznamu"/>
        <w:spacing w:after="0" w:line="240" w:lineRule="auto"/>
        <w:ind w:left="0"/>
        <w:jc w:val="both"/>
        <w:rPr>
          <w:rFonts w:ascii="Times New Roman" w:hAnsi="Times New Roman"/>
          <w:sz w:val="24"/>
          <w:szCs w:val="24"/>
        </w:rPr>
      </w:pPr>
    </w:p>
    <w:p w:rsidR="00274717" w:rsidRDefault="00274717" w:rsidP="00727D26">
      <w:pPr>
        <w:pStyle w:val="Odsekzoznamu"/>
        <w:spacing w:after="0" w:line="240" w:lineRule="auto"/>
        <w:ind w:left="0"/>
        <w:jc w:val="both"/>
        <w:rPr>
          <w:rFonts w:ascii="Times New Roman" w:hAnsi="Times New Roman"/>
          <w:sz w:val="24"/>
          <w:szCs w:val="24"/>
        </w:rPr>
      </w:pPr>
    </w:p>
    <w:p w:rsidR="00274717" w:rsidRDefault="00274717" w:rsidP="00727D26">
      <w:pPr>
        <w:pStyle w:val="Odsekzoznamu"/>
        <w:spacing w:after="0" w:line="240" w:lineRule="auto"/>
        <w:ind w:left="0"/>
        <w:jc w:val="both"/>
        <w:rPr>
          <w:rFonts w:ascii="Times New Roman" w:hAnsi="Times New Roman"/>
          <w:sz w:val="24"/>
          <w:szCs w:val="24"/>
        </w:rPr>
      </w:pPr>
    </w:p>
    <w:p w:rsidR="00274717" w:rsidRDefault="00274717" w:rsidP="00727D26">
      <w:pPr>
        <w:pStyle w:val="Odsekzoznamu"/>
        <w:spacing w:after="0" w:line="240" w:lineRule="auto"/>
        <w:ind w:left="0"/>
        <w:jc w:val="both"/>
        <w:rPr>
          <w:rFonts w:ascii="Times New Roman" w:hAnsi="Times New Roman"/>
          <w:sz w:val="24"/>
          <w:szCs w:val="24"/>
        </w:rPr>
      </w:pPr>
    </w:p>
    <w:p w:rsidR="006A2D1A" w:rsidRDefault="006A2D1A" w:rsidP="00727D26">
      <w:pPr>
        <w:pStyle w:val="Odsekzoznamu"/>
        <w:spacing w:after="0" w:line="240" w:lineRule="auto"/>
        <w:ind w:left="0"/>
        <w:jc w:val="both"/>
        <w:rPr>
          <w:rFonts w:ascii="Times New Roman" w:hAnsi="Times New Roman"/>
          <w:sz w:val="24"/>
          <w:szCs w:val="24"/>
        </w:rPr>
      </w:pPr>
    </w:p>
    <w:p w:rsidR="006A2D1A" w:rsidRPr="00727D26" w:rsidRDefault="006A2D1A" w:rsidP="00727D26">
      <w:pPr>
        <w:pStyle w:val="Odsekzoznamu"/>
        <w:spacing w:after="0" w:line="240" w:lineRule="auto"/>
        <w:ind w:left="0"/>
        <w:jc w:val="both"/>
        <w:rPr>
          <w:rFonts w:ascii="Times New Roman" w:hAnsi="Times New Roman"/>
          <w:sz w:val="24"/>
          <w:szCs w:val="24"/>
        </w:rPr>
      </w:pPr>
    </w:p>
    <w:p w:rsidR="00727D26" w:rsidRPr="00727D26" w:rsidRDefault="00727D26" w:rsidP="00727D26">
      <w:pPr>
        <w:autoSpaceDE w:val="0"/>
        <w:autoSpaceDN w:val="0"/>
        <w:adjustRightInd w:val="0"/>
        <w:jc w:val="both"/>
        <w:rPr>
          <w:b/>
          <w:bCs/>
          <w:color w:val="000000"/>
        </w:rPr>
      </w:pPr>
      <w:r w:rsidRPr="00727D26">
        <w:rPr>
          <w:b/>
          <w:bCs/>
        </w:rPr>
        <w:lastRenderedPageBreak/>
        <w:t xml:space="preserve">K bodom 24, 26, 27 </w:t>
      </w:r>
      <w:r w:rsidRPr="00727D26">
        <w:rPr>
          <w:b/>
          <w:bCs/>
          <w:color w:val="000000"/>
        </w:rPr>
        <w:t>a</w:t>
      </w:r>
      <w:r>
        <w:rPr>
          <w:b/>
          <w:bCs/>
          <w:color w:val="000000"/>
        </w:rPr>
        <w:t> </w:t>
      </w:r>
      <w:r w:rsidRPr="00727D26">
        <w:rPr>
          <w:b/>
          <w:bCs/>
          <w:color w:val="000000"/>
        </w:rPr>
        <w:t>97</w:t>
      </w:r>
    </w:p>
    <w:p w:rsidR="00727D26" w:rsidRDefault="00727D26" w:rsidP="00727D26">
      <w:pPr>
        <w:pStyle w:val="Odsekzoznamu"/>
        <w:ind w:left="0" w:firstLine="567"/>
        <w:jc w:val="both"/>
        <w:rPr>
          <w:rFonts w:ascii="Times New Roman" w:hAnsi="Times New Roman"/>
          <w:bCs/>
          <w:sz w:val="24"/>
          <w:szCs w:val="24"/>
        </w:rPr>
      </w:pPr>
      <w:r w:rsidRPr="00727D26">
        <w:rPr>
          <w:rFonts w:ascii="Times New Roman" w:hAnsi="Times New Roman"/>
          <w:bCs/>
          <w:sz w:val="24"/>
          <w:szCs w:val="24"/>
        </w:rPr>
        <w:t>Legislatívno-technické úpravy, ktorými sa vypúšťajú nadbytočné ustanovenia. Úpravy uvedené v bodoch 26 a 27 majú rozdielnu účinnosť.</w:t>
      </w:r>
    </w:p>
    <w:p w:rsidR="00727D26" w:rsidRPr="00727D26" w:rsidRDefault="00727D26" w:rsidP="00274717">
      <w:pPr>
        <w:pStyle w:val="Odsekzoznamu"/>
        <w:spacing w:after="0" w:line="240" w:lineRule="auto"/>
        <w:ind w:left="0"/>
        <w:jc w:val="both"/>
        <w:rPr>
          <w:rFonts w:ascii="Times New Roman" w:hAnsi="Times New Roman"/>
          <w:bCs/>
          <w:sz w:val="24"/>
          <w:szCs w:val="24"/>
        </w:rPr>
      </w:pPr>
    </w:p>
    <w:p w:rsidR="00727D26" w:rsidRPr="00727D26" w:rsidRDefault="00727D26" w:rsidP="00274717">
      <w:pPr>
        <w:autoSpaceDE w:val="0"/>
        <w:autoSpaceDN w:val="0"/>
        <w:adjustRightInd w:val="0"/>
        <w:jc w:val="both"/>
        <w:rPr>
          <w:b/>
          <w:bCs/>
        </w:rPr>
      </w:pPr>
      <w:r w:rsidRPr="00727D26">
        <w:rPr>
          <w:b/>
          <w:bCs/>
        </w:rPr>
        <w:t>K bodu 25</w:t>
      </w:r>
    </w:p>
    <w:p w:rsidR="00727D26" w:rsidRPr="00727D26" w:rsidRDefault="00727D26" w:rsidP="00727D26">
      <w:pPr>
        <w:autoSpaceDE w:val="0"/>
        <w:autoSpaceDN w:val="0"/>
        <w:adjustRightInd w:val="0"/>
        <w:ind w:firstLine="567"/>
        <w:jc w:val="both"/>
        <w:rPr>
          <w:bCs/>
        </w:rPr>
      </w:pPr>
      <w:r w:rsidRPr="00727D26">
        <w:rPr>
          <w:bCs/>
        </w:rPr>
        <w:t>Legislatívno-technická úprava upravujúca vrátenie dane užívateľskému podniku, ktorý odobral zdanený minerálny olej na účely oslobodené od dane uvedené v povolení na použitie daňovo zvýhodneného minerálneho oleja. Zároveň sa stanovuje obdobie, za ktoré si má tento užívateľský podnik uplatniť vrátenie dane.</w:t>
      </w:r>
    </w:p>
    <w:p w:rsidR="00727D26" w:rsidRPr="00727D26" w:rsidRDefault="00727D26" w:rsidP="00727D26">
      <w:pPr>
        <w:autoSpaceDE w:val="0"/>
        <w:autoSpaceDN w:val="0"/>
        <w:adjustRightInd w:val="0"/>
        <w:jc w:val="both"/>
        <w:rPr>
          <w:bCs/>
        </w:rPr>
      </w:pPr>
    </w:p>
    <w:p w:rsidR="00727D26" w:rsidRPr="00727D26" w:rsidRDefault="00727D26" w:rsidP="00727D26">
      <w:pPr>
        <w:autoSpaceDE w:val="0"/>
        <w:autoSpaceDN w:val="0"/>
        <w:adjustRightInd w:val="0"/>
        <w:jc w:val="both"/>
        <w:rPr>
          <w:b/>
          <w:bCs/>
        </w:rPr>
      </w:pPr>
      <w:r w:rsidRPr="00727D26">
        <w:rPr>
          <w:b/>
          <w:bCs/>
        </w:rPr>
        <w:t>K bodu 28</w:t>
      </w:r>
    </w:p>
    <w:p w:rsidR="00727D26" w:rsidRPr="00727D26" w:rsidRDefault="00727D26" w:rsidP="00727D26">
      <w:pPr>
        <w:pStyle w:val="Odsekzoznamu"/>
        <w:spacing w:after="0"/>
        <w:ind w:left="0" w:firstLine="567"/>
        <w:jc w:val="both"/>
        <w:rPr>
          <w:rFonts w:ascii="Times New Roman" w:hAnsi="Times New Roman"/>
          <w:sz w:val="24"/>
          <w:szCs w:val="24"/>
        </w:rPr>
      </w:pPr>
      <w:r w:rsidRPr="00727D26">
        <w:rPr>
          <w:rFonts w:ascii="Times New Roman" w:hAnsi="Times New Roman"/>
          <w:color w:val="000000"/>
          <w:sz w:val="24"/>
          <w:szCs w:val="24"/>
        </w:rPr>
        <w:t xml:space="preserve">V súlade so smernicou </w:t>
      </w:r>
      <w:r w:rsidRPr="00727D26">
        <w:rPr>
          <w:rFonts w:ascii="Times New Roman" w:hAnsi="Times New Roman"/>
          <w:sz w:val="24"/>
          <w:szCs w:val="24"/>
        </w:rPr>
        <w:t>Rady (EÚ) 2020/262 sa navrhuje, že pri dodaní minerálneho oleja v daňovom voľnom obehu na územie iného členského štátu na podnikateľské účely, ktorý bol odoslaný z daňového územia schváleným odosielateľom sa správa o prijatí alebo písomná správa o prijatí považuje za dostatočný dôkaz, že schválený odosielateľ splnil všetky podmienky na vrátenie dane colným úradom. Zároveň sa stanovuje, že pri dodaní mazacích olejov zdanených sadzbou dane 100 eur/1 000 kg na územie iného členského štátu na podnikateľské účely, ktorý nepodlieha postupu pri preprave, je možné vrátiť daň po predložení potvrdenia správcu dane v členskom štáte dodania tohto minerálneho oleja o vysporiadaní dane v tomto členskom štáte.</w:t>
      </w:r>
    </w:p>
    <w:p w:rsidR="00727D26" w:rsidRPr="00727D26" w:rsidRDefault="00727D26" w:rsidP="00727D26">
      <w:pPr>
        <w:autoSpaceDE w:val="0"/>
        <w:autoSpaceDN w:val="0"/>
        <w:adjustRightInd w:val="0"/>
        <w:jc w:val="both"/>
        <w:rPr>
          <w:bCs/>
        </w:rPr>
      </w:pPr>
    </w:p>
    <w:p w:rsidR="00727D26" w:rsidRPr="00727D26" w:rsidRDefault="00727D26" w:rsidP="00727D26">
      <w:pPr>
        <w:autoSpaceDE w:val="0"/>
        <w:autoSpaceDN w:val="0"/>
        <w:adjustRightInd w:val="0"/>
        <w:jc w:val="both"/>
        <w:rPr>
          <w:b/>
          <w:bCs/>
        </w:rPr>
      </w:pPr>
      <w:r w:rsidRPr="00727D26">
        <w:rPr>
          <w:b/>
          <w:bCs/>
        </w:rPr>
        <w:t>K bodu 29</w:t>
      </w:r>
    </w:p>
    <w:p w:rsidR="00727D26" w:rsidRPr="00727D26" w:rsidRDefault="00727D26" w:rsidP="00727D26">
      <w:pPr>
        <w:autoSpaceDE w:val="0"/>
        <w:autoSpaceDN w:val="0"/>
        <w:adjustRightInd w:val="0"/>
        <w:ind w:firstLine="567"/>
        <w:jc w:val="both"/>
        <w:rPr>
          <w:bCs/>
        </w:rPr>
      </w:pPr>
      <w:r w:rsidRPr="00727D26">
        <w:rPr>
          <w:bCs/>
        </w:rPr>
        <w:t>Legislatívno-technická úprava, ktorou sa aktualizujú doklady potvrdzujúce ukončenie vývozu minerálneho oleja.</w:t>
      </w:r>
    </w:p>
    <w:p w:rsidR="00727D26" w:rsidRPr="00727D26" w:rsidRDefault="00727D26" w:rsidP="00727D26">
      <w:pPr>
        <w:autoSpaceDE w:val="0"/>
        <w:autoSpaceDN w:val="0"/>
        <w:adjustRightInd w:val="0"/>
        <w:jc w:val="both"/>
        <w:rPr>
          <w:bCs/>
        </w:rPr>
      </w:pPr>
    </w:p>
    <w:p w:rsidR="00727D26" w:rsidRPr="00727D26" w:rsidRDefault="00727D26" w:rsidP="00727D26">
      <w:pPr>
        <w:autoSpaceDE w:val="0"/>
        <w:autoSpaceDN w:val="0"/>
        <w:adjustRightInd w:val="0"/>
        <w:jc w:val="both"/>
        <w:rPr>
          <w:b/>
          <w:bCs/>
        </w:rPr>
      </w:pPr>
      <w:r w:rsidRPr="00727D26">
        <w:rPr>
          <w:b/>
          <w:bCs/>
        </w:rPr>
        <w:t>K bodu 30</w:t>
      </w:r>
    </w:p>
    <w:p w:rsidR="00727D26" w:rsidRPr="00727D26" w:rsidRDefault="00727D26" w:rsidP="00727D26">
      <w:pPr>
        <w:autoSpaceDE w:val="0"/>
        <w:autoSpaceDN w:val="0"/>
        <w:adjustRightInd w:val="0"/>
        <w:ind w:firstLine="567"/>
        <w:jc w:val="both"/>
        <w:rPr>
          <w:bCs/>
        </w:rPr>
      </w:pPr>
      <w:r w:rsidRPr="00727D26">
        <w:rPr>
          <w:bCs/>
        </w:rPr>
        <w:t>Legislatívno-technická úprava, ktorou sa vypúšťa ustanovenie o vrátení dane platiteľovi dane, ak už zaplatil daň a túto daň nesprávne vypočítal platiteľ dane alebo colný úrad, ktoré je upravené v Daňovom poriadku.</w:t>
      </w:r>
    </w:p>
    <w:p w:rsidR="00727D26" w:rsidRPr="00727D26" w:rsidRDefault="00727D26" w:rsidP="00727D26">
      <w:pPr>
        <w:autoSpaceDE w:val="0"/>
        <w:autoSpaceDN w:val="0"/>
        <w:adjustRightInd w:val="0"/>
        <w:jc w:val="both"/>
        <w:rPr>
          <w:bCs/>
        </w:rPr>
      </w:pPr>
    </w:p>
    <w:p w:rsidR="00727D26" w:rsidRPr="00727D26" w:rsidRDefault="00727D26" w:rsidP="00727D26">
      <w:pPr>
        <w:autoSpaceDE w:val="0"/>
        <w:autoSpaceDN w:val="0"/>
        <w:adjustRightInd w:val="0"/>
        <w:jc w:val="both"/>
        <w:rPr>
          <w:b/>
          <w:bCs/>
        </w:rPr>
      </w:pPr>
      <w:r w:rsidRPr="00727D26">
        <w:rPr>
          <w:b/>
          <w:bCs/>
        </w:rPr>
        <w:t>K bodom 31 až 33</w:t>
      </w:r>
    </w:p>
    <w:p w:rsidR="00727D26" w:rsidRPr="00727D26" w:rsidRDefault="00727D26" w:rsidP="00727D26">
      <w:pPr>
        <w:autoSpaceDE w:val="0"/>
        <w:autoSpaceDN w:val="0"/>
        <w:adjustRightInd w:val="0"/>
        <w:ind w:firstLine="567"/>
        <w:jc w:val="both"/>
        <w:rPr>
          <w:bCs/>
        </w:rPr>
      </w:pPr>
      <w:r w:rsidRPr="00727D26">
        <w:rPr>
          <w:color w:val="000000"/>
        </w:rPr>
        <w:t xml:space="preserve">Navrhovanou úpravou sa v súlade s transpozíciou smernice </w:t>
      </w:r>
      <w:r w:rsidRPr="00727D26">
        <w:t xml:space="preserve">Rady (EÚ) upravuje vrátenie dane z preukázateľne zdaneného minerálneho oleja </w:t>
      </w:r>
      <w:r w:rsidRPr="00727D26">
        <w:rPr>
          <w:color w:val="000000"/>
        </w:rPr>
        <w:t xml:space="preserve">Ministerstvu obrany SR, ktorý bol dodaný ozbrojeným silám iných členských štátov </w:t>
      </w:r>
      <w:r w:rsidRPr="00727D26">
        <w:t xml:space="preserve">na použitie týmito ozbrojenými silami            </w:t>
      </w:r>
      <w:r w:rsidRPr="00727D26">
        <w:rPr>
          <w:color w:val="000000"/>
        </w:rPr>
        <w:t xml:space="preserve">a ich civilnými zamestnancami pri obrannom </w:t>
      </w:r>
      <w:r w:rsidRPr="00727D26">
        <w:t>úsilí v rámci spoločnej bezpečnostnej a obrannej politiky Európskej únie. Zároveň sa zavádza spoločná legislatívna skratka pre ozbrojené sily Severoatlantickej zmluvy a ozbrojené sily členských štátov EÚ (armádne sily iných štátov).</w:t>
      </w:r>
    </w:p>
    <w:p w:rsidR="00727D26" w:rsidRPr="00727D26" w:rsidRDefault="00727D26" w:rsidP="00727D26">
      <w:pPr>
        <w:autoSpaceDE w:val="0"/>
        <w:autoSpaceDN w:val="0"/>
        <w:adjustRightInd w:val="0"/>
        <w:jc w:val="both"/>
        <w:rPr>
          <w:bCs/>
        </w:rPr>
      </w:pPr>
    </w:p>
    <w:p w:rsidR="00727D26" w:rsidRPr="00727D26" w:rsidRDefault="00727D26" w:rsidP="00727D26">
      <w:pPr>
        <w:autoSpaceDE w:val="0"/>
        <w:autoSpaceDN w:val="0"/>
        <w:adjustRightInd w:val="0"/>
        <w:jc w:val="both"/>
        <w:rPr>
          <w:b/>
          <w:bCs/>
        </w:rPr>
      </w:pPr>
      <w:r w:rsidRPr="00727D26">
        <w:rPr>
          <w:b/>
          <w:bCs/>
        </w:rPr>
        <w:t>K bodu 34</w:t>
      </w:r>
    </w:p>
    <w:p w:rsidR="00727D26" w:rsidRPr="00727D26" w:rsidRDefault="00727D26" w:rsidP="00727D26">
      <w:pPr>
        <w:autoSpaceDE w:val="0"/>
        <w:autoSpaceDN w:val="0"/>
        <w:adjustRightInd w:val="0"/>
        <w:ind w:firstLine="567"/>
        <w:jc w:val="both"/>
        <w:rPr>
          <w:bCs/>
        </w:rPr>
      </w:pPr>
      <w:r w:rsidRPr="00727D26">
        <w:rPr>
          <w:bCs/>
        </w:rPr>
        <w:t>Legislatívno-technická úprava, ktorou sa stanovuje dobrovoľnosť použitia technických noriem uvedených v poznámke pod čiarou k odkazu 13. Zároveň sa aktualizujú poznámky pod čiarou k odkazom 13 a 14.</w:t>
      </w:r>
    </w:p>
    <w:p w:rsidR="00727D26" w:rsidRPr="00727D26" w:rsidRDefault="00727D26" w:rsidP="00727D26">
      <w:pPr>
        <w:autoSpaceDE w:val="0"/>
        <w:autoSpaceDN w:val="0"/>
        <w:adjustRightInd w:val="0"/>
        <w:jc w:val="both"/>
        <w:rPr>
          <w:bCs/>
        </w:rPr>
      </w:pPr>
    </w:p>
    <w:p w:rsidR="00727D26" w:rsidRPr="00727D26" w:rsidRDefault="00727D26" w:rsidP="00727D26">
      <w:pPr>
        <w:autoSpaceDE w:val="0"/>
        <w:autoSpaceDN w:val="0"/>
        <w:adjustRightInd w:val="0"/>
        <w:jc w:val="both"/>
        <w:rPr>
          <w:b/>
          <w:bCs/>
        </w:rPr>
      </w:pPr>
      <w:r w:rsidRPr="00727D26">
        <w:rPr>
          <w:b/>
          <w:bCs/>
        </w:rPr>
        <w:t>K bodom 36, 38, 39, 53, 60, 70 a 72</w:t>
      </w:r>
    </w:p>
    <w:p w:rsidR="00727D26" w:rsidRPr="00727D26" w:rsidRDefault="00727D26" w:rsidP="00727D26">
      <w:pPr>
        <w:autoSpaceDE w:val="0"/>
        <w:autoSpaceDN w:val="0"/>
        <w:adjustRightInd w:val="0"/>
        <w:ind w:firstLine="567"/>
        <w:jc w:val="both"/>
        <w:rPr>
          <w:bCs/>
        </w:rPr>
      </w:pPr>
      <w:r w:rsidRPr="00727D26">
        <w:rPr>
          <w:bCs/>
        </w:rPr>
        <w:t>Legislatívno-technické úpravy spresňujúce povinnosti daňových subjektov pri oznamovaní zmeny údajov oznámených colnému úradu v čase podania žiadosti o registráciu alebo vydania povolenia.</w:t>
      </w:r>
    </w:p>
    <w:p w:rsidR="00727D26" w:rsidRDefault="00727D26" w:rsidP="00727D26">
      <w:pPr>
        <w:autoSpaceDE w:val="0"/>
        <w:autoSpaceDN w:val="0"/>
        <w:adjustRightInd w:val="0"/>
        <w:jc w:val="both"/>
        <w:rPr>
          <w:bCs/>
        </w:rPr>
      </w:pPr>
    </w:p>
    <w:p w:rsidR="00274717" w:rsidRDefault="00274717" w:rsidP="00727D26">
      <w:pPr>
        <w:autoSpaceDE w:val="0"/>
        <w:autoSpaceDN w:val="0"/>
        <w:adjustRightInd w:val="0"/>
        <w:jc w:val="both"/>
        <w:rPr>
          <w:bCs/>
        </w:rPr>
      </w:pPr>
    </w:p>
    <w:p w:rsidR="00274717" w:rsidRPr="00727D26" w:rsidRDefault="00274717" w:rsidP="00727D26">
      <w:pPr>
        <w:autoSpaceDE w:val="0"/>
        <w:autoSpaceDN w:val="0"/>
        <w:adjustRightInd w:val="0"/>
        <w:jc w:val="both"/>
        <w:rPr>
          <w:bCs/>
        </w:rPr>
      </w:pPr>
    </w:p>
    <w:p w:rsidR="00727D26" w:rsidRPr="00727D26" w:rsidRDefault="00727D26" w:rsidP="00727D26">
      <w:pPr>
        <w:autoSpaceDE w:val="0"/>
        <w:autoSpaceDN w:val="0"/>
        <w:adjustRightInd w:val="0"/>
        <w:jc w:val="both"/>
        <w:rPr>
          <w:b/>
          <w:bCs/>
        </w:rPr>
      </w:pPr>
      <w:r w:rsidRPr="00727D26">
        <w:rPr>
          <w:b/>
          <w:bCs/>
        </w:rPr>
        <w:lastRenderedPageBreak/>
        <w:t>K bodu 37</w:t>
      </w:r>
    </w:p>
    <w:p w:rsidR="00727D26" w:rsidRDefault="00727D26" w:rsidP="00727D26">
      <w:pPr>
        <w:ind w:firstLine="567"/>
        <w:jc w:val="both"/>
        <w:rPr>
          <w:bCs/>
        </w:rPr>
      </w:pPr>
      <w:r w:rsidRPr="00727D26">
        <w:rPr>
          <w:bCs/>
        </w:rPr>
        <w:t>Prevádzkovateľ daňového skladu,</w:t>
      </w:r>
      <w:r w:rsidRPr="00581161">
        <w:rPr>
          <w:bCs/>
        </w:rPr>
        <w:t xml:space="preserve"> ktorý bude chcieť priamo dodávať LPG (minerálny olej podľa § 6 ods. 5 návrhu zákona</w:t>
      </w:r>
      <w:r>
        <w:rPr>
          <w:bCs/>
        </w:rPr>
        <w:t>)</w:t>
      </w:r>
      <w:r w:rsidRPr="00581161">
        <w:rPr>
          <w:bCs/>
        </w:rPr>
        <w:t xml:space="preserve"> s daňovo zvýhodnenou sadzbou dane </w:t>
      </w:r>
      <w:r w:rsidRPr="00581161">
        <w:t xml:space="preserve">konečnému spotrebiteľovi v domácnosti ako palivo na výrobu tepla a ohrev teplej úžitkovej vody, </w:t>
      </w:r>
      <w:r w:rsidRPr="00581161">
        <w:rPr>
          <w:bCs/>
        </w:rPr>
        <w:t>bude podľa navrhovanej úpravy povinný v žiadosti o vydanie povolenia na prevádzkovanie daňového skladu uviesť identifikačné údaje týchto odberateľov.</w:t>
      </w:r>
    </w:p>
    <w:p w:rsidR="00274717" w:rsidRDefault="00274717" w:rsidP="00274717">
      <w:pPr>
        <w:jc w:val="both"/>
        <w:rPr>
          <w:bCs/>
        </w:rPr>
      </w:pPr>
    </w:p>
    <w:p w:rsidR="00727D26" w:rsidRDefault="00727D26" w:rsidP="00727D26">
      <w:pPr>
        <w:autoSpaceDE w:val="0"/>
        <w:autoSpaceDN w:val="0"/>
        <w:adjustRightInd w:val="0"/>
        <w:jc w:val="both"/>
        <w:rPr>
          <w:b/>
          <w:bCs/>
        </w:rPr>
      </w:pPr>
      <w:r>
        <w:rPr>
          <w:b/>
          <w:bCs/>
        </w:rPr>
        <w:t>K bodu 40</w:t>
      </w:r>
    </w:p>
    <w:p w:rsidR="00727D26" w:rsidRDefault="00727D26" w:rsidP="00727D26">
      <w:pPr>
        <w:ind w:firstLine="567"/>
        <w:jc w:val="both"/>
        <w:rPr>
          <w:bCs/>
        </w:rPr>
      </w:pPr>
      <w:r>
        <w:rPr>
          <w:bCs/>
        </w:rPr>
        <w:t>Legislatívno-technická úprava spresňujúca dôvody na zánik povolenia na prevádzkovanie daňového skladu.</w:t>
      </w:r>
    </w:p>
    <w:p w:rsidR="00727D26" w:rsidRDefault="00727D26" w:rsidP="00727D26">
      <w:pPr>
        <w:jc w:val="both"/>
        <w:rPr>
          <w:bCs/>
        </w:rPr>
      </w:pPr>
    </w:p>
    <w:p w:rsidR="00727D26" w:rsidRDefault="00727D26" w:rsidP="00727D26">
      <w:pPr>
        <w:autoSpaceDE w:val="0"/>
        <w:autoSpaceDN w:val="0"/>
        <w:adjustRightInd w:val="0"/>
        <w:jc w:val="both"/>
        <w:rPr>
          <w:b/>
          <w:bCs/>
        </w:rPr>
      </w:pPr>
      <w:r>
        <w:rPr>
          <w:b/>
          <w:bCs/>
        </w:rPr>
        <w:t>K bodu 41</w:t>
      </w:r>
    </w:p>
    <w:p w:rsidR="00727D26" w:rsidRDefault="00727D26" w:rsidP="00727D26">
      <w:pPr>
        <w:autoSpaceDE w:val="0"/>
        <w:autoSpaceDN w:val="0"/>
        <w:adjustRightInd w:val="0"/>
        <w:ind w:firstLine="567"/>
        <w:jc w:val="both"/>
        <w:rPr>
          <w:bCs/>
        </w:rPr>
      </w:pPr>
      <w:r>
        <w:rPr>
          <w:bCs/>
        </w:rPr>
        <w:t>Legislatívno-technická úprava, ktorou sa stanovuje sadzba dane na výpočet zábezpeky na LPG.</w:t>
      </w:r>
    </w:p>
    <w:p w:rsidR="00727D26" w:rsidRDefault="00727D26" w:rsidP="00727D26">
      <w:pPr>
        <w:jc w:val="both"/>
        <w:rPr>
          <w:bCs/>
        </w:rPr>
      </w:pPr>
    </w:p>
    <w:p w:rsidR="00727D26" w:rsidRPr="003F05A6" w:rsidRDefault="00727D26" w:rsidP="00727D26">
      <w:pPr>
        <w:autoSpaceDE w:val="0"/>
        <w:autoSpaceDN w:val="0"/>
        <w:adjustRightInd w:val="0"/>
        <w:jc w:val="both"/>
        <w:rPr>
          <w:b/>
          <w:bCs/>
        </w:rPr>
      </w:pPr>
      <w:r>
        <w:rPr>
          <w:b/>
          <w:bCs/>
        </w:rPr>
        <w:t>K bodu 42</w:t>
      </w:r>
    </w:p>
    <w:p w:rsidR="00727D26" w:rsidRDefault="00727D26" w:rsidP="00727D26">
      <w:pPr>
        <w:ind w:firstLine="567"/>
        <w:jc w:val="both"/>
        <w:rPr>
          <w:bCs/>
        </w:rPr>
      </w:pPr>
      <w:r>
        <w:rPr>
          <w:bCs/>
        </w:rPr>
        <w:t>Legislatívno-technická úprava, ktorou sa upravujú podmienky daňovej spoľahlivosti v súvislosti s úpravou ustanovenia o správnych deliktoch.</w:t>
      </w:r>
    </w:p>
    <w:p w:rsidR="00727D26" w:rsidRDefault="00727D26" w:rsidP="00727D26">
      <w:pPr>
        <w:jc w:val="both"/>
        <w:rPr>
          <w:bCs/>
        </w:rPr>
      </w:pPr>
    </w:p>
    <w:p w:rsidR="00727D26" w:rsidRPr="0068269A" w:rsidRDefault="00727D26" w:rsidP="00727D26">
      <w:pPr>
        <w:autoSpaceDE w:val="0"/>
        <w:autoSpaceDN w:val="0"/>
        <w:adjustRightInd w:val="0"/>
        <w:jc w:val="both"/>
        <w:rPr>
          <w:b/>
          <w:bCs/>
        </w:rPr>
      </w:pPr>
      <w:r>
        <w:rPr>
          <w:b/>
          <w:bCs/>
        </w:rPr>
        <w:t>K bodu 43</w:t>
      </w:r>
    </w:p>
    <w:p w:rsidR="00727D26" w:rsidRDefault="00727D26" w:rsidP="00727D26">
      <w:pPr>
        <w:ind w:firstLine="567"/>
        <w:jc w:val="both"/>
        <w:rPr>
          <w:bCs/>
        </w:rPr>
      </w:pPr>
      <w:r w:rsidRPr="0068269A">
        <w:rPr>
          <w:bCs/>
        </w:rPr>
        <w:t>Navrhovanou úpravou sa dopĺňa postup pri preprava v pozastavení dane na daňovom území z miesta dovozu do daňového skladu na daňovom území registrovaným odosi</w:t>
      </w:r>
      <w:r>
        <w:rPr>
          <w:bCs/>
        </w:rPr>
        <w:t>e</w:t>
      </w:r>
      <w:r w:rsidRPr="0068269A">
        <w:rPr>
          <w:bCs/>
        </w:rPr>
        <w:t>lateľom.</w:t>
      </w:r>
    </w:p>
    <w:p w:rsidR="00727D26" w:rsidRDefault="00727D26" w:rsidP="00727D26">
      <w:pPr>
        <w:jc w:val="both"/>
        <w:rPr>
          <w:bCs/>
        </w:rPr>
      </w:pPr>
    </w:p>
    <w:p w:rsidR="00727D26" w:rsidRPr="003F05A6" w:rsidRDefault="00727D26" w:rsidP="00727D26">
      <w:pPr>
        <w:autoSpaceDE w:val="0"/>
        <w:autoSpaceDN w:val="0"/>
        <w:adjustRightInd w:val="0"/>
        <w:jc w:val="both"/>
        <w:rPr>
          <w:b/>
          <w:bCs/>
        </w:rPr>
      </w:pPr>
      <w:r>
        <w:rPr>
          <w:b/>
          <w:bCs/>
        </w:rPr>
        <w:t>K bodu 44</w:t>
      </w:r>
    </w:p>
    <w:p w:rsidR="00727D26" w:rsidRDefault="00727D26" w:rsidP="00727D26">
      <w:pPr>
        <w:ind w:firstLine="567"/>
        <w:jc w:val="both"/>
        <w:rPr>
          <w:bCs/>
        </w:rPr>
      </w:pPr>
      <w:r>
        <w:rPr>
          <w:bCs/>
        </w:rPr>
        <w:t>Navrhovanou úpravou sa v súvislosti s navrhovanými zmenami (úprava ustanovenia o užívateľskom podniku) spresňuje postup pri preprave minerálneho oleja oslobodeného od dane podľa § 10 ods. 1 zákona.</w:t>
      </w:r>
    </w:p>
    <w:p w:rsidR="00727D26" w:rsidRDefault="00727D26" w:rsidP="00727D26">
      <w:pPr>
        <w:jc w:val="both"/>
        <w:rPr>
          <w:bCs/>
        </w:rPr>
      </w:pPr>
    </w:p>
    <w:p w:rsidR="00727D26" w:rsidRPr="003F05A6" w:rsidRDefault="00727D26" w:rsidP="00727D26">
      <w:pPr>
        <w:autoSpaceDE w:val="0"/>
        <w:autoSpaceDN w:val="0"/>
        <w:adjustRightInd w:val="0"/>
        <w:jc w:val="both"/>
        <w:rPr>
          <w:b/>
          <w:bCs/>
        </w:rPr>
      </w:pPr>
      <w:r>
        <w:rPr>
          <w:b/>
          <w:bCs/>
        </w:rPr>
        <w:t>K bodu 45</w:t>
      </w:r>
    </w:p>
    <w:p w:rsidR="00727D26" w:rsidRDefault="00727D26" w:rsidP="00727D26">
      <w:pPr>
        <w:ind w:firstLine="567"/>
        <w:jc w:val="both"/>
        <w:rPr>
          <w:bCs/>
        </w:rPr>
      </w:pPr>
      <w:r>
        <w:rPr>
          <w:bCs/>
        </w:rPr>
        <w:t>Legislatívno-technické úpravy, ktorými sa spresňuje elektronický podpis.</w:t>
      </w:r>
    </w:p>
    <w:p w:rsidR="00727D26" w:rsidRDefault="00727D26" w:rsidP="00727D26">
      <w:pPr>
        <w:jc w:val="both"/>
        <w:rPr>
          <w:bCs/>
        </w:rPr>
      </w:pPr>
    </w:p>
    <w:p w:rsidR="00727D26" w:rsidRPr="002659DD" w:rsidRDefault="00727D26" w:rsidP="00727D26">
      <w:pPr>
        <w:jc w:val="both"/>
        <w:rPr>
          <w:b/>
          <w:bCs/>
        </w:rPr>
      </w:pPr>
      <w:r>
        <w:rPr>
          <w:b/>
          <w:bCs/>
        </w:rPr>
        <w:t>K bodu 47</w:t>
      </w:r>
    </w:p>
    <w:p w:rsidR="00727D26" w:rsidRDefault="00727D26" w:rsidP="00727D26">
      <w:pPr>
        <w:ind w:firstLine="567"/>
        <w:jc w:val="both"/>
        <w:rPr>
          <w:bCs/>
        </w:rPr>
      </w:pPr>
      <w:r>
        <w:rPr>
          <w:bCs/>
        </w:rPr>
        <w:t xml:space="preserve">Navrhovanou úpravou sa stanovuje osoba, ktorá je povinná zložiť zábezpeku na daň pri preprave daňovo zvýhodneného minerálneho oleja na daňovom území z užívateľského podniku </w:t>
      </w:r>
      <w:r>
        <w:rPr>
          <w:color w:val="000000"/>
        </w:rPr>
        <w:t>do iného užívateľského</w:t>
      </w:r>
      <w:r w:rsidRPr="007026BD">
        <w:rPr>
          <w:color w:val="000000"/>
        </w:rPr>
        <w:t xml:space="preserve"> podniku, ktorý má </w:t>
      </w:r>
      <w:r>
        <w:rPr>
          <w:color w:val="000000"/>
        </w:rPr>
        <w:t xml:space="preserve">vydané povolenie na použitie </w:t>
      </w:r>
      <w:r w:rsidRPr="007026BD">
        <w:rPr>
          <w:color w:val="000000"/>
        </w:rPr>
        <w:t>tohto m</w:t>
      </w:r>
      <w:r>
        <w:rPr>
          <w:color w:val="000000"/>
        </w:rPr>
        <w:t>inerálneho oleja, alebo daňového</w:t>
      </w:r>
      <w:r w:rsidRPr="007026BD">
        <w:rPr>
          <w:color w:val="000000"/>
        </w:rPr>
        <w:t xml:space="preserve"> skladu, alebo </w:t>
      </w:r>
      <w:r>
        <w:rPr>
          <w:color w:val="000000"/>
        </w:rPr>
        <w:t xml:space="preserve">má vydané povolenie na jeho </w:t>
      </w:r>
      <w:r w:rsidRPr="00FA3373">
        <w:rPr>
          <w:color w:val="000000"/>
        </w:rPr>
        <w:t>prepracovanie alebo zneškodnenie</w:t>
      </w:r>
      <w:r>
        <w:rPr>
          <w:color w:val="000000"/>
        </w:rPr>
        <w:t>.</w:t>
      </w:r>
    </w:p>
    <w:p w:rsidR="00727D26" w:rsidRDefault="00727D26" w:rsidP="00727D26">
      <w:pPr>
        <w:jc w:val="both"/>
        <w:rPr>
          <w:bCs/>
        </w:rPr>
      </w:pPr>
    </w:p>
    <w:p w:rsidR="00727D26" w:rsidRPr="002659DD" w:rsidRDefault="00727D26" w:rsidP="00727D26">
      <w:pPr>
        <w:jc w:val="both"/>
        <w:rPr>
          <w:b/>
          <w:bCs/>
        </w:rPr>
      </w:pPr>
      <w:r>
        <w:rPr>
          <w:b/>
          <w:bCs/>
        </w:rPr>
        <w:t>K bodu 48</w:t>
      </w:r>
    </w:p>
    <w:p w:rsidR="00727D26" w:rsidRPr="00FD69CA" w:rsidRDefault="00727D26" w:rsidP="00727D26">
      <w:pPr>
        <w:ind w:firstLine="708"/>
        <w:jc w:val="both"/>
        <w:rPr>
          <w:bCs/>
        </w:rPr>
      </w:pPr>
      <w:r w:rsidRPr="00FD69CA">
        <w:rPr>
          <w:bCs/>
        </w:rPr>
        <w:t>Navrhovanou úpravou sa spresňuje situácia</w:t>
      </w:r>
      <w:r>
        <w:rPr>
          <w:bCs/>
        </w:rPr>
        <w:t>,</w:t>
      </w:r>
      <w:r w:rsidRPr="00FD69CA">
        <w:rPr>
          <w:bCs/>
        </w:rPr>
        <w:t xml:space="preserve"> kedy daňovému subjektu vzniká povinnosť na mieste určenia pred prijatím dodaného minerálneho oleja oznámiť prostredníctvom elektronického systému colnému úradu, že minerálny olej </w:t>
      </w:r>
      <w:r>
        <w:rPr>
          <w:bCs/>
        </w:rPr>
        <w:t>bol</w:t>
      </w:r>
      <w:r w:rsidRPr="00FD69CA">
        <w:rPr>
          <w:bCs/>
        </w:rPr>
        <w:t xml:space="preserve"> dopravený na miesto určenia a od tohto momentu počas dvoch hodín od zaslania oznámenia o tejto skutočnosti minerálny olej nevyložiť, neprečerpať alebo s týmto minerálnym olejom nenakladať.</w:t>
      </w:r>
    </w:p>
    <w:p w:rsidR="00727D26" w:rsidRPr="00FD69CA" w:rsidRDefault="00727D26" w:rsidP="00727D26">
      <w:pPr>
        <w:jc w:val="both"/>
        <w:rPr>
          <w:bCs/>
        </w:rPr>
      </w:pPr>
    </w:p>
    <w:p w:rsidR="00727D26" w:rsidRPr="00FD69CA" w:rsidRDefault="00727D26" w:rsidP="00727D26">
      <w:pPr>
        <w:autoSpaceDE w:val="0"/>
        <w:autoSpaceDN w:val="0"/>
        <w:adjustRightInd w:val="0"/>
        <w:jc w:val="both"/>
        <w:rPr>
          <w:b/>
          <w:bCs/>
        </w:rPr>
      </w:pPr>
      <w:r>
        <w:rPr>
          <w:b/>
          <w:bCs/>
        </w:rPr>
        <w:t>K bodom 49, 51 a 52</w:t>
      </w:r>
    </w:p>
    <w:p w:rsidR="00727D26" w:rsidRPr="00FD69CA" w:rsidRDefault="00727D26" w:rsidP="00727D26">
      <w:pPr>
        <w:autoSpaceDE w:val="0"/>
        <w:autoSpaceDN w:val="0"/>
        <w:adjustRightInd w:val="0"/>
        <w:ind w:firstLine="567"/>
        <w:jc w:val="both"/>
      </w:pPr>
      <w:r w:rsidRPr="00FD69CA">
        <w:rPr>
          <w:bCs/>
        </w:rPr>
        <w:t>Legislatívno-technické úpravy</w:t>
      </w:r>
      <w:r w:rsidRPr="00FD69CA">
        <w:rPr>
          <w:color w:val="000000"/>
        </w:rPr>
        <w:t xml:space="preserve"> súvisiace s transpozíciou smernice </w:t>
      </w:r>
      <w:r w:rsidRPr="00FD69CA">
        <w:t xml:space="preserve">Rady (EÚ) </w:t>
      </w:r>
      <w:r w:rsidRPr="002B3978">
        <w:t>2020/262</w:t>
      </w:r>
      <w:r>
        <w:t xml:space="preserve"> </w:t>
      </w:r>
      <w:r w:rsidRPr="00FD69CA">
        <w:t xml:space="preserve">upravujúce ustanovenie o preprave minerálneho oleja v pozastavení dane a oslobodeného od dane na území EÚ prepravovaného ozbrojenými silami iných členských štátov na použitie </w:t>
      </w:r>
      <w:r w:rsidRPr="00FD69CA">
        <w:lastRenderedPageBreak/>
        <w:t>týmito ozbrojenými silami a ich civilnými zamestnancami pri obrannom úsilí v rámci spoločnej bezpečnostnej a obrannej politiky Európskej únie.</w:t>
      </w:r>
    </w:p>
    <w:p w:rsidR="00727D26" w:rsidRPr="00FD69CA" w:rsidRDefault="00727D26" w:rsidP="00727D26">
      <w:pPr>
        <w:autoSpaceDE w:val="0"/>
        <w:autoSpaceDN w:val="0"/>
        <w:adjustRightInd w:val="0"/>
        <w:jc w:val="both"/>
        <w:rPr>
          <w:bCs/>
        </w:rPr>
      </w:pPr>
    </w:p>
    <w:p w:rsidR="00727D26" w:rsidRPr="00FD69CA" w:rsidRDefault="00727D26" w:rsidP="00727D26">
      <w:pPr>
        <w:autoSpaceDE w:val="0"/>
        <w:autoSpaceDN w:val="0"/>
        <w:adjustRightInd w:val="0"/>
        <w:jc w:val="both"/>
        <w:rPr>
          <w:b/>
          <w:bCs/>
        </w:rPr>
      </w:pPr>
      <w:r>
        <w:rPr>
          <w:b/>
          <w:bCs/>
        </w:rPr>
        <w:t>K bodu 50</w:t>
      </w:r>
    </w:p>
    <w:p w:rsidR="00727D26" w:rsidRDefault="00727D26" w:rsidP="00727D26">
      <w:pPr>
        <w:ind w:firstLine="567"/>
        <w:jc w:val="both"/>
        <w:rPr>
          <w:bCs/>
        </w:rPr>
      </w:pPr>
      <w:r w:rsidRPr="00FD69CA">
        <w:rPr>
          <w:bCs/>
        </w:rPr>
        <w:t>Legislatívno-technická úprava, ktorou sa spresňuje preprava minerálneho oleja v pozastavení dane medzi dvoma daňovými skladmi</w:t>
      </w:r>
      <w:r>
        <w:rPr>
          <w:bCs/>
        </w:rPr>
        <w:t xml:space="preserve"> na daňovom území cez územie iného členského štátu</w:t>
      </w:r>
      <w:r w:rsidRPr="00FD69CA">
        <w:rPr>
          <w:bCs/>
        </w:rPr>
        <w:t>.</w:t>
      </w:r>
    </w:p>
    <w:p w:rsidR="00274717" w:rsidRDefault="00274717" w:rsidP="00274717">
      <w:pPr>
        <w:jc w:val="both"/>
        <w:rPr>
          <w:bCs/>
        </w:rPr>
      </w:pPr>
    </w:p>
    <w:p w:rsidR="00727D26" w:rsidRPr="00982D62" w:rsidRDefault="00727D26" w:rsidP="00727D26">
      <w:pPr>
        <w:autoSpaceDE w:val="0"/>
        <w:autoSpaceDN w:val="0"/>
        <w:adjustRightInd w:val="0"/>
        <w:jc w:val="both"/>
        <w:rPr>
          <w:b/>
          <w:bCs/>
        </w:rPr>
      </w:pPr>
      <w:r w:rsidRPr="001849A6">
        <w:rPr>
          <w:b/>
          <w:bCs/>
        </w:rPr>
        <w:t xml:space="preserve">K bodu </w:t>
      </w:r>
      <w:r>
        <w:rPr>
          <w:b/>
          <w:bCs/>
        </w:rPr>
        <w:t>54</w:t>
      </w:r>
    </w:p>
    <w:p w:rsidR="00727D26" w:rsidRDefault="00727D26" w:rsidP="00727D26">
      <w:pPr>
        <w:autoSpaceDE w:val="0"/>
        <w:autoSpaceDN w:val="0"/>
        <w:adjustRightInd w:val="0"/>
        <w:ind w:firstLine="567"/>
        <w:jc w:val="both"/>
        <w:rPr>
          <w:bCs/>
        </w:rPr>
      </w:pPr>
      <w:r>
        <w:rPr>
          <w:bCs/>
        </w:rPr>
        <w:t>Legislatívno-technická úprava spresňujúca podmienky odňatia povolenia prijímať opakovane minerálny olej v pozastavení dane z iného členského štátu oprávneným príjemcom.</w:t>
      </w:r>
    </w:p>
    <w:p w:rsidR="00727D26" w:rsidRPr="002B3978" w:rsidRDefault="00727D26" w:rsidP="00727D26">
      <w:pPr>
        <w:autoSpaceDE w:val="0"/>
        <w:autoSpaceDN w:val="0"/>
        <w:adjustRightInd w:val="0"/>
        <w:jc w:val="both"/>
        <w:rPr>
          <w:bCs/>
        </w:rPr>
      </w:pPr>
    </w:p>
    <w:p w:rsidR="00727D26" w:rsidRPr="002B3978" w:rsidRDefault="00727D26" w:rsidP="00727D26">
      <w:pPr>
        <w:autoSpaceDE w:val="0"/>
        <w:autoSpaceDN w:val="0"/>
        <w:adjustRightInd w:val="0"/>
        <w:jc w:val="both"/>
        <w:rPr>
          <w:b/>
          <w:bCs/>
        </w:rPr>
      </w:pPr>
      <w:r>
        <w:rPr>
          <w:b/>
          <w:bCs/>
        </w:rPr>
        <w:t>K bodu 55</w:t>
      </w:r>
    </w:p>
    <w:p w:rsidR="00727D26" w:rsidRPr="002B3978" w:rsidRDefault="00727D26" w:rsidP="00727D26">
      <w:pPr>
        <w:autoSpaceDE w:val="0"/>
        <w:autoSpaceDN w:val="0"/>
        <w:adjustRightInd w:val="0"/>
        <w:ind w:firstLine="567"/>
        <w:jc w:val="both"/>
        <w:rPr>
          <w:bCs/>
        </w:rPr>
      </w:pPr>
      <w:r w:rsidRPr="002B3978">
        <w:rPr>
          <w:bCs/>
        </w:rPr>
        <w:t xml:space="preserve">V súvislosti s transpozíciou smernice </w:t>
      </w:r>
      <w:r w:rsidRPr="002B3978">
        <w:t>Rady (EÚ) 2020/262 sa v novelizovanom ustanovení spresňujú osoby, ktoré nie sú povinné požiadať colný úrad o vydanie povolenia na obchodovanie s vybraným minerálnym olejom podľa § 25a zákona.</w:t>
      </w:r>
    </w:p>
    <w:p w:rsidR="00727D26" w:rsidRPr="002B3978" w:rsidRDefault="00727D26" w:rsidP="00727D26">
      <w:pPr>
        <w:autoSpaceDE w:val="0"/>
        <w:autoSpaceDN w:val="0"/>
        <w:adjustRightInd w:val="0"/>
        <w:jc w:val="both"/>
        <w:rPr>
          <w:bCs/>
        </w:rPr>
      </w:pPr>
    </w:p>
    <w:p w:rsidR="00727D26" w:rsidRPr="002B3978" w:rsidRDefault="00727D26" w:rsidP="00727D26">
      <w:pPr>
        <w:autoSpaceDE w:val="0"/>
        <w:autoSpaceDN w:val="0"/>
        <w:adjustRightInd w:val="0"/>
        <w:jc w:val="both"/>
        <w:rPr>
          <w:bCs/>
        </w:rPr>
      </w:pPr>
      <w:r>
        <w:rPr>
          <w:b/>
          <w:bCs/>
          <w:color w:val="000000"/>
        </w:rPr>
        <w:t>K bodom 56</w:t>
      </w:r>
      <w:r w:rsidRPr="002B3978">
        <w:rPr>
          <w:b/>
          <w:bCs/>
          <w:color w:val="000000"/>
        </w:rPr>
        <w:t xml:space="preserve"> a</w:t>
      </w:r>
      <w:r>
        <w:rPr>
          <w:b/>
          <w:bCs/>
          <w:color w:val="000000"/>
        </w:rPr>
        <w:t>ž 59 a 61 až 63</w:t>
      </w:r>
    </w:p>
    <w:p w:rsidR="00727D26" w:rsidRDefault="00727D26" w:rsidP="00727D26">
      <w:pPr>
        <w:autoSpaceDE w:val="0"/>
        <w:autoSpaceDN w:val="0"/>
        <w:adjustRightInd w:val="0"/>
        <w:ind w:firstLine="567"/>
        <w:jc w:val="both"/>
        <w:rPr>
          <w:bCs/>
        </w:rPr>
      </w:pPr>
      <w:r w:rsidRPr="002B3978">
        <w:rPr>
          <w:bCs/>
        </w:rPr>
        <w:t>Navrhované úpravy rušia povinnosť osoby, ktorá chce obchod</w:t>
      </w:r>
      <w:r>
        <w:rPr>
          <w:bCs/>
        </w:rPr>
        <w:t>o</w:t>
      </w:r>
      <w:r w:rsidRPr="002B3978">
        <w:rPr>
          <w:bCs/>
        </w:rPr>
        <w:t>vať s </w:t>
      </w:r>
      <w:r>
        <w:rPr>
          <w:bCs/>
        </w:rPr>
        <w:t>vybran</w:t>
      </w:r>
      <w:r w:rsidRPr="002B3978">
        <w:rPr>
          <w:bCs/>
        </w:rPr>
        <w:t xml:space="preserve">ým </w:t>
      </w:r>
      <w:r>
        <w:rPr>
          <w:bCs/>
        </w:rPr>
        <w:t>minerá</w:t>
      </w:r>
      <w:r w:rsidRPr="002B3978">
        <w:rPr>
          <w:bCs/>
        </w:rPr>
        <w:t xml:space="preserve">lnym olejom bez sadzby dane </w:t>
      </w:r>
      <w:r>
        <w:rPr>
          <w:bCs/>
        </w:rPr>
        <w:t>podliehajúcim kontrole a postupu pri preprave, požiadať colný úrad o vydanie odberného poukazu a legislatívno-technicky upravujú súvisiace ustanovenia.</w:t>
      </w:r>
    </w:p>
    <w:p w:rsidR="00727D26" w:rsidRDefault="00727D26" w:rsidP="00727D26">
      <w:pPr>
        <w:autoSpaceDE w:val="0"/>
        <w:autoSpaceDN w:val="0"/>
        <w:adjustRightInd w:val="0"/>
        <w:jc w:val="both"/>
        <w:rPr>
          <w:bCs/>
        </w:rPr>
      </w:pPr>
    </w:p>
    <w:p w:rsidR="00727D26" w:rsidRPr="002B3978" w:rsidRDefault="00727D26" w:rsidP="00727D26">
      <w:pPr>
        <w:autoSpaceDE w:val="0"/>
        <w:autoSpaceDN w:val="0"/>
        <w:adjustRightInd w:val="0"/>
        <w:jc w:val="both"/>
        <w:rPr>
          <w:b/>
          <w:bCs/>
        </w:rPr>
      </w:pPr>
      <w:r>
        <w:rPr>
          <w:b/>
          <w:bCs/>
        </w:rPr>
        <w:t>K bodom 64 a 65</w:t>
      </w:r>
    </w:p>
    <w:p w:rsidR="00727D26" w:rsidRDefault="00727D26" w:rsidP="00727D26">
      <w:pPr>
        <w:autoSpaceDE w:val="0"/>
        <w:autoSpaceDN w:val="0"/>
        <w:adjustRightInd w:val="0"/>
        <w:ind w:firstLine="567"/>
        <w:jc w:val="both"/>
        <w:rPr>
          <w:bCs/>
        </w:rPr>
      </w:pPr>
      <w:r>
        <w:rPr>
          <w:bCs/>
        </w:rPr>
        <w:t>Legislatívno-technická úprava súvisiaca so zavedením jednej sadzby dane na motorový benzín a jednej sadzby dane na motorovú naftu a vypustením LPG z ustanovení o distribúcii pohonných látok.</w:t>
      </w:r>
    </w:p>
    <w:p w:rsidR="00727D26" w:rsidRDefault="00727D26" w:rsidP="00727D26">
      <w:pPr>
        <w:autoSpaceDE w:val="0"/>
        <w:autoSpaceDN w:val="0"/>
        <w:adjustRightInd w:val="0"/>
        <w:jc w:val="both"/>
        <w:rPr>
          <w:bCs/>
        </w:rPr>
      </w:pPr>
    </w:p>
    <w:p w:rsidR="00727D26" w:rsidRPr="002B3978" w:rsidRDefault="00727D26" w:rsidP="00727D26">
      <w:pPr>
        <w:autoSpaceDE w:val="0"/>
        <w:autoSpaceDN w:val="0"/>
        <w:adjustRightInd w:val="0"/>
        <w:jc w:val="both"/>
        <w:rPr>
          <w:b/>
          <w:bCs/>
        </w:rPr>
      </w:pPr>
      <w:r>
        <w:rPr>
          <w:b/>
          <w:bCs/>
        </w:rPr>
        <w:t>K bodu 66</w:t>
      </w:r>
    </w:p>
    <w:p w:rsidR="00727D26" w:rsidRPr="00954BAB" w:rsidRDefault="00727D26" w:rsidP="00727D26">
      <w:pPr>
        <w:autoSpaceDE w:val="0"/>
        <w:autoSpaceDN w:val="0"/>
        <w:adjustRightInd w:val="0"/>
        <w:ind w:firstLine="567"/>
        <w:jc w:val="both"/>
        <w:rPr>
          <w:bCs/>
        </w:rPr>
      </w:pPr>
      <w:r>
        <w:rPr>
          <w:bCs/>
        </w:rPr>
        <w:t>Legislatívno-technická úprava aktualizujúca poznámku pod čiarou k odkazu 20e.</w:t>
      </w:r>
    </w:p>
    <w:p w:rsidR="00727D26" w:rsidRPr="00954BAB" w:rsidRDefault="00727D26" w:rsidP="00727D26">
      <w:pPr>
        <w:autoSpaceDE w:val="0"/>
        <w:autoSpaceDN w:val="0"/>
        <w:adjustRightInd w:val="0"/>
        <w:jc w:val="both"/>
        <w:rPr>
          <w:bCs/>
        </w:rPr>
      </w:pPr>
    </w:p>
    <w:p w:rsidR="00727D26" w:rsidRPr="002B3978" w:rsidRDefault="00727D26" w:rsidP="00727D26">
      <w:pPr>
        <w:autoSpaceDE w:val="0"/>
        <w:autoSpaceDN w:val="0"/>
        <w:adjustRightInd w:val="0"/>
        <w:jc w:val="both"/>
        <w:rPr>
          <w:b/>
          <w:bCs/>
        </w:rPr>
      </w:pPr>
      <w:r>
        <w:rPr>
          <w:b/>
          <w:bCs/>
        </w:rPr>
        <w:t>K bodom 67 a 76</w:t>
      </w:r>
    </w:p>
    <w:p w:rsidR="00727D26" w:rsidRDefault="00727D26" w:rsidP="00727D26">
      <w:pPr>
        <w:autoSpaceDE w:val="0"/>
        <w:autoSpaceDN w:val="0"/>
        <w:adjustRightInd w:val="0"/>
        <w:ind w:firstLine="567"/>
        <w:jc w:val="both"/>
        <w:rPr>
          <w:bCs/>
        </w:rPr>
      </w:pPr>
      <w:r>
        <w:rPr>
          <w:bCs/>
        </w:rPr>
        <w:t>Navrhovanou úpravou sa ruší povinnosť mať povolenie na distribúciu pri distribúcii skvapalnených plynných uhľovodíkov (LPG), ktoré boli pri uvedení do daňového voľného obehu zdanené sadzbou dane 182 eur/1 000 kg. Zároveň sa ruší súvisiaca výnimka, podľa ktorej sa ustanovenie o distribúcii, predaji a spotrebe pohonných látok neuplatňuje na LPG distribuované v technických zariadeniach alebo v tlakových nádobách.</w:t>
      </w:r>
    </w:p>
    <w:p w:rsidR="00727D26" w:rsidRDefault="00727D26" w:rsidP="00727D26">
      <w:pPr>
        <w:autoSpaceDE w:val="0"/>
        <w:autoSpaceDN w:val="0"/>
        <w:adjustRightInd w:val="0"/>
        <w:jc w:val="both"/>
        <w:rPr>
          <w:bCs/>
        </w:rPr>
      </w:pPr>
    </w:p>
    <w:p w:rsidR="00727D26" w:rsidRPr="002B3978" w:rsidRDefault="00727D26" w:rsidP="00727D26">
      <w:pPr>
        <w:autoSpaceDE w:val="0"/>
        <w:autoSpaceDN w:val="0"/>
        <w:adjustRightInd w:val="0"/>
        <w:jc w:val="both"/>
        <w:rPr>
          <w:b/>
          <w:bCs/>
        </w:rPr>
      </w:pPr>
      <w:r>
        <w:rPr>
          <w:b/>
          <w:bCs/>
        </w:rPr>
        <w:t>K bodom 68 a 73</w:t>
      </w:r>
    </w:p>
    <w:p w:rsidR="00727D26" w:rsidRDefault="00727D26" w:rsidP="00727D26">
      <w:pPr>
        <w:autoSpaceDE w:val="0"/>
        <w:autoSpaceDN w:val="0"/>
        <w:adjustRightInd w:val="0"/>
        <w:ind w:firstLine="567"/>
        <w:jc w:val="both"/>
        <w:rPr>
          <w:bCs/>
        </w:rPr>
      </w:pPr>
      <w:r>
        <w:rPr>
          <w:bCs/>
        </w:rPr>
        <w:t>Legislatívno-technická úprava, ktorou sa na účely zákona definuje spotrebiteľské balenie, uvedené v doteraz planom znení § 8 ods. 5 zákona, ktoré sa navrhuje vypustiť. Zároveň sa upravujú poznámky pod čiarou k príslušným odkazom.</w:t>
      </w:r>
    </w:p>
    <w:p w:rsidR="00727D26" w:rsidRDefault="00727D26" w:rsidP="00727D26">
      <w:pPr>
        <w:autoSpaceDE w:val="0"/>
        <w:autoSpaceDN w:val="0"/>
        <w:adjustRightInd w:val="0"/>
        <w:jc w:val="both"/>
        <w:rPr>
          <w:bCs/>
        </w:rPr>
      </w:pPr>
    </w:p>
    <w:p w:rsidR="00727D26" w:rsidRPr="00145CC0" w:rsidRDefault="00727D26" w:rsidP="00727D26">
      <w:pPr>
        <w:autoSpaceDE w:val="0"/>
        <w:autoSpaceDN w:val="0"/>
        <w:adjustRightInd w:val="0"/>
        <w:jc w:val="both"/>
        <w:rPr>
          <w:b/>
          <w:bCs/>
        </w:rPr>
      </w:pPr>
      <w:r>
        <w:rPr>
          <w:b/>
          <w:bCs/>
        </w:rPr>
        <w:t>K bodu 69</w:t>
      </w:r>
    </w:p>
    <w:p w:rsidR="00727D26" w:rsidRDefault="00727D26" w:rsidP="00727D26">
      <w:pPr>
        <w:autoSpaceDE w:val="0"/>
        <w:autoSpaceDN w:val="0"/>
        <w:adjustRightInd w:val="0"/>
        <w:ind w:firstLine="567"/>
        <w:jc w:val="both"/>
        <w:rPr>
          <w:bCs/>
        </w:rPr>
      </w:pPr>
      <w:r>
        <w:rPr>
          <w:bCs/>
        </w:rPr>
        <w:t>Legislatívno-technická</w:t>
      </w:r>
      <w:r w:rsidR="00BA1EFF">
        <w:rPr>
          <w:bCs/>
        </w:rPr>
        <w:t xml:space="preserve"> úprava</w:t>
      </w:r>
      <w:r>
        <w:rPr>
          <w:bCs/>
        </w:rPr>
        <w:t>, ktorou sa zavádza legislatívna skratka pre Finančné riaditeľstvo Slovenskej republiky.</w:t>
      </w:r>
    </w:p>
    <w:p w:rsidR="00727D26" w:rsidRDefault="00727D26" w:rsidP="00727D26">
      <w:pPr>
        <w:autoSpaceDE w:val="0"/>
        <w:autoSpaceDN w:val="0"/>
        <w:adjustRightInd w:val="0"/>
        <w:jc w:val="both"/>
        <w:rPr>
          <w:bCs/>
        </w:rPr>
      </w:pPr>
    </w:p>
    <w:p w:rsidR="00274717" w:rsidRDefault="00274717" w:rsidP="00727D26">
      <w:pPr>
        <w:autoSpaceDE w:val="0"/>
        <w:autoSpaceDN w:val="0"/>
        <w:adjustRightInd w:val="0"/>
        <w:jc w:val="both"/>
        <w:rPr>
          <w:bCs/>
        </w:rPr>
      </w:pPr>
    </w:p>
    <w:p w:rsidR="00274717" w:rsidRDefault="00274717" w:rsidP="00727D26">
      <w:pPr>
        <w:autoSpaceDE w:val="0"/>
        <w:autoSpaceDN w:val="0"/>
        <w:adjustRightInd w:val="0"/>
        <w:jc w:val="both"/>
        <w:rPr>
          <w:bCs/>
        </w:rPr>
      </w:pPr>
    </w:p>
    <w:p w:rsidR="006A2D1A" w:rsidRDefault="006A2D1A" w:rsidP="00727D26">
      <w:pPr>
        <w:autoSpaceDE w:val="0"/>
        <w:autoSpaceDN w:val="0"/>
        <w:adjustRightInd w:val="0"/>
        <w:jc w:val="both"/>
        <w:rPr>
          <w:bCs/>
        </w:rPr>
      </w:pPr>
    </w:p>
    <w:p w:rsidR="00727D26" w:rsidRPr="00F9385A" w:rsidRDefault="00727D26" w:rsidP="00727D26">
      <w:pPr>
        <w:autoSpaceDE w:val="0"/>
        <w:autoSpaceDN w:val="0"/>
        <w:adjustRightInd w:val="0"/>
        <w:jc w:val="both"/>
        <w:rPr>
          <w:b/>
          <w:bCs/>
          <w:strike/>
        </w:rPr>
      </w:pPr>
      <w:r>
        <w:rPr>
          <w:b/>
          <w:bCs/>
        </w:rPr>
        <w:lastRenderedPageBreak/>
        <w:t>K bodom 71, 74 a 75</w:t>
      </w:r>
    </w:p>
    <w:p w:rsidR="00727D26" w:rsidRDefault="00727D26" w:rsidP="00727D26">
      <w:pPr>
        <w:autoSpaceDE w:val="0"/>
        <w:autoSpaceDN w:val="0"/>
        <w:adjustRightInd w:val="0"/>
        <w:ind w:firstLine="567"/>
        <w:jc w:val="both"/>
        <w:rPr>
          <w:bCs/>
        </w:rPr>
      </w:pPr>
      <w:r>
        <w:rPr>
          <w:bCs/>
        </w:rPr>
        <w:t>Legislatívno-technické úpravy stanovujúce distribútorovi pohonných látok, predajcovi pohonných látok a konečnému spotrebiteľovi postupovať pri preprave pohonných látok v daňovom voľnom obehu podľa ustanovenia upravujúceho postup pri preprave minerálneho oleja mimo pozastavenia dane na podnikateľské účely.</w:t>
      </w:r>
    </w:p>
    <w:p w:rsidR="00727D26" w:rsidRDefault="00727D26" w:rsidP="00727D26">
      <w:pPr>
        <w:autoSpaceDE w:val="0"/>
        <w:autoSpaceDN w:val="0"/>
        <w:adjustRightInd w:val="0"/>
        <w:jc w:val="both"/>
        <w:rPr>
          <w:bCs/>
        </w:rPr>
      </w:pPr>
    </w:p>
    <w:p w:rsidR="00727D26" w:rsidRPr="00DC5AFF" w:rsidRDefault="00727D26" w:rsidP="00727D26">
      <w:pPr>
        <w:autoSpaceDE w:val="0"/>
        <w:autoSpaceDN w:val="0"/>
        <w:adjustRightInd w:val="0"/>
        <w:jc w:val="both"/>
        <w:rPr>
          <w:b/>
          <w:bCs/>
        </w:rPr>
      </w:pPr>
      <w:r w:rsidRPr="00DC5AFF">
        <w:rPr>
          <w:b/>
          <w:bCs/>
        </w:rPr>
        <w:t>K</w:t>
      </w:r>
      <w:r>
        <w:rPr>
          <w:b/>
          <w:bCs/>
        </w:rPr>
        <w:t> </w:t>
      </w:r>
      <w:r w:rsidRPr="00DC5AFF">
        <w:rPr>
          <w:b/>
          <w:bCs/>
        </w:rPr>
        <w:t>bodu</w:t>
      </w:r>
      <w:r>
        <w:rPr>
          <w:b/>
          <w:bCs/>
        </w:rPr>
        <w:t xml:space="preserve"> 77</w:t>
      </w:r>
    </w:p>
    <w:p w:rsidR="00727D26" w:rsidRPr="00DC5AFF" w:rsidRDefault="00727D26" w:rsidP="00727D26">
      <w:pPr>
        <w:autoSpaceDE w:val="0"/>
        <w:autoSpaceDN w:val="0"/>
        <w:adjustRightInd w:val="0"/>
        <w:ind w:firstLine="567"/>
        <w:jc w:val="both"/>
        <w:rPr>
          <w:bCs/>
        </w:rPr>
      </w:pPr>
      <w:r>
        <w:rPr>
          <w:bCs/>
        </w:rPr>
        <w:t xml:space="preserve">Navrhovanou úpravou sa ruší oprávnenie Kriminálneho úradu finančnej správy </w:t>
      </w:r>
      <w:r w:rsidRPr="00DC5AFF">
        <w:rPr>
          <w:bCs/>
        </w:rPr>
        <w:t xml:space="preserve">dočasne pozastaviť uplatňovanie povolenia na prevádzkovanie daňového skladu, povolenia na obchodovanie, povolenia na distribúciu alebo povolenia na predaj </w:t>
      </w:r>
      <w:r>
        <w:rPr>
          <w:bCs/>
        </w:rPr>
        <w:t>z dôvodu jeho nadbytočnosti. Cieľ, ktorý sa mal týmto ustanovením dosiahnuť je plne zabezpečený platným ustanovením § 24a, ktorý umožňuje Kriminálneho úradu finančnej správy pozastaviť prístup do elektronického systému prepráv.</w:t>
      </w:r>
    </w:p>
    <w:p w:rsidR="00727D26" w:rsidRPr="00DC5AFF" w:rsidRDefault="00727D26" w:rsidP="00727D26">
      <w:pPr>
        <w:autoSpaceDE w:val="0"/>
        <w:autoSpaceDN w:val="0"/>
        <w:adjustRightInd w:val="0"/>
        <w:jc w:val="both"/>
        <w:rPr>
          <w:bCs/>
        </w:rPr>
      </w:pPr>
    </w:p>
    <w:p w:rsidR="00727D26" w:rsidRPr="002B3978" w:rsidRDefault="00727D26" w:rsidP="00727D26">
      <w:pPr>
        <w:autoSpaceDE w:val="0"/>
        <w:autoSpaceDN w:val="0"/>
        <w:adjustRightInd w:val="0"/>
        <w:jc w:val="both"/>
        <w:rPr>
          <w:b/>
          <w:bCs/>
        </w:rPr>
      </w:pPr>
      <w:r>
        <w:rPr>
          <w:b/>
          <w:bCs/>
        </w:rPr>
        <w:t>K bodom 78 až 81</w:t>
      </w:r>
    </w:p>
    <w:p w:rsidR="00727D26" w:rsidRDefault="00727D26" w:rsidP="00727D26">
      <w:pPr>
        <w:autoSpaceDE w:val="0"/>
        <w:autoSpaceDN w:val="0"/>
        <w:adjustRightInd w:val="0"/>
        <w:ind w:firstLine="567"/>
        <w:jc w:val="both"/>
        <w:rPr>
          <w:bCs/>
        </w:rPr>
      </w:pPr>
      <w:r>
        <w:rPr>
          <w:bCs/>
        </w:rPr>
        <w:t>Legislatívno-technické úpravy zjednodušujúce administratívny p</w:t>
      </w:r>
      <w:r w:rsidRPr="004B42B1">
        <w:rPr>
          <w:bCs/>
        </w:rPr>
        <w:t>ostup pri preprave minerálneho oleja v pozastavení dane a</w:t>
      </w:r>
      <w:r>
        <w:rPr>
          <w:bCs/>
        </w:rPr>
        <w:t xml:space="preserve"> minerálneho oleja </w:t>
      </w:r>
      <w:r w:rsidRPr="004B42B1">
        <w:rPr>
          <w:bCs/>
        </w:rPr>
        <w:t>oslobodeného od dane pri nedostupnom elektronickom systéme</w:t>
      </w:r>
      <w:r>
        <w:rPr>
          <w:bCs/>
        </w:rPr>
        <w:t>.</w:t>
      </w:r>
    </w:p>
    <w:p w:rsidR="00727D26" w:rsidRPr="00DC5AFF" w:rsidRDefault="00727D26" w:rsidP="00727D26">
      <w:pPr>
        <w:autoSpaceDE w:val="0"/>
        <w:autoSpaceDN w:val="0"/>
        <w:adjustRightInd w:val="0"/>
        <w:jc w:val="both"/>
        <w:rPr>
          <w:bCs/>
        </w:rPr>
      </w:pPr>
    </w:p>
    <w:p w:rsidR="00727D26" w:rsidRPr="002B3978" w:rsidRDefault="00727D26" w:rsidP="00727D26">
      <w:pPr>
        <w:autoSpaceDE w:val="0"/>
        <w:autoSpaceDN w:val="0"/>
        <w:adjustRightInd w:val="0"/>
        <w:jc w:val="both"/>
        <w:rPr>
          <w:b/>
          <w:bCs/>
        </w:rPr>
      </w:pPr>
      <w:r>
        <w:rPr>
          <w:b/>
          <w:bCs/>
        </w:rPr>
        <w:t>K bodom 82 až 84</w:t>
      </w:r>
    </w:p>
    <w:p w:rsidR="00727D26" w:rsidRDefault="00727D26" w:rsidP="00727D26">
      <w:pPr>
        <w:autoSpaceDE w:val="0"/>
        <w:autoSpaceDN w:val="0"/>
        <w:adjustRightInd w:val="0"/>
        <w:ind w:firstLine="567"/>
        <w:jc w:val="both"/>
        <w:rPr>
          <w:bCs/>
        </w:rPr>
      </w:pPr>
      <w:r>
        <w:rPr>
          <w:bCs/>
        </w:rPr>
        <w:t>Navrhovanými úpravami sa vypúšťajú povinnosti daňového subjektu pri dovoze minerálneho oleja z tretích štátov na preukazovanie skutočností, ktoré si colný úrad vie overiť vo svojej evidencii a zároveň sa spresňujú povinnosti užívateľského podniku pri dovoze daňovo zvýhodneného minerálneho oleja z tretích štátov.</w:t>
      </w:r>
    </w:p>
    <w:p w:rsidR="00727D26" w:rsidRDefault="00727D26" w:rsidP="00727D26">
      <w:pPr>
        <w:autoSpaceDE w:val="0"/>
        <w:autoSpaceDN w:val="0"/>
        <w:adjustRightInd w:val="0"/>
        <w:jc w:val="both"/>
        <w:rPr>
          <w:bCs/>
        </w:rPr>
      </w:pPr>
    </w:p>
    <w:p w:rsidR="00727D26" w:rsidRPr="002B3978" w:rsidRDefault="00727D26" w:rsidP="00727D26">
      <w:pPr>
        <w:autoSpaceDE w:val="0"/>
        <w:autoSpaceDN w:val="0"/>
        <w:adjustRightInd w:val="0"/>
        <w:jc w:val="both"/>
        <w:rPr>
          <w:b/>
          <w:bCs/>
        </w:rPr>
      </w:pPr>
      <w:r>
        <w:rPr>
          <w:b/>
          <w:bCs/>
        </w:rPr>
        <w:t>K bodom 85 až 88</w:t>
      </w:r>
    </w:p>
    <w:p w:rsidR="00727D26" w:rsidRDefault="00727D26" w:rsidP="00727D26">
      <w:pPr>
        <w:tabs>
          <w:tab w:val="left" w:pos="360"/>
        </w:tabs>
        <w:ind w:firstLine="567"/>
        <w:jc w:val="both"/>
      </w:pPr>
      <w:r w:rsidRPr="004968CF">
        <w:t xml:space="preserve">Navrhované úpravy v súlade so smernicou Rady (EÚ) 2020/262 </w:t>
      </w:r>
      <w:r>
        <w:t xml:space="preserve">a </w:t>
      </w:r>
      <w:r w:rsidRPr="004968CF">
        <w:t xml:space="preserve">v porovnaní s doteraz platnou právnou úpravou zásadne menia postup </w:t>
      </w:r>
      <w:r>
        <w:t xml:space="preserve">pri preprave minerálneho oleja v </w:t>
      </w:r>
      <w:r w:rsidRPr="004968CF">
        <w:t xml:space="preserve">daňovom voľnom obehu na podnikateľské účely na daňovom </w:t>
      </w:r>
      <w:r>
        <w:t>území</w:t>
      </w:r>
      <w:r w:rsidRPr="004968CF">
        <w:t xml:space="preserve"> tak, že sa papierové (tlačené) trojdielne sprievodné dokumenty nahrádzajú elektronickým systémom vyhotovovania zjednodušeného sprievodného administratívneho dokumentu, jeho zasielania colnému úradu, prideľovania </w:t>
      </w:r>
      <w:r>
        <w:t>jedinečného zjednodušeného administratívneho referenčného kódu</w:t>
      </w:r>
      <w:r w:rsidRPr="004968CF">
        <w:t xml:space="preserve"> colným úradom, informovania colného úradu odosielateľa, ako i colného úradu príjemcu o preprave minerálneho oleja </w:t>
      </w:r>
      <w:r>
        <w:t>v daňovom voľnom obehu</w:t>
      </w:r>
      <w:r w:rsidRPr="004968CF">
        <w:t xml:space="preserve">, a to od jej začatia až po ukončenie a potvrdenie príjmu minerálneho oleja prostredníctvom elektronického systému vyhotovovania správ o prijatí </w:t>
      </w:r>
      <w:r>
        <w:t>príjemcom minerálneho oleja v daňovom voľnom obehu.</w:t>
      </w:r>
    </w:p>
    <w:p w:rsidR="00727D26" w:rsidRPr="004968CF" w:rsidRDefault="00727D26" w:rsidP="00727D26">
      <w:pPr>
        <w:tabs>
          <w:tab w:val="left" w:pos="360"/>
        </w:tabs>
        <w:ind w:firstLine="567"/>
        <w:jc w:val="both"/>
      </w:pPr>
      <w:r>
        <w:t>V rámci daňového územia sa nad rámec smernice</w:t>
      </w:r>
      <w:r w:rsidRPr="004968CF">
        <w:t xml:space="preserve"> Rady (EÚ) 2020/262</w:t>
      </w:r>
      <w:r>
        <w:t xml:space="preserve"> navrhuje preprava pohonných látok (benzín, nafta a LPG) uvedených do daňového voľného obehu uskutočňovať prostredníctvom elektronického systému prepráv.</w:t>
      </w:r>
    </w:p>
    <w:p w:rsidR="00727D26" w:rsidRPr="004968CF" w:rsidRDefault="00727D26" w:rsidP="00727D26">
      <w:pPr>
        <w:ind w:firstLine="567"/>
        <w:jc w:val="both"/>
      </w:pPr>
      <w:r w:rsidRPr="004968CF">
        <w:t xml:space="preserve">Odosielateľ minerálneho oleja </w:t>
      </w:r>
      <w:r>
        <w:t>v daňovom voľnom obehu</w:t>
      </w:r>
      <w:r w:rsidRPr="004968CF">
        <w:t xml:space="preserve">, ktorým </w:t>
      </w:r>
      <w:r>
        <w:t>je schválený odosielateľ alebo distribútor pohonných látok</w:t>
      </w:r>
      <w:r w:rsidRPr="004968CF">
        <w:t xml:space="preserve">, </w:t>
      </w:r>
      <w:r>
        <w:t>bude</w:t>
      </w:r>
      <w:r w:rsidRPr="004968CF">
        <w:t xml:space="preserve"> povinný vyhotoviť návrh </w:t>
      </w:r>
      <w:r>
        <w:t xml:space="preserve">zjednodušeného </w:t>
      </w:r>
      <w:r w:rsidRPr="004968CF">
        <w:t>elektronického dokumentu, ktorý zašle colnému úradu odosielateľa. Colný úrad odosielateľa overí údaje v</w:t>
      </w:r>
      <w:r>
        <w:t xml:space="preserve"> zjednodušenom </w:t>
      </w:r>
      <w:r w:rsidRPr="004968CF">
        <w:t xml:space="preserve">elektronickom dokumente a pridelí mu </w:t>
      </w:r>
      <w:r>
        <w:t xml:space="preserve">zjednodušený </w:t>
      </w:r>
      <w:r w:rsidRPr="004968CF">
        <w:t>referenčný kód, ktorý oznámi odosielateľovi. Colný úrad odosielateľa je povinný po oznámení referenčného kódu odosielateľovi odoslať elektronický dokument správcovi dane v inom členskom štáte alebo colnému úradu príjemcu na daňovom území</w:t>
      </w:r>
      <w:r>
        <w:t>, ktorým je schválený príjemca, distribútor pohonných látok, predajca pohonných látok alebo konečný spotrebiteľ pohonných látok na podnikateľské účely</w:t>
      </w:r>
      <w:r w:rsidRPr="004968CF">
        <w:t xml:space="preserve">. Colný úrad príjemcu na daňovom území je povinný odoslať </w:t>
      </w:r>
      <w:r>
        <w:t xml:space="preserve">zjednodušený </w:t>
      </w:r>
      <w:r w:rsidRPr="004968CF">
        <w:t>el</w:t>
      </w:r>
      <w:r>
        <w:t>ektronický dokument príjemcovi.</w:t>
      </w:r>
    </w:p>
    <w:p w:rsidR="00727D26" w:rsidRDefault="00727D26" w:rsidP="00727D26">
      <w:pPr>
        <w:ind w:firstLine="567"/>
        <w:jc w:val="both"/>
      </w:pPr>
      <w:r w:rsidRPr="004968CF">
        <w:lastRenderedPageBreak/>
        <w:t xml:space="preserve">Príjemca je povinný najneskôr do piatich kalendárnych dní odo dňa prijatia minerálneho oleja elektronicky vyhotoviť správu o prijatí a túto prostredníctvom elektronického systému zaslať colnému úradu príjemcu. Colný úrad príjemcu je povinný elektronicky overiť údaje v správe o prijatí a ak sú tieto údaje správne, potvrdiť príjemcovi zaevidovanie správy o prijatí a zároveň odoslať potvrdenú správu o prijatí colnému úradu odosielateľa na daňovom území alebo správcovi dane iného členského štátu. Colný úrad odosielateľa, ktorý </w:t>
      </w:r>
      <w:proofErr w:type="spellStart"/>
      <w:r w:rsidRPr="004968CF">
        <w:t>obdržal</w:t>
      </w:r>
      <w:proofErr w:type="spellEnd"/>
      <w:r w:rsidRPr="004968CF">
        <w:t xml:space="preserve"> správu o prijatí od colného úradu príjemcu alebo od správcu dane v inom členskom štáte, je povinný odoslať správu o prijatí odosielateľovi.</w:t>
      </w:r>
    </w:p>
    <w:p w:rsidR="00727D26" w:rsidRPr="004968CF" w:rsidRDefault="00727D26" w:rsidP="00727D26">
      <w:pPr>
        <w:ind w:firstLine="708"/>
        <w:jc w:val="both"/>
      </w:pPr>
      <w:r>
        <w:t>Zároveň sa navrhuje postup pri preprave minerálneho oleja v daňovom voľnom obehu na podnikateľské účely pri nedostupnom elektronickom systéme.</w:t>
      </w:r>
    </w:p>
    <w:p w:rsidR="00727D26" w:rsidRPr="000842CF" w:rsidRDefault="00727D26" w:rsidP="00727D26">
      <w:pPr>
        <w:ind w:firstLine="708"/>
        <w:jc w:val="both"/>
      </w:pPr>
      <w:r>
        <w:t>Tiež sa stanovujú</w:t>
      </w:r>
      <w:r w:rsidRPr="004968CF">
        <w:t xml:space="preserve"> podmienky na</w:t>
      </w:r>
      <w:r>
        <w:t xml:space="preserve"> registráciu schváleného odosielateľa a</w:t>
      </w:r>
      <w:r w:rsidRPr="004968CF">
        <w:t xml:space="preserve"> vydanie povolenia</w:t>
      </w:r>
      <w:r>
        <w:t xml:space="preserve"> odosielať minerálny olej na podnikateľské účely, po</w:t>
      </w:r>
      <w:r w:rsidRPr="004968CF">
        <w:t>dmienky</w:t>
      </w:r>
      <w:r>
        <w:t xml:space="preserve"> </w:t>
      </w:r>
      <w:r w:rsidRPr="004968CF">
        <w:t>na</w:t>
      </w:r>
      <w:r>
        <w:t xml:space="preserve"> registráciu schváleného príjemcu a</w:t>
      </w:r>
      <w:r w:rsidRPr="004968CF">
        <w:t xml:space="preserve"> vydanie povolenia</w:t>
      </w:r>
      <w:r>
        <w:t xml:space="preserve"> prijímať minerálny olej na podnikateľské účely a postup pri zmene, odňatí a zániku týchto povolení.</w:t>
      </w:r>
    </w:p>
    <w:p w:rsidR="00727D26" w:rsidRDefault="00727D26" w:rsidP="00727D26">
      <w:pPr>
        <w:autoSpaceDE w:val="0"/>
        <w:autoSpaceDN w:val="0"/>
        <w:adjustRightInd w:val="0"/>
        <w:jc w:val="both"/>
        <w:rPr>
          <w:bCs/>
        </w:rPr>
      </w:pPr>
    </w:p>
    <w:p w:rsidR="00727D26" w:rsidRPr="002B3978" w:rsidRDefault="00727D26" w:rsidP="00727D26">
      <w:pPr>
        <w:autoSpaceDE w:val="0"/>
        <w:autoSpaceDN w:val="0"/>
        <w:adjustRightInd w:val="0"/>
        <w:jc w:val="both"/>
        <w:rPr>
          <w:b/>
          <w:bCs/>
        </w:rPr>
      </w:pPr>
      <w:r>
        <w:rPr>
          <w:b/>
          <w:bCs/>
        </w:rPr>
        <w:t>K bodu 89</w:t>
      </w:r>
    </w:p>
    <w:p w:rsidR="00727D26" w:rsidRDefault="00727D26" w:rsidP="00727D26">
      <w:pPr>
        <w:autoSpaceDE w:val="0"/>
        <w:autoSpaceDN w:val="0"/>
        <w:adjustRightInd w:val="0"/>
        <w:ind w:firstLine="567"/>
        <w:jc w:val="both"/>
        <w:rPr>
          <w:bCs/>
        </w:rPr>
      </w:pPr>
      <w:r>
        <w:rPr>
          <w:bCs/>
        </w:rPr>
        <w:t xml:space="preserve">Navrhovanou úpravou sa dopĺňa zoznam osôb, ktoré nie sú oprávnené na daňovom území odoberať minerálny olej na </w:t>
      </w:r>
      <w:r w:rsidRPr="00BF239D">
        <w:rPr>
          <w:bCs/>
        </w:rPr>
        <w:t xml:space="preserve">súkromné </w:t>
      </w:r>
      <w:r>
        <w:rPr>
          <w:bCs/>
        </w:rPr>
        <w:t>účely prostredníctvom zásielkového obchodu.</w:t>
      </w:r>
    </w:p>
    <w:p w:rsidR="00727D26" w:rsidRDefault="00727D26" w:rsidP="00727D26">
      <w:pPr>
        <w:autoSpaceDE w:val="0"/>
        <w:autoSpaceDN w:val="0"/>
        <w:adjustRightInd w:val="0"/>
        <w:jc w:val="both"/>
        <w:rPr>
          <w:bCs/>
        </w:rPr>
      </w:pPr>
    </w:p>
    <w:p w:rsidR="00727D26" w:rsidRPr="002B3978" w:rsidRDefault="00727D26" w:rsidP="00727D26">
      <w:pPr>
        <w:autoSpaceDE w:val="0"/>
        <w:autoSpaceDN w:val="0"/>
        <w:adjustRightInd w:val="0"/>
        <w:jc w:val="both"/>
        <w:rPr>
          <w:b/>
          <w:bCs/>
        </w:rPr>
      </w:pPr>
      <w:r>
        <w:rPr>
          <w:b/>
          <w:bCs/>
        </w:rPr>
        <w:t>K bodu 90</w:t>
      </w:r>
    </w:p>
    <w:p w:rsidR="00727D26" w:rsidRDefault="00727D26" w:rsidP="00727D26">
      <w:pPr>
        <w:autoSpaceDE w:val="0"/>
        <w:autoSpaceDN w:val="0"/>
        <w:adjustRightInd w:val="0"/>
        <w:ind w:firstLine="567"/>
        <w:jc w:val="both"/>
        <w:rPr>
          <w:bCs/>
        </w:rPr>
      </w:pPr>
      <w:r>
        <w:rPr>
          <w:bCs/>
        </w:rPr>
        <w:t xml:space="preserve">Navrhovanou úpravou sa upravuje lehota na podanie daňového priznania a deň platenia dane odosielateľom pri </w:t>
      </w:r>
      <w:r w:rsidRPr="00A454C7">
        <w:rPr>
          <w:bCs/>
        </w:rPr>
        <w:t>zásielkovom obchode s cieľom zjednotiť lehoty na podanie daňového priznania a deň platenia dane pre všetky daňové subjekty okrem prevádzkovateľa daňového skladu a oprávneného príjemcu, ktorý prijíma minerálny olej v pozastavení dane opakovane.</w:t>
      </w:r>
    </w:p>
    <w:p w:rsidR="00727D26" w:rsidRDefault="00727D26" w:rsidP="00727D26">
      <w:pPr>
        <w:autoSpaceDE w:val="0"/>
        <w:autoSpaceDN w:val="0"/>
        <w:adjustRightInd w:val="0"/>
        <w:jc w:val="both"/>
        <w:rPr>
          <w:bCs/>
        </w:rPr>
      </w:pPr>
    </w:p>
    <w:p w:rsidR="00727D26" w:rsidRPr="002B3978" w:rsidRDefault="00727D26" w:rsidP="00727D26">
      <w:pPr>
        <w:autoSpaceDE w:val="0"/>
        <w:autoSpaceDN w:val="0"/>
        <w:adjustRightInd w:val="0"/>
        <w:jc w:val="both"/>
        <w:rPr>
          <w:b/>
          <w:bCs/>
        </w:rPr>
      </w:pPr>
      <w:r>
        <w:rPr>
          <w:b/>
          <w:bCs/>
        </w:rPr>
        <w:t>K bodom 91 a 92</w:t>
      </w:r>
    </w:p>
    <w:p w:rsidR="00727D26" w:rsidRDefault="00727D26" w:rsidP="00727D26">
      <w:pPr>
        <w:autoSpaceDE w:val="0"/>
        <w:autoSpaceDN w:val="0"/>
        <w:adjustRightInd w:val="0"/>
        <w:ind w:firstLine="567"/>
        <w:jc w:val="both"/>
        <w:rPr>
          <w:bCs/>
        </w:rPr>
      </w:pPr>
      <w:r>
        <w:rPr>
          <w:bCs/>
        </w:rPr>
        <w:t>Legislatívno-technické úpravy súvisiace s nezrovnalosťami pri preprave minerálneho oleja mimo pozastavenia dane na podnikateľské účely alebo zásielkovom obchode súvisiace            s navrhovanými úpravami v ustanovení o postupe pri preprave minerálneho oleja mimo pozastavenia dane na podnikateľské účely.</w:t>
      </w:r>
    </w:p>
    <w:p w:rsidR="00727D26" w:rsidRDefault="00727D26" w:rsidP="00727D26">
      <w:pPr>
        <w:autoSpaceDE w:val="0"/>
        <w:autoSpaceDN w:val="0"/>
        <w:adjustRightInd w:val="0"/>
        <w:jc w:val="both"/>
        <w:rPr>
          <w:bCs/>
        </w:rPr>
      </w:pPr>
    </w:p>
    <w:p w:rsidR="00727D26" w:rsidRPr="002B3978" w:rsidRDefault="00727D26" w:rsidP="00727D26">
      <w:pPr>
        <w:autoSpaceDE w:val="0"/>
        <w:autoSpaceDN w:val="0"/>
        <w:adjustRightInd w:val="0"/>
        <w:jc w:val="both"/>
        <w:rPr>
          <w:b/>
          <w:bCs/>
        </w:rPr>
      </w:pPr>
      <w:r>
        <w:rPr>
          <w:b/>
          <w:bCs/>
        </w:rPr>
        <w:t>K bodu 93</w:t>
      </w:r>
    </w:p>
    <w:p w:rsidR="00727D26" w:rsidRDefault="00727D26" w:rsidP="00727D26">
      <w:pPr>
        <w:autoSpaceDE w:val="0"/>
        <w:autoSpaceDN w:val="0"/>
        <w:adjustRightInd w:val="0"/>
        <w:ind w:firstLine="567"/>
        <w:jc w:val="both"/>
        <w:rPr>
          <w:bCs/>
        </w:rPr>
      </w:pPr>
      <w:r>
        <w:rPr>
          <w:bCs/>
        </w:rPr>
        <w:t xml:space="preserve">Legislatívno-technické úpravy, ktorými sa upravuje vedenie evidencie prevádzkovateľom daňového skladu súvisiace s novým znením ustanovenia o užívateľskom podniku a zrušením povinnosti primiešavať </w:t>
      </w:r>
      <w:proofErr w:type="spellStart"/>
      <w:r>
        <w:rPr>
          <w:bCs/>
        </w:rPr>
        <w:t>biopalivo</w:t>
      </w:r>
      <w:proofErr w:type="spellEnd"/>
      <w:r>
        <w:rPr>
          <w:bCs/>
        </w:rPr>
        <w:t xml:space="preserve"> na uplatnenie daňovo zvýhodnenej  sadzby dane na pohonné látky.</w:t>
      </w:r>
    </w:p>
    <w:p w:rsidR="00727D26" w:rsidRDefault="00727D26" w:rsidP="00727D26">
      <w:pPr>
        <w:autoSpaceDE w:val="0"/>
        <w:autoSpaceDN w:val="0"/>
        <w:adjustRightInd w:val="0"/>
        <w:jc w:val="both"/>
        <w:rPr>
          <w:bCs/>
        </w:rPr>
      </w:pPr>
    </w:p>
    <w:p w:rsidR="00727D26" w:rsidRPr="002B3978" w:rsidRDefault="00727D26" w:rsidP="00727D26">
      <w:pPr>
        <w:autoSpaceDE w:val="0"/>
        <w:autoSpaceDN w:val="0"/>
        <w:adjustRightInd w:val="0"/>
        <w:jc w:val="both"/>
        <w:rPr>
          <w:b/>
          <w:bCs/>
        </w:rPr>
      </w:pPr>
      <w:r>
        <w:rPr>
          <w:b/>
          <w:bCs/>
        </w:rPr>
        <w:t>K bodu 94</w:t>
      </w:r>
    </w:p>
    <w:p w:rsidR="00727D26" w:rsidRDefault="00727D26" w:rsidP="00727D26">
      <w:pPr>
        <w:autoSpaceDE w:val="0"/>
        <w:autoSpaceDN w:val="0"/>
        <w:adjustRightInd w:val="0"/>
        <w:ind w:firstLine="567"/>
        <w:jc w:val="both"/>
        <w:rPr>
          <w:bCs/>
        </w:rPr>
      </w:pPr>
      <w:r>
        <w:rPr>
          <w:bCs/>
        </w:rPr>
        <w:t>Navrhovaným textom sa upravuje rozsah a spôsob vedenia elektronickej evidencie odberu a použitia daňovo zvýhodneného minerálneho oleja užívateľským podnikom. Cieľom navrhovanej elektronickej evidencie odberu a použitia daňovo zvýhodneného minerálneho oleja je nahradiť doterajšie odpisové listy odberného poukazu vydávané colným úradom v listinnej forme.</w:t>
      </w:r>
    </w:p>
    <w:p w:rsidR="00727D26" w:rsidRDefault="00727D26" w:rsidP="00727D26">
      <w:pPr>
        <w:autoSpaceDE w:val="0"/>
        <w:autoSpaceDN w:val="0"/>
        <w:adjustRightInd w:val="0"/>
        <w:jc w:val="both"/>
        <w:rPr>
          <w:bCs/>
        </w:rPr>
      </w:pPr>
    </w:p>
    <w:p w:rsidR="00727D26" w:rsidRPr="00201697" w:rsidRDefault="00727D26" w:rsidP="00727D26">
      <w:pPr>
        <w:autoSpaceDE w:val="0"/>
        <w:autoSpaceDN w:val="0"/>
        <w:adjustRightInd w:val="0"/>
        <w:jc w:val="both"/>
        <w:rPr>
          <w:b/>
          <w:bCs/>
        </w:rPr>
      </w:pPr>
      <w:r>
        <w:rPr>
          <w:b/>
          <w:bCs/>
        </w:rPr>
        <w:t>K bodu 95</w:t>
      </w:r>
    </w:p>
    <w:p w:rsidR="00727D26" w:rsidRDefault="00727D26" w:rsidP="00727D26">
      <w:pPr>
        <w:autoSpaceDE w:val="0"/>
        <w:autoSpaceDN w:val="0"/>
        <w:adjustRightInd w:val="0"/>
        <w:ind w:firstLine="567"/>
        <w:jc w:val="both"/>
        <w:rPr>
          <w:bCs/>
        </w:rPr>
      </w:pPr>
      <w:r>
        <w:rPr>
          <w:bCs/>
        </w:rPr>
        <w:t>Legislatívno-technická úprava, ktorou sa stanovuje vedenie evidencie schváleným príjemcom podľa tohto ustanovenia.</w:t>
      </w:r>
    </w:p>
    <w:p w:rsidR="00727D26" w:rsidRDefault="00727D26" w:rsidP="00727D26">
      <w:pPr>
        <w:autoSpaceDE w:val="0"/>
        <w:autoSpaceDN w:val="0"/>
        <w:adjustRightInd w:val="0"/>
        <w:jc w:val="both"/>
        <w:rPr>
          <w:bCs/>
        </w:rPr>
      </w:pPr>
    </w:p>
    <w:p w:rsidR="00274717" w:rsidRDefault="00274717" w:rsidP="00727D26">
      <w:pPr>
        <w:autoSpaceDE w:val="0"/>
        <w:autoSpaceDN w:val="0"/>
        <w:adjustRightInd w:val="0"/>
        <w:jc w:val="both"/>
        <w:rPr>
          <w:bCs/>
        </w:rPr>
      </w:pPr>
    </w:p>
    <w:p w:rsidR="00274717" w:rsidRDefault="00274717" w:rsidP="00727D26">
      <w:pPr>
        <w:autoSpaceDE w:val="0"/>
        <w:autoSpaceDN w:val="0"/>
        <w:adjustRightInd w:val="0"/>
        <w:jc w:val="both"/>
        <w:rPr>
          <w:bCs/>
        </w:rPr>
      </w:pPr>
    </w:p>
    <w:p w:rsidR="00727D26" w:rsidRPr="00201697" w:rsidRDefault="00727D26" w:rsidP="00727D26">
      <w:pPr>
        <w:autoSpaceDE w:val="0"/>
        <w:autoSpaceDN w:val="0"/>
        <w:adjustRightInd w:val="0"/>
        <w:jc w:val="both"/>
        <w:rPr>
          <w:b/>
          <w:bCs/>
        </w:rPr>
      </w:pPr>
      <w:r>
        <w:rPr>
          <w:b/>
          <w:bCs/>
        </w:rPr>
        <w:lastRenderedPageBreak/>
        <w:t>K bodu 96</w:t>
      </w:r>
    </w:p>
    <w:p w:rsidR="00727D26" w:rsidRDefault="00727D26" w:rsidP="00727D26">
      <w:pPr>
        <w:autoSpaceDE w:val="0"/>
        <w:autoSpaceDN w:val="0"/>
        <w:adjustRightInd w:val="0"/>
        <w:ind w:firstLine="567"/>
        <w:jc w:val="both"/>
        <w:rPr>
          <w:bCs/>
        </w:rPr>
      </w:pPr>
      <w:r>
        <w:rPr>
          <w:bCs/>
        </w:rPr>
        <w:t xml:space="preserve">Navrhovanou úpravou sa spresňuje vedenie evidencie minerálneho oleja, ktorým je LPG určený na konečné použitie ako palivo na výrobu tepla, prijatého na daňovom území na podnikateľské účely v daňovom voľnom obehu a tento minerálny olej sa prepravuje </w:t>
      </w:r>
      <w:r w:rsidRPr="00A454C7">
        <w:rPr>
          <w:bCs/>
        </w:rPr>
        <w:t>v tlakových nádobách určených na konečnú spotrebu</w:t>
      </w:r>
      <w:r>
        <w:rPr>
          <w:bCs/>
        </w:rPr>
        <w:t>.</w:t>
      </w:r>
    </w:p>
    <w:p w:rsidR="00727D26" w:rsidRDefault="00727D26" w:rsidP="00727D26">
      <w:pPr>
        <w:autoSpaceDE w:val="0"/>
        <w:autoSpaceDN w:val="0"/>
        <w:adjustRightInd w:val="0"/>
        <w:jc w:val="both"/>
        <w:rPr>
          <w:bCs/>
        </w:rPr>
      </w:pPr>
    </w:p>
    <w:p w:rsidR="00727D26" w:rsidRDefault="00727D26" w:rsidP="00727D26">
      <w:pPr>
        <w:autoSpaceDE w:val="0"/>
        <w:autoSpaceDN w:val="0"/>
        <w:adjustRightInd w:val="0"/>
        <w:jc w:val="both"/>
        <w:rPr>
          <w:b/>
          <w:bCs/>
        </w:rPr>
      </w:pPr>
      <w:r>
        <w:rPr>
          <w:b/>
          <w:bCs/>
        </w:rPr>
        <w:t>K bodom 98 až 101</w:t>
      </w:r>
    </w:p>
    <w:p w:rsidR="00727D26" w:rsidRPr="00DE3ED5" w:rsidRDefault="00727D26" w:rsidP="00727D26">
      <w:pPr>
        <w:autoSpaceDE w:val="0"/>
        <w:autoSpaceDN w:val="0"/>
        <w:adjustRightInd w:val="0"/>
        <w:ind w:firstLine="567"/>
        <w:jc w:val="both"/>
        <w:rPr>
          <w:bCs/>
        </w:rPr>
      </w:pPr>
      <w:r>
        <w:rPr>
          <w:bCs/>
        </w:rPr>
        <w:t>Navrhované ustanovenia menia a dopĺňajú vedenie evidencie colným úradom a finančným riaditeľstvom vyplývajúce z návrhu zákona.</w:t>
      </w:r>
    </w:p>
    <w:p w:rsidR="00727D26" w:rsidRDefault="00727D26" w:rsidP="00727D26">
      <w:pPr>
        <w:autoSpaceDE w:val="0"/>
        <w:autoSpaceDN w:val="0"/>
        <w:adjustRightInd w:val="0"/>
        <w:jc w:val="both"/>
        <w:rPr>
          <w:bCs/>
        </w:rPr>
      </w:pPr>
    </w:p>
    <w:p w:rsidR="00727D26" w:rsidRPr="003F05A6" w:rsidRDefault="00727D26" w:rsidP="00727D26">
      <w:pPr>
        <w:autoSpaceDE w:val="0"/>
        <w:autoSpaceDN w:val="0"/>
        <w:adjustRightInd w:val="0"/>
        <w:jc w:val="both"/>
        <w:rPr>
          <w:b/>
          <w:bCs/>
        </w:rPr>
      </w:pPr>
      <w:r w:rsidRPr="003F05A6">
        <w:rPr>
          <w:b/>
          <w:bCs/>
        </w:rPr>
        <w:t>K </w:t>
      </w:r>
      <w:r>
        <w:rPr>
          <w:b/>
          <w:bCs/>
        </w:rPr>
        <w:t>bodom</w:t>
      </w:r>
      <w:r w:rsidRPr="003F05A6">
        <w:rPr>
          <w:b/>
          <w:bCs/>
        </w:rPr>
        <w:t xml:space="preserve"> </w:t>
      </w:r>
      <w:r>
        <w:rPr>
          <w:b/>
          <w:bCs/>
        </w:rPr>
        <w:t>102 až 109</w:t>
      </w:r>
    </w:p>
    <w:p w:rsidR="00727D26" w:rsidRDefault="00727D26" w:rsidP="00727D26">
      <w:pPr>
        <w:autoSpaceDE w:val="0"/>
        <w:autoSpaceDN w:val="0"/>
        <w:adjustRightInd w:val="0"/>
        <w:ind w:firstLine="567"/>
        <w:jc w:val="both"/>
        <w:rPr>
          <w:bCs/>
        </w:rPr>
      </w:pPr>
      <w:r>
        <w:rPr>
          <w:bCs/>
        </w:rPr>
        <w:t>V súvislosti s navrhovanými legislatívnymi zmenami je potrebné upraviť správne delikty, priestupky a pokuty ukladané colným úradom za tieto delikty a priestupky.</w:t>
      </w:r>
    </w:p>
    <w:p w:rsidR="00727D26" w:rsidRDefault="00727D26" w:rsidP="00727D26">
      <w:pPr>
        <w:autoSpaceDE w:val="0"/>
        <w:autoSpaceDN w:val="0"/>
        <w:adjustRightInd w:val="0"/>
        <w:jc w:val="both"/>
        <w:rPr>
          <w:bCs/>
        </w:rPr>
      </w:pPr>
    </w:p>
    <w:p w:rsidR="00727D26" w:rsidRPr="00956E93" w:rsidRDefault="00727D26" w:rsidP="00727D26">
      <w:pPr>
        <w:autoSpaceDE w:val="0"/>
        <w:autoSpaceDN w:val="0"/>
        <w:adjustRightInd w:val="0"/>
        <w:jc w:val="both"/>
        <w:rPr>
          <w:b/>
          <w:bCs/>
        </w:rPr>
      </w:pPr>
      <w:r>
        <w:rPr>
          <w:b/>
          <w:bCs/>
        </w:rPr>
        <w:t>K bodu 110</w:t>
      </w:r>
    </w:p>
    <w:p w:rsidR="00727D26" w:rsidRDefault="00727D26" w:rsidP="00727D26">
      <w:pPr>
        <w:autoSpaceDE w:val="0"/>
        <w:autoSpaceDN w:val="0"/>
        <w:adjustRightInd w:val="0"/>
        <w:ind w:firstLine="567"/>
        <w:jc w:val="both"/>
        <w:rPr>
          <w:bCs/>
        </w:rPr>
      </w:pPr>
      <w:r>
        <w:rPr>
          <w:bCs/>
        </w:rPr>
        <w:t>Legislatívno-technická úprava spresňujúca, na ktoré ustanovenia sa vzťahujú ustanovenia Daňového poriadku o registračnom konaní.</w:t>
      </w:r>
    </w:p>
    <w:p w:rsidR="00727D26" w:rsidRDefault="00727D26" w:rsidP="00727D26">
      <w:pPr>
        <w:autoSpaceDE w:val="0"/>
        <w:autoSpaceDN w:val="0"/>
        <w:adjustRightInd w:val="0"/>
        <w:jc w:val="both"/>
        <w:rPr>
          <w:bCs/>
        </w:rPr>
      </w:pPr>
    </w:p>
    <w:p w:rsidR="00727D26" w:rsidRPr="003F05A6" w:rsidRDefault="00727D26" w:rsidP="00727D26">
      <w:pPr>
        <w:autoSpaceDE w:val="0"/>
        <w:autoSpaceDN w:val="0"/>
        <w:adjustRightInd w:val="0"/>
        <w:jc w:val="both"/>
        <w:rPr>
          <w:b/>
          <w:bCs/>
        </w:rPr>
      </w:pPr>
      <w:r>
        <w:rPr>
          <w:b/>
          <w:bCs/>
        </w:rPr>
        <w:t>K bodom 111 a 112</w:t>
      </w:r>
    </w:p>
    <w:p w:rsidR="00727D26" w:rsidRDefault="00727D26" w:rsidP="00727D26">
      <w:pPr>
        <w:autoSpaceDE w:val="0"/>
        <w:autoSpaceDN w:val="0"/>
        <w:adjustRightInd w:val="0"/>
        <w:ind w:firstLine="708"/>
        <w:jc w:val="both"/>
        <w:rPr>
          <w:bCs/>
        </w:rPr>
      </w:pPr>
      <w:r>
        <w:rPr>
          <w:bCs/>
        </w:rPr>
        <w:t>Legislatívno-technická úprava súvisiaca s navrhovanými zmenami, ktorou sa spresňujú rozhodnutia vydávané colným úradom podľa tohto zákona, proti ktorým nie je prípustné odvolanie.</w:t>
      </w:r>
    </w:p>
    <w:p w:rsidR="00727D26" w:rsidRPr="00201697" w:rsidRDefault="00727D26" w:rsidP="00727D26">
      <w:pPr>
        <w:autoSpaceDE w:val="0"/>
        <w:autoSpaceDN w:val="0"/>
        <w:adjustRightInd w:val="0"/>
        <w:jc w:val="both"/>
        <w:rPr>
          <w:bCs/>
        </w:rPr>
      </w:pPr>
    </w:p>
    <w:p w:rsidR="00727D26" w:rsidRPr="003F05A6" w:rsidRDefault="00727D26" w:rsidP="00727D26">
      <w:pPr>
        <w:autoSpaceDE w:val="0"/>
        <w:autoSpaceDN w:val="0"/>
        <w:adjustRightInd w:val="0"/>
        <w:jc w:val="both"/>
        <w:rPr>
          <w:b/>
          <w:bCs/>
        </w:rPr>
      </w:pPr>
      <w:r w:rsidRPr="003F05A6">
        <w:rPr>
          <w:b/>
          <w:bCs/>
        </w:rPr>
        <w:t xml:space="preserve">K bodu </w:t>
      </w:r>
      <w:r>
        <w:rPr>
          <w:b/>
          <w:bCs/>
        </w:rPr>
        <w:t>113</w:t>
      </w:r>
    </w:p>
    <w:p w:rsidR="00727D26" w:rsidRPr="00F45E7D" w:rsidRDefault="00727D26" w:rsidP="00727D26">
      <w:pPr>
        <w:ind w:firstLine="567"/>
        <w:jc w:val="both"/>
      </w:pPr>
      <w:r w:rsidRPr="00A63269">
        <w:t xml:space="preserve">V nadväznosti na vykonané úpravy </w:t>
      </w:r>
      <w:r>
        <w:t>sa navrhujú</w:t>
      </w:r>
      <w:r w:rsidRPr="00A63269">
        <w:t xml:space="preserve"> prechodné ustanovenia.</w:t>
      </w:r>
    </w:p>
    <w:p w:rsidR="00727D26" w:rsidRDefault="00727D26" w:rsidP="00727D26">
      <w:pPr>
        <w:jc w:val="both"/>
        <w:rPr>
          <w:bCs/>
        </w:rPr>
      </w:pPr>
    </w:p>
    <w:p w:rsidR="00727D26" w:rsidRPr="003F05A6" w:rsidRDefault="00727D26" w:rsidP="00727D26">
      <w:pPr>
        <w:autoSpaceDE w:val="0"/>
        <w:autoSpaceDN w:val="0"/>
        <w:adjustRightInd w:val="0"/>
        <w:jc w:val="both"/>
        <w:rPr>
          <w:b/>
          <w:bCs/>
        </w:rPr>
      </w:pPr>
      <w:r w:rsidRPr="003F05A6">
        <w:rPr>
          <w:b/>
          <w:bCs/>
        </w:rPr>
        <w:t>K</w:t>
      </w:r>
      <w:r>
        <w:rPr>
          <w:b/>
          <w:bCs/>
        </w:rPr>
        <w:t> bodom 114 až 116</w:t>
      </w:r>
    </w:p>
    <w:p w:rsidR="00727D26" w:rsidRDefault="00727D26" w:rsidP="00727D26">
      <w:pPr>
        <w:autoSpaceDE w:val="0"/>
        <w:autoSpaceDN w:val="0"/>
        <w:adjustRightInd w:val="0"/>
        <w:ind w:firstLine="567"/>
        <w:jc w:val="both"/>
      </w:pPr>
      <w:r>
        <w:t xml:space="preserve">V súvislosti s transpozíciou smernice Rady (EÚ) 2020/262 je potrebné upraviť prílohu </w:t>
      </w:r>
      <w:r w:rsidR="009807BD">
        <w:t xml:space="preserve">         </w:t>
      </w:r>
      <w:bookmarkStart w:id="3" w:name="_GoBack"/>
      <w:bookmarkEnd w:id="3"/>
      <w:r>
        <w:t>č. 1 novelizovaného zákona.</w:t>
      </w:r>
    </w:p>
    <w:p w:rsidR="00727D26" w:rsidRDefault="00727D26" w:rsidP="00727D26">
      <w:pPr>
        <w:autoSpaceDE w:val="0"/>
        <w:autoSpaceDN w:val="0"/>
        <w:adjustRightInd w:val="0"/>
        <w:jc w:val="both"/>
      </w:pPr>
    </w:p>
    <w:p w:rsidR="00274717" w:rsidRDefault="00274717" w:rsidP="00727D26">
      <w:pPr>
        <w:autoSpaceDE w:val="0"/>
        <w:autoSpaceDN w:val="0"/>
        <w:adjustRightInd w:val="0"/>
        <w:jc w:val="both"/>
      </w:pPr>
    </w:p>
    <w:p w:rsidR="00727D26" w:rsidRPr="00E163DF" w:rsidRDefault="00727D26" w:rsidP="00727D26">
      <w:pPr>
        <w:jc w:val="both"/>
        <w:rPr>
          <w:b/>
          <w:bCs/>
        </w:rPr>
      </w:pPr>
      <w:r>
        <w:rPr>
          <w:b/>
          <w:bCs/>
        </w:rPr>
        <w:t>K článku II</w:t>
      </w:r>
    </w:p>
    <w:p w:rsidR="00727D26" w:rsidRDefault="00727D26" w:rsidP="00727D26">
      <w:pPr>
        <w:autoSpaceDE w:val="0"/>
        <w:autoSpaceDN w:val="0"/>
        <w:adjustRightInd w:val="0"/>
        <w:jc w:val="both"/>
      </w:pPr>
    </w:p>
    <w:p w:rsidR="00274717" w:rsidRDefault="00274717" w:rsidP="00727D26">
      <w:pPr>
        <w:autoSpaceDE w:val="0"/>
        <w:autoSpaceDN w:val="0"/>
        <w:adjustRightInd w:val="0"/>
        <w:jc w:val="both"/>
      </w:pPr>
    </w:p>
    <w:p w:rsidR="00727D26" w:rsidRPr="002A48F2" w:rsidRDefault="00727D26" w:rsidP="00727D26">
      <w:pPr>
        <w:autoSpaceDE w:val="0"/>
        <w:autoSpaceDN w:val="0"/>
        <w:adjustRightInd w:val="0"/>
        <w:jc w:val="both"/>
        <w:rPr>
          <w:b/>
        </w:rPr>
      </w:pPr>
      <w:r w:rsidRPr="002A48F2">
        <w:rPr>
          <w:b/>
        </w:rPr>
        <w:t>K bodu 1</w:t>
      </w:r>
    </w:p>
    <w:p w:rsidR="00727D26" w:rsidRDefault="00727D26" w:rsidP="00727D26">
      <w:pPr>
        <w:autoSpaceDE w:val="0"/>
        <w:autoSpaceDN w:val="0"/>
        <w:adjustRightInd w:val="0"/>
        <w:ind w:firstLine="567"/>
        <w:jc w:val="both"/>
      </w:pPr>
      <w:r>
        <w:t>Znenie predmetného ustanovenia sa zosúlaďuje s poznámkou pod čiarou. Zároveň sa aktualizuje znenie poznámky pod čiarou.</w:t>
      </w:r>
    </w:p>
    <w:p w:rsidR="00727D26" w:rsidRDefault="00727D26" w:rsidP="00727D26">
      <w:pPr>
        <w:autoSpaceDE w:val="0"/>
        <w:autoSpaceDN w:val="0"/>
        <w:adjustRightInd w:val="0"/>
        <w:jc w:val="both"/>
      </w:pPr>
    </w:p>
    <w:p w:rsidR="00727D26" w:rsidRPr="002A48F2" w:rsidRDefault="00727D26" w:rsidP="00727D26">
      <w:pPr>
        <w:autoSpaceDE w:val="0"/>
        <w:autoSpaceDN w:val="0"/>
        <w:adjustRightInd w:val="0"/>
        <w:jc w:val="both"/>
        <w:rPr>
          <w:b/>
        </w:rPr>
      </w:pPr>
      <w:r w:rsidRPr="002A48F2">
        <w:rPr>
          <w:b/>
        </w:rPr>
        <w:t>K bodu 2</w:t>
      </w:r>
    </w:p>
    <w:p w:rsidR="00727D26" w:rsidRDefault="00727D26" w:rsidP="00727D26">
      <w:pPr>
        <w:autoSpaceDE w:val="0"/>
        <w:autoSpaceDN w:val="0"/>
        <w:adjustRightInd w:val="0"/>
        <w:ind w:firstLine="567"/>
        <w:jc w:val="both"/>
        <w:rPr>
          <w:bCs/>
        </w:rPr>
      </w:pPr>
      <w:r>
        <w:t>V súlade s vykonávacím nariadením Komisie (EÚ) 2019/1776 z 9. októbra 2019, ktorým sa mení príloha I k nariadeniu Rady (EHS) č. 2658/87 o colnej a štatistickej nomenklatúre a o Spoločnom colnom sadzobníku sa v predmetnej prílohe I k nariadeniu Rady (EHS) č. 2658/87 o colnej a štatistickej nomenklatúre a o Spoločnom colnom sadzobníku je potrebné primerane upraviť kódy kombinovanej nomenklatúry a popis tovaru uvedený v predmetnej prílohe.</w:t>
      </w:r>
    </w:p>
    <w:p w:rsidR="00727D26" w:rsidRDefault="00727D26" w:rsidP="00727D26">
      <w:pPr>
        <w:autoSpaceDE w:val="0"/>
        <w:autoSpaceDN w:val="0"/>
        <w:adjustRightInd w:val="0"/>
        <w:jc w:val="both"/>
        <w:rPr>
          <w:bCs/>
        </w:rPr>
      </w:pPr>
    </w:p>
    <w:p w:rsidR="00274717" w:rsidRDefault="00274717" w:rsidP="00727D26">
      <w:pPr>
        <w:autoSpaceDE w:val="0"/>
        <w:autoSpaceDN w:val="0"/>
        <w:adjustRightInd w:val="0"/>
        <w:jc w:val="both"/>
        <w:rPr>
          <w:bCs/>
        </w:rPr>
      </w:pPr>
    </w:p>
    <w:p w:rsidR="00274717" w:rsidRDefault="00274717" w:rsidP="00727D26">
      <w:pPr>
        <w:autoSpaceDE w:val="0"/>
        <w:autoSpaceDN w:val="0"/>
        <w:adjustRightInd w:val="0"/>
        <w:jc w:val="both"/>
        <w:rPr>
          <w:bCs/>
        </w:rPr>
      </w:pPr>
    </w:p>
    <w:p w:rsidR="00274717" w:rsidRDefault="00274717" w:rsidP="00727D26">
      <w:pPr>
        <w:autoSpaceDE w:val="0"/>
        <w:autoSpaceDN w:val="0"/>
        <w:adjustRightInd w:val="0"/>
        <w:jc w:val="both"/>
        <w:rPr>
          <w:bCs/>
        </w:rPr>
      </w:pPr>
    </w:p>
    <w:p w:rsidR="00274717" w:rsidRDefault="00274717" w:rsidP="00727D26">
      <w:pPr>
        <w:autoSpaceDE w:val="0"/>
        <w:autoSpaceDN w:val="0"/>
        <w:adjustRightInd w:val="0"/>
        <w:jc w:val="both"/>
        <w:rPr>
          <w:bCs/>
        </w:rPr>
      </w:pPr>
    </w:p>
    <w:p w:rsidR="006A2D1A" w:rsidRPr="00727D26" w:rsidRDefault="006A2D1A" w:rsidP="00727D26">
      <w:pPr>
        <w:autoSpaceDE w:val="0"/>
        <w:autoSpaceDN w:val="0"/>
        <w:adjustRightInd w:val="0"/>
        <w:jc w:val="both"/>
        <w:rPr>
          <w:bCs/>
        </w:rPr>
      </w:pPr>
    </w:p>
    <w:p w:rsidR="00727D26" w:rsidRPr="00727D26" w:rsidRDefault="00727D26" w:rsidP="00727D26">
      <w:pPr>
        <w:jc w:val="both"/>
        <w:rPr>
          <w:b/>
          <w:bCs/>
        </w:rPr>
      </w:pPr>
      <w:r w:rsidRPr="00727D26">
        <w:rPr>
          <w:b/>
          <w:bCs/>
        </w:rPr>
        <w:lastRenderedPageBreak/>
        <w:t>K článku III</w:t>
      </w:r>
    </w:p>
    <w:p w:rsidR="00727D26" w:rsidRPr="00727D26" w:rsidRDefault="00727D26" w:rsidP="00727D26">
      <w:pPr>
        <w:jc w:val="both"/>
        <w:rPr>
          <w:bCs/>
        </w:rPr>
      </w:pPr>
    </w:p>
    <w:p w:rsidR="00727D26" w:rsidRDefault="00727D26" w:rsidP="00727D26">
      <w:pPr>
        <w:pStyle w:val="Zkladntext0"/>
        <w:ind w:firstLine="567"/>
        <w:jc w:val="both"/>
        <w:rPr>
          <w:rFonts w:ascii="Times New Roman" w:hAnsi="Times New Roman" w:cs="Times New Roman"/>
        </w:rPr>
      </w:pPr>
      <w:r w:rsidRPr="00727D26">
        <w:rPr>
          <w:rFonts w:ascii="Times New Roman" w:hAnsi="Times New Roman" w:cs="Times New Roman"/>
        </w:rPr>
        <w:t>Tento zákon nadobúda účinnosť 1. januára 2021 okrem čl. I bodov 3, 7 až 9, 14, 16, 20, 25, 26, 37, 41, 44, 47, 56 až 63, 65, 67, 76, 83, 93, 94, 96, 97, 99, 101, § 42 ods. 1 písmená a) až o) v bode 103, 108, 109 a 111, ktoré nadobúdajú účinnosť 1. júla 2021, čl. I bodov 13, 15, 19, 31 až 33, 49, 51 a 52, ktoré nadobúdajú účinnosť 1. júla 2022 a čl. I bodov 17, 18, 21 až 23, 28, 55, 71, 74, 75, 85 až 89, 91, 92, 95, 98, 100, § 42 ods. 1 písmeno p) v bode 103, 104, 106 a 112, ktoré nadobúdajú účinnosť 13. februára 2023.</w:t>
      </w:r>
    </w:p>
    <w:p w:rsidR="00727D26" w:rsidRDefault="00727D26" w:rsidP="00727D26">
      <w:pPr>
        <w:pStyle w:val="Zkladntext0"/>
        <w:jc w:val="both"/>
        <w:rPr>
          <w:rFonts w:ascii="Times New Roman" w:hAnsi="Times New Roman" w:cs="Times New Roman"/>
        </w:rPr>
      </w:pPr>
    </w:p>
    <w:p w:rsidR="00274717" w:rsidRDefault="00274717" w:rsidP="00727D26">
      <w:pPr>
        <w:pStyle w:val="Zkladntext0"/>
        <w:jc w:val="both"/>
        <w:rPr>
          <w:rFonts w:ascii="Times New Roman" w:hAnsi="Times New Roman" w:cs="Times New Roman"/>
        </w:rPr>
      </w:pPr>
    </w:p>
    <w:p w:rsidR="00274717" w:rsidRPr="00727D26" w:rsidRDefault="00274717" w:rsidP="00727D26">
      <w:pPr>
        <w:pStyle w:val="Zkladntext0"/>
        <w:jc w:val="both"/>
        <w:rPr>
          <w:rFonts w:ascii="Times New Roman" w:hAnsi="Times New Roman" w:cs="Times New Roman"/>
        </w:rPr>
      </w:pPr>
    </w:p>
    <w:p w:rsidR="00727D26" w:rsidRPr="00F31D8F" w:rsidRDefault="00727D26" w:rsidP="00727D26">
      <w:pPr>
        <w:autoSpaceDE w:val="0"/>
        <w:autoSpaceDN w:val="0"/>
        <w:ind w:firstLine="567"/>
        <w:jc w:val="both"/>
        <w:rPr>
          <w:color w:val="000000"/>
        </w:rPr>
      </w:pPr>
      <w:r w:rsidRPr="00F31D8F">
        <w:rPr>
          <w:color w:val="000000"/>
        </w:rPr>
        <w:t>Schválené vl</w:t>
      </w:r>
      <w:r>
        <w:rPr>
          <w:color w:val="000000"/>
        </w:rPr>
        <w:t>ádou Slovenskej republiky dňa 30. septembra 2020</w:t>
      </w:r>
      <w:r w:rsidRPr="00F31D8F">
        <w:rPr>
          <w:color w:val="000000"/>
        </w:rPr>
        <w:t>.</w:t>
      </w:r>
    </w:p>
    <w:p w:rsidR="00727D26" w:rsidRDefault="00727D26" w:rsidP="00727D26">
      <w:pPr>
        <w:autoSpaceDE w:val="0"/>
        <w:autoSpaceDN w:val="0"/>
        <w:rPr>
          <w:color w:val="000000"/>
        </w:rPr>
      </w:pPr>
    </w:p>
    <w:p w:rsidR="00274717" w:rsidRDefault="00274717" w:rsidP="00727D26">
      <w:pPr>
        <w:autoSpaceDE w:val="0"/>
        <w:autoSpaceDN w:val="0"/>
        <w:rPr>
          <w:color w:val="000000"/>
        </w:rPr>
      </w:pPr>
    </w:p>
    <w:p w:rsidR="00274717" w:rsidRPr="00F31D8F" w:rsidRDefault="00274717" w:rsidP="00727D26">
      <w:pPr>
        <w:autoSpaceDE w:val="0"/>
        <w:autoSpaceDN w:val="0"/>
        <w:rPr>
          <w:color w:val="000000"/>
        </w:rPr>
      </w:pPr>
    </w:p>
    <w:p w:rsidR="00727D26" w:rsidRPr="00F31D8F" w:rsidRDefault="00727D26" w:rsidP="00727D26">
      <w:pPr>
        <w:autoSpaceDE w:val="0"/>
        <w:autoSpaceDN w:val="0"/>
        <w:rPr>
          <w:color w:val="000000"/>
        </w:rPr>
      </w:pPr>
    </w:p>
    <w:p w:rsidR="00727D26" w:rsidRPr="00F31D8F" w:rsidRDefault="00F45B35" w:rsidP="00727D26">
      <w:pPr>
        <w:autoSpaceDE w:val="0"/>
        <w:autoSpaceDN w:val="0"/>
        <w:jc w:val="center"/>
        <w:rPr>
          <w:bCs/>
          <w:color w:val="000000"/>
        </w:rPr>
      </w:pPr>
      <w:r>
        <w:rPr>
          <w:bCs/>
          <w:color w:val="000000"/>
        </w:rPr>
        <w:t>Igor Matovič</w:t>
      </w:r>
      <w:r w:rsidR="00727D26">
        <w:rPr>
          <w:bCs/>
          <w:color w:val="000000"/>
        </w:rPr>
        <w:t xml:space="preserve"> v. r.</w:t>
      </w:r>
    </w:p>
    <w:p w:rsidR="00727D26" w:rsidRPr="00F31D8F" w:rsidRDefault="00727D26" w:rsidP="00727D26">
      <w:pPr>
        <w:autoSpaceDE w:val="0"/>
        <w:autoSpaceDN w:val="0"/>
        <w:jc w:val="center"/>
        <w:rPr>
          <w:color w:val="000000"/>
        </w:rPr>
      </w:pPr>
      <w:r w:rsidRPr="00F31D8F">
        <w:rPr>
          <w:color w:val="000000"/>
        </w:rPr>
        <w:t>predseda vlády Slovenskej republiky</w:t>
      </w:r>
    </w:p>
    <w:p w:rsidR="00727D26" w:rsidRDefault="00727D26" w:rsidP="00727D26">
      <w:pPr>
        <w:autoSpaceDE w:val="0"/>
        <w:autoSpaceDN w:val="0"/>
        <w:jc w:val="both"/>
        <w:rPr>
          <w:color w:val="000000"/>
        </w:rPr>
      </w:pPr>
    </w:p>
    <w:p w:rsidR="00274717" w:rsidRDefault="00274717" w:rsidP="00727D26">
      <w:pPr>
        <w:autoSpaceDE w:val="0"/>
        <w:autoSpaceDN w:val="0"/>
        <w:jc w:val="both"/>
        <w:rPr>
          <w:color w:val="000000"/>
        </w:rPr>
      </w:pPr>
    </w:p>
    <w:p w:rsidR="00274717" w:rsidRDefault="00274717" w:rsidP="00727D26">
      <w:pPr>
        <w:autoSpaceDE w:val="0"/>
        <w:autoSpaceDN w:val="0"/>
        <w:jc w:val="both"/>
        <w:rPr>
          <w:color w:val="000000"/>
        </w:rPr>
      </w:pPr>
    </w:p>
    <w:p w:rsidR="00274717" w:rsidRPr="00F31D8F" w:rsidRDefault="00274717" w:rsidP="00727D26">
      <w:pPr>
        <w:autoSpaceDE w:val="0"/>
        <w:autoSpaceDN w:val="0"/>
        <w:jc w:val="both"/>
        <w:rPr>
          <w:color w:val="000000"/>
        </w:rPr>
      </w:pPr>
    </w:p>
    <w:p w:rsidR="00727D26" w:rsidRPr="00F31D8F" w:rsidRDefault="00F45B35" w:rsidP="00727D26">
      <w:pPr>
        <w:autoSpaceDE w:val="0"/>
        <w:autoSpaceDN w:val="0"/>
        <w:jc w:val="center"/>
        <w:rPr>
          <w:bCs/>
          <w:color w:val="000000"/>
        </w:rPr>
      </w:pPr>
      <w:r>
        <w:rPr>
          <w:bCs/>
          <w:color w:val="000000"/>
        </w:rPr>
        <w:t xml:space="preserve">Eduard </w:t>
      </w:r>
      <w:proofErr w:type="spellStart"/>
      <w:r>
        <w:rPr>
          <w:bCs/>
          <w:color w:val="000000"/>
        </w:rPr>
        <w:t>Heger</w:t>
      </w:r>
      <w:proofErr w:type="spellEnd"/>
      <w:r w:rsidR="00727D26">
        <w:rPr>
          <w:bCs/>
          <w:color w:val="000000"/>
        </w:rPr>
        <w:t xml:space="preserve"> v. r.</w:t>
      </w:r>
    </w:p>
    <w:p w:rsidR="00727D26" w:rsidRPr="00727D26" w:rsidRDefault="00727D26" w:rsidP="00727D26">
      <w:pPr>
        <w:autoSpaceDE w:val="0"/>
        <w:autoSpaceDN w:val="0"/>
        <w:jc w:val="center"/>
      </w:pPr>
      <w:r w:rsidRPr="00F31D8F">
        <w:rPr>
          <w:color w:val="000000"/>
        </w:rPr>
        <w:t xml:space="preserve">podpredseda vlády a minister financií </w:t>
      </w:r>
      <w:r w:rsidRPr="00F31D8F">
        <w:t>Slovenskej republiky</w:t>
      </w:r>
    </w:p>
    <w:sectPr w:rsidR="00727D26" w:rsidRPr="00727D26" w:rsidSect="00E204E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919" w:rsidRDefault="00DE4919">
      <w:r>
        <w:separator/>
      </w:r>
    </w:p>
  </w:endnote>
  <w:endnote w:type="continuationSeparator" w:id="0">
    <w:p w:rsidR="00DE4919" w:rsidRDefault="00DE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3FC" w:rsidRDefault="008073FC">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8073FC" w:rsidRDefault="008073FC">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3FC" w:rsidRDefault="008073FC" w:rsidP="00683255">
    <w:pPr>
      <w:pStyle w:val="Pta"/>
      <w:jc w:val="center"/>
    </w:pPr>
    <w:r>
      <w:fldChar w:fldCharType="begin"/>
    </w:r>
    <w:r>
      <w:instrText>PAGE   \* MERGEFORMAT</w:instrText>
    </w:r>
    <w:r>
      <w:fldChar w:fldCharType="separate"/>
    </w:r>
    <w:r w:rsidR="009807BD">
      <w:rPr>
        <w:noProof/>
      </w:rPr>
      <w:t>26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3FC" w:rsidRDefault="008073FC">
    <w:pPr>
      <w:pStyle w:val="Pta"/>
      <w:jc w:val="right"/>
    </w:pPr>
    <w:r>
      <w:fldChar w:fldCharType="begin"/>
    </w:r>
    <w:r>
      <w:instrText>PAGE   \* MERGEFORMAT</w:instrText>
    </w:r>
    <w:r>
      <w:fldChar w:fldCharType="separate"/>
    </w:r>
    <w:r w:rsidR="00001CE4">
      <w:rPr>
        <w:noProof/>
      </w:rPr>
      <w:t>0</w:t>
    </w:r>
    <w:r>
      <w:fldChar w:fldCharType="end"/>
    </w:r>
  </w:p>
  <w:p w:rsidR="008073FC" w:rsidRDefault="008073F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919" w:rsidRDefault="00DE4919">
      <w:r>
        <w:separator/>
      </w:r>
    </w:p>
  </w:footnote>
  <w:footnote w:type="continuationSeparator" w:id="0">
    <w:p w:rsidR="00DE4919" w:rsidRDefault="00DE4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3FC" w:rsidRDefault="008073FC" w:rsidP="00EB59C8">
    <w:pPr>
      <w:pStyle w:val="Hlavika"/>
      <w:jc w:val="right"/>
      <w:rPr>
        <w:sz w:val="24"/>
        <w:szCs w:val="24"/>
      </w:rPr>
    </w:pPr>
    <w:r>
      <w:rPr>
        <w:sz w:val="24"/>
        <w:szCs w:val="24"/>
      </w:rPr>
      <w:t>Príloha č. 2</w:t>
    </w:r>
  </w:p>
  <w:p w:rsidR="008073FC" w:rsidRPr="00EB59C8" w:rsidRDefault="008073FC" w:rsidP="00EB59C8">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3FC" w:rsidRPr="000A15AE" w:rsidRDefault="008073FC" w:rsidP="000A15AE">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DE2882A"/>
    <w:lvl w:ilvl="0">
      <w:start w:val="1"/>
      <w:numFmt w:val="decimal"/>
      <w:pStyle w:val="Nadpis1"/>
      <w:lvlText w:val="%1."/>
      <w:lvlJc w:val="left"/>
      <w:pPr>
        <w:tabs>
          <w:tab w:val="num" w:pos="0"/>
        </w:tabs>
        <w:ind w:left="720" w:hanging="720"/>
      </w:pPr>
      <w:rPr>
        <w:rFonts w:ascii="Times New Roman" w:hAnsi="Times New Roman" w:cs="Times New Roman" w:hint="default"/>
        <w:b w:val="0"/>
        <w:bCs w:val="0"/>
        <w:i w:val="0"/>
        <w:color w:val="auto"/>
        <w:sz w:val="22"/>
      </w:rPr>
    </w:lvl>
    <w:lvl w:ilvl="1">
      <w:start w:val="1"/>
      <w:numFmt w:val="decimal"/>
      <w:pStyle w:val="Nadpis2"/>
      <w:lvlText w:val="%1.%2"/>
      <w:lvlJc w:val="left"/>
      <w:pPr>
        <w:tabs>
          <w:tab w:val="num" w:pos="0"/>
        </w:tabs>
        <w:ind w:left="720" w:hanging="720"/>
      </w:pPr>
      <w:rPr>
        <w:rFonts w:ascii="Times New Roman" w:hAnsi="Times New Roman" w:cs="Times New Roman" w:hint="default"/>
        <w:b w:val="0"/>
        <w:i w:val="0"/>
        <w:color w:val="auto"/>
        <w:sz w:val="22"/>
      </w:rPr>
    </w:lvl>
    <w:lvl w:ilvl="2">
      <w:start w:val="1"/>
      <w:numFmt w:val="decimal"/>
      <w:pStyle w:val="Nadpis3"/>
      <w:lvlText w:val="%1.%2.%3"/>
      <w:lvlJc w:val="left"/>
      <w:pPr>
        <w:tabs>
          <w:tab w:val="num" w:pos="0"/>
        </w:tabs>
        <w:ind w:left="720" w:hanging="720"/>
      </w:pPr>
      <w:rPr>
        <w:rFonts w:ascii="Times New Roman" w:hAnsi="Times New Roman" w:cs="Times New Roman" w:hint="default"/>
        <w:b w:val="0"/>
        <w:i w:val="0"/>
        <w:color w:val="auto"/>
        <w:sz w:val="22"/>
      </w:rPr>
    </w:lvl>
    <w:lvl w:ilvl="3">
      <w:start w:val="1"/>
      <w:numFmt w:val="decimal"/>
      <w:pStyle w:val="Nadpis4"/>
      <w:lvlText w:val="%1.%2.%3.%4"/>
      <w:lvlJc w:val="left"/>
      <w:pPr>
        <w:tabs>
          <w:tab w:val="num" w:pos="0"/>
        </w:tabs>
        <w:ind w:left="720" w:hanging="720"/>
      </w:pPr>
      <w:rPr>
        <w:rFonts w:ascii="Times New Roman" w:hAnsi="Times New Roman" w:cs="Times New Roman" w:hint="default"/>
        <w:b w:val="0"/>
        <w:i w:val="0"/>
        <w:color w:val="auto"/>
        <w:sz w:val="22"/>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1" w15:restartNumberingAfterBreak="0">
    <w:nsid w:val="05C32B79"/>
    <w:multiLevelType w:val="hybridMultilevel"/>
    <w:tmpl w:val="EA1CC516"/>
    <w:lvl w:ilvl="0" w:tplc="4EA685C2">
      <w:start w:val="1"/>
      <w:numFmt w:val="decimal"/>
      <w:lvlText w:val="(%1)"/>
      <w:lvlJc w:val="left"/>
      <w:pPr>
        <w:ind w:left="1050" w:hanging="360"/>
      </w:pPr>
      <w:rPr>
        <w:rFonts w:cs="Times New Roman" w:hint="default"/>
      </w:rPr>
    </w:lvl>
    <w:lvl w:ilvl="1" w:tplc="041B0019" w:tentative="1">
      <w:start w:val="1"/>
      <w:numFmt w:val="lowerLetter"/>
      <w:lvlText w:val="%2."/>
      <w:lvlJc w:val="left"/>
      <w:pPr>
        <w:ind w:left="1770" w:hanging="360"/>
      </w:pPr>
      <w:rPr>
        <w:rFonts w:cs="Times New Roman"/>
      </w:rPr>
    </w:lvl>
    <w:lvl w:ilvl="2" w:tplc="041B001B" w:tentative="1">
      <w:start w:val="1"/>
      <w:numFmt w:val="lowerRoman"/>
      <w:lvlText w:val="%3."/>
      <w:lvlJc w:val="right"/>
      <w:pPr>
        <w:ind w:left="2490" w:hanging="180"/>
      </w:pPr>
      <w:rPr>
        <w:rFonts w:cs="Times New Roman"/>
      </w:rPr>
    </w:lvl>
    <w:lvl w:ilvl="3" w:tplc="041B000F" w:tentative="1">
      <w:start w:val="1"/>
      <w:numFmt w:val="decimal"/>
      <w:lvlText w:val="%4."/>
      <w:lvlJc w:val="left"/>
      <w:pPr>
        <w:ind w:left="3210" w:hanging="360"/>
      </w:pPr>
      <w:rPr>
        <w:rFonts w:cs="Times New Roman"/>
      </w:rPr>
    </w:lvl>
    <w:lvl w:ilvl="4" w:tplc="041B0019" w:tentative="1">
      <w:start w:val="1"/>
      <w:numFmt w:val="lowerLetter"/>
      <w:lvlText w:val="%5."/>
      <w:lvlJc w:val="left"/>
      <w:pPr>
        <w:ind w:left="3930" w:hanging="360"/>
      </w:pPr>
      <w:rPr>
        <w:rFonts w:cs="Times New Roman"/>
      </w:rPr>
    </w:lvl>
    <w:lvl w:ilvl="5" w:tplc="041B001B" w:tentative="1">
      <w:start w:val="1"/>
      <w:numFmt w:val="lowerRoman"/>
      <w:lvlText w:val="%6."/>
      <w:lvlJc w:val="right"/>
      <w:pPr>
        <w:ind w:left="4650" w:hanging="180"/>
      </w:pPr>
      <w:rPr>
        <w:rFonts w:cs="Times New Roman"/>
      </w:rPr>
    </w:lvl>
    <w:lvl w:ilvl="6" w:tplc="041B000F" w:tentative="1">
      <w:start w:val="1"/>
      <w:numFmt w:val="decimal"/>
      <w:lvlText w:val="%7."/>
      <w:lvlJc w:val="left"/>
      <w:pPr>
        <w:ind w:left="5370" w:hanging="360"/>
      </w:pPr>
      <w:rPr>
        <w:rFonts w:cs="Times New Roman"/>
      </w:rPr>
    </w:lvl>
    <w:lvl w:ilvl="7" w:tplc="041B0019" w:tentative="1">
      <w:start w:val="1"/>
      <w:numFmt w:val="lowerLetter"/>
      <w:lvlText w:val="%8."/>
      <w:lvlJc w:val="left"/>
      <w:pPr>
        <w:ind w:left="6090" w:hanging="360"/>
      </w:pPr>
      <w:rPr>
        <w:rFonts w:cs="Times New Roman"/>
      </w:rPr>
    </w:lvl>
    <w:lvl w:ilvl="8" w:tplc="041B001B" w:tentative="1">
      <w:start w:val="1"/>
      <w:numFmt w:val="lowerRoman"/>
      <w:lvlText w:val="%9."/>
      <w:lvlJc w:val="right"/>
      <w:pPr>
        <w:ind w:left="6810" w:hanging="180"/>
      </w:pPr>
      <w:rPr>
        <w:rFonts w:cs="Times New Roman"/>
      </w:rPr>
    </w:lvl>
  </w:abstractNum>
  <w:abstractNum w:abstractNumId="2" w15:restartNumberingAfterBreak="0">
    <w:nsid w:val="069D5631"/>
    <w:multiLevelType w:val="hybridMultilevel"/>
    <w:tmpl w:val="8A822DFA"/>
    <w:lvl w:ilvl="0" w:tplc="6CDEDDF4">
      <w:start w:val="180"/>
      <w:numFmt w:val="bullet"/>
      <w:lvlText w:val="-"/>
      <w:lvlJc w:val="left"/>
      <w:pPr>
        <w:ind w:left="786" w:hanging="360"/>
      </w:pPr>
      <w:rPr>
        <w:rFonts w:ascii="Vrinda" w:eastAsia="Times New Roman" w:hAnsi="Vrinda" w:hint="default"/>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0B562028"/>
    <w:multiLevelType w:val="hybridMultilevel"/>
    <w:tmpl w:val="B3FA1F1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F72464"/>
    <w:multiLevelType w:val="hybridMultilevel"/>
    <w:tmpl w:val="B032DB40"/>
    <w:lvl w:ilvl="0" w:tplc="041B000F">
      <w:start w:val="1"/>
      <w:numFmt w:val="decimal"/>
      <w:lvlText w:val="%1."/>
      <w:lvlJc w:val="left"/>
      <w:pPr>
        <w:ind w:left="1854" w:hanging="360"/>
      </w:pPr>
      <w:rPr>
        <w:rFonts w:cs="Times New Roman"/>
      </w:rPr>
    </w:lvl>
    <w:lvl w:ilvl="1" w:tplc="041B0019" w:tentative="1">
      <w:start w:val="1"/>
      <w:numFmt w:val="lowerLetter"/>
      <w:lvlText w:val="%2."/>
      <w:lvlJc w:val="left"/>
      <w:pPr>
        <w:ind w:left="2574" w:hanging="360"/>
      </w:pPr>
      <w:rPr>
        <w:rFonts w:cs="Times New Roman"/>
      </w:rPr>
    </w:lvl>
    <w:lvl w:ilvl="2" w:tplc="041B001B" w:tentative="1">
      <w:start w:val="1"/>
      <w:numFmt w:val="lowerRoman"/>
      <w:lvlText w:val="%3."/>
      <w:lvlJc w:val="right"/>
      <w:pPr>
        <w:ind w:left="3294" w:hanging="180"/>
      </w:pPr>
      <w:rPr>
        <w:rFonts w:cs="Times New Roman"/>
      </w:rPr>
    </w:lvl>
    <w:lvl w:ilvl="3" w:tplc="041B000F" w:tentative="1">
      <w:start w:val="1"/>
      <w:numFmt w:val="decimal"/>
      <w:lvlText w:val="%4."/>
      <w:lvlJc w:val="left"/>
      <w:pPr>
        <w:ind w:left="4014" w:hanging="360"/>
      </w:pPr>
      <w:rPr>
        <w:rFonts w:cs="Times New Roman"/>
      </w:rPr>
    </w:lvl>
    <w:lvl w:ilvl="4" w:tplc="041B0019" w:tentative="1">
      <w:start w:val="1"/>
      <w:numFmt w:val="lowerLetter"/>
      <w:lvlText w:val="%5."/>
      <w:lvlJc w:val="left"/>
      <w:pPr>
        <w:ind w:left="4734" w:hanging="360"/>
      </w:pPr>
      <w:rPr>
        <w:rFonts w:cs="Times New Roman"/>
      </w:rPr>
    </w:lvl>
    <w:lvl w:ilvl="5" w:tplc="041B001B" w:tentative="1">
      <w:start w:val="1"/>
      <w:numFmt w:val="lowerRoman"/>
      <w:lvlText w:val="%6."/>
      <w:lvlJc w:val="right"/>
      <w:pPr>
        <w:ind w:left="5454" w:hanging="180"/>
      </w:pPr>
      <w:rPr>
        <w:rFonts w:cs="Times New Roman"/>
      </w:rPr>
    </w:lvl>
    <w:lvl w:ilvl="6" w:tplc="041B000F" w:tentative="1">
      <w:start w:val="1"/>
      <w:numFmt w:val="decimal"/>
      <w:lvlText w:val="%7."/>
      <w:lvlJc w:val="left"/>
      <w:pPr>
        <w:ind w:left="6174" w:hanging="360"/>
      </w:pPr>
      <w:rPr>
        <w:rFonts w:cs="Times New Roman"/>
      </w:rPr>
    </w:lvl>
    <w:lvl w:ilvl="7" w:tplc="041B0019" w:tentative="1">
      <w:start w:val="1"/>
      <w:numFmt w:val="lowerLetter"/>
      <w:lvlText w:val="%8."/>
      <w:lvlJc w:val="left"/>
      <w:pPr>
        <w:ind w:left="6894" w:hanging="360"/>
      </w:pPr>
      <w:rPr>
        <w:rFonts w:cs="Times New Roman"/>
      </w:rPr>
    </w:lvl>
    <w:lvl w:ilvl="8" w:tplc="041B001B" w:tentative="1">
      <w:start w:val="1"/>
      <w:numFmt w:val="lowerRoman"/>
      <w:lvlText w:val="%9."/>
      <w:lvlJc w:val="right"/>
      <w:pPr>
        <w:ind w:left="7614" w:hanging="180"/>
      </w:pPr>
      <w:rPr>
        <w:rFonts w:cs="Times New Roman"/>
      </w:rPr>
    </w:lvl>
  </w:abstractNum>
  <w:abstractNum w:abstractNumId="5"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A0443"/>
    <w:multiLevelType w:val="hybridMultilevel"/>
    <w:tmpl w:val="9D46EE18"/>
    <w:lvl w:ilvl="0" w:tplc="A244BBA8">
      <w:start w:val="180"/>
      <w:numFmt w:val="bullet"/>
      <w:lvlText w:val="-"/>
      <w:lvlJc w:val="left"/>
      <w:pPr>
        <w:ind w:left="786" w:hanging="360"/>
      </w:pPr>
      <w:rPr>
        <w:rFonts w:ascii="Times New Roman" w:eastAsia="Times New Roman" w:hAnsi="Times New Roman" w:hint="default"/>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7" w15:restartNumberingAfterBreak="0">
    <w:nsid w:val="1F412631"/>
    <w:multiLevelType w:val="hybridMultilevel"/>
    <w:tmpl w:val="BBF67526"/>
    <w:lvl w:ilvl="0" w:tplc="6650A5EE">
      <w:start w:val="1"/>
      <w:numFmt w:val="decimal"/>
      <w:lvlText w:val="%1."/>
      <w:lvlJc w:val="left"/>
      <w:pPr>
        <w:ind w:left="128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2AB3620"/>
    <w:multiLevelType w:val="hybridMultilevel"/>
    <w:tmpl w:val="8F7896C6"/>
    <w:lvl w:ilvl="0" w:tplc="8EB09F4C">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9"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DF61D3"/>
    <w:multiLevelType w:val="hybridMultilevel"/>
    <w:tmpl w:val="AFCCC618"/>
    <w:lvl w:ilvl="0" w:tplc="1FE2721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AAF48FE"/>
    <w:multiLevelType w:val="hybridMultilevel"/>
    <w:tmpl w:val="BC5ED20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8F1604"/>
    <w:multiLevelType w:val="hybridMultilevel"/>
    <w:tmpl w:val="8160D0CC"/>
    <w:lvl w:ilvl="0" w:tplc="EC285C2C">
      <w:numFmt w:val="bullet"/>
      <w:lvlText w:val="–"/>
      <w:lvlJc w:val="left"/>
      <w:pPr>
        <w:ind w:left="927" w:hanging="360"/>
      </w:pPr>
      <w:rPr>
        <w:rFonts w:ascii="Times New Roman" w:eastAsia="Times New Roman" w:hAnsi="Times New Roman" w:hint="default"/>
        <w:color w:val="auto"/>
      </w:rPr>
    </w:lvl>
    <w:lvl w:ilvl="1" w:tplc="041B0003" w:tentative="1">
      <w:start w:val="1"/>
      <w:numFmt w:val="bullet"/>
      <w:lvlText w:val="o"/>
      <w:lvlJc w:val="left"/>
      <w:pPr>
        <w:ind w:left="1647" w:hanging="360"/>
      </w:pPr>
      <w:rPr>
        <w:rFonts w:ascii="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4" w15:restartNumberingAfterBreak="0">
    <w:nsid w:val="393B50DD"/>
    <w:multiLevelType w:val="hybridMultilevel"/>
    <w:tmpl w:val="BC5ED20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9EC5582"/>
    <w:multiLevelType w:val="hybridMultilevel"/>
    <w:tmpl w:val="8E387646"/>
    <w:lvl w:ilvl="0" w:tplc="1EF4D4EA">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D26213A"/>
    <w:multiLevelType w:val="hybridMultilevel"/>
    <w:tmpl w:val="BE14BFD4"/>
    <w:lvl w:ilvl="0" w:tplc="3BFA3EE2">
      <w:numFmt w:val="bullet"/>
      <w:lvlText w:val="-"/>
      <w:lvlJc w:val="left"/>
      <w:pPr>
        <w:ind w:left="720" w:hanging="360"/>
      </w:pPr>
      <w:rPr>
        <w:rFonts w:ascii="Vrinda" w:eastAsia="Times New Roman" w:hAnsi="Vrinda"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50AB015D"/>
    <w:multiLevelType w:val="hybridMultilevel"/>
    <w:tmpl w:val="08BC5B5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564144AB"/>
    <w:multiLevelType w:val="hybridMultilevel"/>
    <w:tmpl w:val="15CCB5F0"/>
    <w:lvl w:ilvl="0" w:tplc="70F4AA68">
      <w:start w:val="1"/>
      <w:numFmt w:val="decimal"/>
      <w:lvlText w:val="%1."/>
      <w:lvlJc w:val="left"/>
      <w:pPr>
        <w:tabs>
          <w:tab w:val="num" w:pos="2345"/>
        </w:tabs>
        <w:ind w:left="2345"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14168F"/>
    <w:multiLevelType w:val="hybridMultilevel"/>
    <w:tmpl w:val="DD2A12F2"/>
    <w:lvl w:ilvl="0" w:tplc="DFD21DC2">
      <w:numFmt w:val="bullet"/>
      <w:lvlText w:val="-"/>
      <w:lvlJc w:val="left"/>
      <w:pPr>
        <w:ind w:left="405" w:hanging="360"/>
      </w:pPr>
      <w:rPr>
        <w:rFonts w:ascii="Calibri" w:eastAsia="Times New Roman" w:hAnsi="Calibri" w:hint="default"/>
      </w:rPr>
    </w:lvl>
    <w:lvl w:ilvl="1" w:tplc="041B0003">
      <w:start w:val="1"/>
      <w:numFmt w:val="bullet"/>
      <w:lvlText w:val="o"/>
      <w:lvlJc w:val="left"/>
      <w:pPr>
        <w:ind w:left="1125" w:hanging="360"/>
      </w:pPr>
      <w:rPr>
        <w:rFonts w:ascii="Courier New" w:hAnsi="Courier New" w:hint="default"/>
      </w:rPr>
    </w:lvl>
    <w:lvl w:ilvl="2" w:tplc="041B0005">
      <w:start w:val="1"/>
      <w:numFmt w:val="bullet"/>
      <w:lvlText w:val=""/>
      <w:lvlJc w:val="left"/>
      <w:pPr>
        <w:ind w:left="1845" w:hanging="360"/>
      </w:pPr>
      <w:rPr>
        <w:rFonts w:ascii="Wingdings" w:hAnsi="Wingdings" w:hint="default"/>
      </w:rPr>
    </w:lvl>
    <w:lvl w:ilvl="3" w:tplc="041B0001">
      <w:start w:val="1"/>
      <w:numFmt w:val="bullet"/>
      <w:lvlText w:val=""/>
      <w:lvlJc w:val="left"/>
      <w:pPr>
        <w:ind w:left="2565" w:hanging="360"/>
      </w:pPr>
      <w:rPr>
        <w:rFonts w:ascii="Symbol" w:hAnsi="Symbol" w:hint="default"/>
      </w:rPr>
    </w:lvl>
    <w:lvl w:ilvl="4" w:tplc="041B0003">
      <w:start w:val="1"/>
      <w:numFmt w:val="bullet"/>
      <w:lvlText w:val="o"/>
      <w:lvlJc w:val="left"/>
      <w:pPr>
        <w:ind w:left="3285" w:hanging="360"/>
      </w:pPr>
      <w:rPr>
        <w:rFonts w:ascii="Courier New" w:hAnsi="Courier New" w:hint="default"/>
      </w:rPr>
    </w:lvl>
    <w:lvl w:ilvl="5" w:tplc="041B0005">
      <w:start w:val="1"/>
      <w:numFmt w:val="bullet"/>
      <w:lvlText w:val=""/>
      <w:lvlJc w:val="left"/>
      <w:pPr>
        <w:ind w:left="4005" w:hanging="360"/>
      </w:pPr>
      <w:rPr>
        <w:rFonts w:ascii="Wingdings" w:hAnsi="Wingdings" w:hint="default"/>
      </w:rPr>
    </w:lvl>
    <w:lvl w:ilvl="6" w:tplc="041B0001">
      <w:start w:val="1"/>
      <w:numFmt w:val="bullet"/>
      <w:lvlText w:val=""/>
      <w:lvlJc w:val="left"/>
      <w:pPr>
        <w:ind w:left="4725" w:hanging="360"/>
      </w:pPr>
      <w:rPr>
        <w:rFonts w:ascii="Symbol" w:hAnsi="Symbol" w:hint="default"/>
      </w:rPr>
    </w:lvl>
    <w:lvl w:ilvl="7" w:tplc="041B0003">
      <w:start w:val="1"/>
      <w:numFmt w:val="bullet"/>
      <w:lvlText w:val="o"/>
      <w:lvlJc w:val="left"/>
      <w:pPr>
        <w:ind w:left="5445" w:hanging="360"/>
      </w:pPr>
      <w:rPr>
        <w:rFonts w:ascii="Courier New" w:hAnsi="Courier New" w:hint="default"/>
      </w:rPr>
    </w:lvl>
    <w:lvl w:ilvl="8" w:tplc="041B0005">
      <w:start w:val="1"/>
      <w:numFmt w:val="bullet"/>
      <w:lvlText w:val=""/>
      <w:lvlJc w:val="left"/>
      <w:pPr>
        <w:ind w:left="6165" w:hanging="360"/>
      </w:pPr>
      <w:rPr>
        <w:rFonts w:ascii="Wingdings" w:hAnsi="Wingdings" w:hint="default"/>
      </w:rPr>
    </w:lvl>
  </w:abstractNum>
  <w:abstractNum w:abstractNumId="20" w15:restartNumberingAfterBreak="0">
    <w:nsid w:val="5D0B44FF"/>
    <w:multiLevelType w:val="hybridMultilevel"/>
    <w:tmpl w:val="8C3E8A70"/>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E93087A"/>
    <w:multiLevelType w:val="hybridMultilevel"/>
    <w:tmpl w:val="BDA62CAC"/>
    <w:lvl w:ilvl="0" w:tplc="041B000F">
      <w:start w:val="1"/>
      <w:numFmt w:val="decimal"/>
      <w:lvlText w:val="%1."/>
      <w:lvlJc w:val="left"/>
      <w:pPr>
        <w:ind w:left="1287" w:hanging="360"/>
      </w:pPr>
      <w:rPr>
        <w:rFonts w:cs="Times New Roman"/>
      </w:rPr>
    </w:lvl>
    <w:lvl w:ilvl="1" w:tplc="041B0019" w:tentative="1">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22" w15:restartNumberingAfterBreak="0">
    <w:nsid w:val="621B042D"/>
    <w:multiLevelType w:val="hybridMultilevel"/>
    <w:tmpl w:val="4C501246"/>
    <w:lvl w:ilvl="0" w:tplc="267E25B0">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B62683"/>
    <w:multiLevelType w:val="singleLevel"/>
    <w:tmpl w:val="768E8086"/>
    <w:lvl w:ilvl="0">
      <w:start w:val="1"/>
      <w:numFmt w:val="bullet"/>
      <w:lvlText w:val="-"/>
      <w:lvlJc w:val="left"/>
      <w:pPr>
        <w:tabs>
          <w:tab w:val="num" w:pos="644"/>
        </w:tabs>
        <w:ind w:left="644" w:hanging="360"/>
      </w:pPr>
      <w:rPr>
        <w:rFonts w:hint="default"/>
      </w:rPr>
    </w:lvl>
  </w:abstractNum>
  <w:abstractNum w:abstractNumId="24" w15:restartNumberingAfterBreak="0">
    <w:nsid w:val="6B625AE5"/>
    <w:multiLevelType w:val="singleLevel"/>
    <w:tmpl w:val="0405000F"/>
    <w:lvl w:ilvl="0">
      <w:start w:val="2"/>
      <w:numFmt w:val="decimal"/>
      <w:lvlText w:val="%1."/>
      <w:lvlJc w:val="left"/>
      <w:pPr>
        <w:tabs>
          <w:tab w:val="num" w:pos="360"/>
        </w:tabs>
        <w:ind w:left="360" w:hanging="360"/>
      </w:pPr>
      <w:rPr>
        <w:rFonts w:cs="Times New Roman" w:hint="default"/>
      </w:rPr>
    </w:lvl>
  </w:abstractNum>
  <w:abstractNum w:abstractNumId="25" w15:restartNumberingAfterBreak="0">
    <w:nsid w:val="6F3C24B4"/>
    <w:multiLevelType w:val="hybridMultilevel"/>
    <w:tmpl w:val="3162F5C2"/>
    <w:lvl w:ilvl="0" w:tplc="056EA108">
      <w:start w:val="226"/>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0DC7C8E"/>
    <w:multiLevelType w:val="hybridMultilevel"/>
    <w:tmpl w:val="A14ECBF8"/>
    <w:lvl w:ilvl="0" w:tplc="48F406FE">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4011C4B"/>
    <w:multiLevelType w:val="hybridMultilevel"/>
    <w:tmpl w:val="3F1EC88E"/>
    <w:lvl w:ilvl="0" w:tplc="71D8E1E8">
      <w:start w:val="1"/>
      <w:numFmt w:val="lowerLetter"/>
      <w:lvlText w:val="%1)"/>
      <w:lvlJc w:val="left"/>
      <w:pPr>
        <w:ind w:left="644" w:hanging="360"/>
      </w:pPr>
      <w:rPr>
        <w:rFonts w:cs="Times New Roman" w:hint="default"/>
        <w:b/>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8" w15:restartNumberingAfterBreak="0">
    <w:nsid w:val="79AC144A"/>
    <w:multiLevelType w:val="hybridMultilevel"/>
    <w:tmpl w:val="D5CEF21C"/>
    <w:lvl w:ilvl="0" w:tplc="28AA7DEC">
      <w:start w:val="1"/>
      <w:numFmt w:val="decimal"/>
      <w:lvlText w:val="%1."/>
      <w:lvlJc w:val="left"/>
      <w:pPr>
        <w:ind w:left="1065" w:hanging="7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22"/>
  </w:num>
  <w:num w:numId="2">
    <w:abstractNumId w:val="13"/>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6"/>
  </w:num>
  <w:num w:numId="6">
    <w:abstractNumId w:val="0"/>
  </w:num>
  <w:num w:numId="7">
    <w:abstractNumId w:val="9"/>
  </w:num>
  <w:num w:numId="8">
    <w:abstractNumId w:val="12"/>
  </w:num>
  <w:num w:numId="9">
    <w:abstractNumId w:val="5"/>
  </w:num>
  <w:num w:numId="10">
    <w:abstractNumId w:val="10"/>
  </w:num>
  <w:num w:numId="11">
    <w:abstractNumId w:val="29"/>
  </w:num>
  <w:num w:numId="12">
    <w:abstractNumId w:val="3"/>
  </w:num>
  <w:num w:numId="13">
    <w:abstractNumId w:val="26"/>
  </w:num>
  <w:num w:numId="14">
    <w:abstractNumId w:val="15"/>
  </w:num>
  <w:num w:numId="15">
    <w:abstractNumId w:val="1"/>
  </w:num>
  <w:num w:numId="16">
    <w:abstractNumId w:val="14"/>
  </w:num>
  <w:num w:numId="17">
    <w:abstractNumId w:val="11"/>
  </w:num>
  <w:num w:numId="18">
    <w:abstractNumId w:val="8"/>
  </w:num>
  <w:num w:numId="19">
    <w:abstractNumId w:val="28"/>
  </w:num>
  <w:num w:numId="20">
    <w:abstractNumId w:val="6"/>
  </w:num>
  <w:num w:numId="21">
    <w:abstractNumId w:val="2"/>
  </w:num>
  <w:num w:numId="22">
    <w:abstractNumId w:val="17"/>
  </w:num>
  <w:num w:numId="23">
    <w:abstractNumId w:val="4"/>
  </w:num>
  <w:num w:numId="24">
    <w:abstractNumId w:val="25"/>
  </w:num>
  <w:num w:numId="25">
    <w:abstractNumId w:val="18"/>
  </w:num>
  <w:num w:numId="26">
    <w:abstractNumId w:val="19"/>
  </w:num>
  <w:num w:numId="27">
    <w:abstractNumId w:val="23"/>
  </w:num>
  <w:num w:numId="28">
    <w:abstractNumId w:val="24"/>
  </w:num>
  <w:num w:numId="29">
    <w:abstractNumId w:val="20"/>
  </w:num>
  <w:num w:numId="30">
    <w:abstractNumId w:val="27"/>
  </w:num>
  <w:num w:numId="31">
    <w:abstractNumId w:val="2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78"/>
    <w:rsid w:val="00001CE4"/>
    <w:rsid w:val="000276A1"/>
    <w:rsid w:val="00040A99"/>
    <w:rsid w:val="0006283B"/>
    <w:rsid w:val="000842CF"/>
    <w:rsid w:val="000A15AE"/>
    <w:rsid w:val="000B75DA"/>
    <w:rsid w:val="000D46E5"/>
    <w:rsid w:val="000D7741"/>
    <w:rsid w:val="000E09D2"/>
    <w:rsid w:val="000E5DCC"/>
    <w:rsid w:val="000F1B27"/>
    <w:rsid w:val="00113413"/>
    <w:rsid w:val="00126F54"/>
    <w:rsid w:val="00145CC0"/>
    <w:rsid w:val="00155C7E"/>
    <w:rsid w:val="0015661B"/>
    <w:rsid w:val="00171FB2"/>
    <w:rsid w:val="0018263B"/>
    <w:rsid w:val="001849A6"/>
    <w:rsid w:val="00193BCC"/>
    <w:rsid w:val="001B0AFE"/>
    <w:rsid w:val="001B1696"/>
    <w:rsid w:val="001C02F1"/>
    <w:rsid w:val="001C0607"/>
    <w:rsid w:val="001C3710"/>
    <w:rsid w:val="001D4349"/>
    <w:rsid w:val="00201697"/>
    <w:rsid w:val="00204318"/>
    <w:rsid w:val="00222E2A"/>
    <w:rsid w:val="00243E51"/>
    <w:rsid w:val="002659DD"/>
    <w:rsid w:val="00270552"/>
    <w:rsid w:val="00274717"/>
    <w:rsid w:val="00294D7D"/>
    <w:rsid w:val="00296933"/>
    <w:rsid w:val="002A41AE"/>
    <w:rsid w:val="002A48F2"/>
    <w:rsid w:val="002B0336"/>
    <w:rsid w:val="002B3978"/>
    <w:rsid w:val="002C049C"/>
    <w:rsid w:val="002C58F9"/>
    <w:rsid w:val="002D753F"/>
    <w:rsid w:val="002E5523"/>
    <w:rsid w:val="002F142D"/>
    <w:rsid w:val="00330A6B"/>
    <w:rsid w:val="00353710"/>
    <w:rsid w:val="003613F2"/>
    <w:rsid w:val="0038272B"/>
    <w:rsid w:val="00385231"/>
    <w:rsid w:val="003A39C1"/>
    <w:rsid w:val="003C289B"/>
    <w:rsid w:val="003C4322"/>
    <w:rsid w:val="003E2ED4"/>
    <w:rsid w:val="003E6073"/>
    <w:rsid w:val="003F05A6"/>
    <w:rsid w:val="00402CF6"/>
    <w:rsid w:val="00403848"/>
    <w:rsid w:val="0041536D"/>
    <w:rsid w:val="004174FB"/>
    <w:rsid w:val="00431A58"/>
    <w:rsid w:val="00442BA2"/>
    <w:rsid w:val="0044533D"/>
    <w:rsid w:val="0045434B"/>
    <w:rsid w:val="00455DBE"/>
    <w:rsid w:val="00486429"/>
    <w:rsid w:val="004864C4"/>
    <w:rsid w:val="0049434C"/>
    <w:rsid w:val="004968CF"/>
    <w:rsid w:val="004A0D0F"/>
    <w:rsid w:val="004B42B1"/>
    <w:rsid w:val="004D1BC3"/>
    <w:rsid w:val="004F1B59"/>
    <w:rsid w:val="004F4C20"/>
    <w:rsid w:val="0050587A"/>
    <w:rsid w:val="00524381"/>
    <w:rsid w:val="005346E7"/>
    <w:rsid w:val="00541A18"/>
    <w:rsid w:val="00552BA9"/>
    <w:rsid w:val="00575278"/>
    <w:rsid w:val="00575777"/>
    <w:rsid w:val="00581161"/>
    <w:rsid w:val="005834A0"/>
    <w:rsid w:val="00591A6A"/>
    <w:rsid w:val="005938ED"/>
    <w:rsid w:val="00594276"/>
    <w:rsid w:val="005C259E"/>
    <w:rsid w:val="005C4B9C"/>
    <w:rsid w:val="005C5A6F"/>
    <w:rsid w:val="005D74CF"/>
    <w:rsid w:val="00603C7E"/>
    <w:rsid w:val="00633FBD"/>
    <w:rsid w:val="00652F8D"/>
    <w:rsid w:val="0066487E"/>
    <w:rsid w:val="0068099D"/>
    <w:rsid w:val="0068269A"/>
    <w:rsid w:val="00683255"/>
    <w:rsid w:val="00691A7F"/>
    <w:rsid w:val="006954A2"/>
    <w:rsid w:val="006A2D1A"/>
    <w:rsid w:val="006B78D2"/>
    <w:rsid w:val="006C09AC"/>
    <w:rsid w:val="006C4221"/>
    <w:rsid w:val="006E25CA"/>
    <w:rsid w:val="006E7E8D"/>
    <w:rsid w:val="007026BD"/>
    <w:rsid w:val="00727D26"/>
    <w:rsid w:val="00730F6D"/>
    <w:rsid w:val="00742FB6"/>
    <w:rsid w:val="0076638E"/>
    <w:rsid w:val="00783257"/>
    <w:rsid w:val="00794FA9"/>
    <w:rsid w:val="0079786F"/>
    <w:rsid w:val="007A730A"/>
    <w:rsid w:val="007D2883"/>
    <w:rsid w:val="007D5748"/>
    <w:rsid w:val="007E1502"/>
    <w:rsid w:val="007F72BA"/>
    <w:rsid w:val="008073FC"/>
    <w:rsid w:val="0081183B"/>
    <w:rsid w:val="008215A5"/>
    <w:rsid w:val="00826B4E"/>
    <w:rsid w:val="0085250D"/>
    <w:rsid w:val="008530BD"/>
    <w:rsid w:val="00891BF2"/>
    <w:rsid w:val="008B029A"/>
    <w:rsid w:val="008B39E6"/>
    <w:rsid w:val="008B621F"/>
    <w:rsid w:val="008C0E17"/>
    <w:rsid w:val="008F3892"/>
    <w:rsid w:val="00900E4B"/>
    <w:rsid w:val="0090570E"/>
    <w:rsid w:val="00905728"/>
    <w:rsid w:val="00935651"/>
    <w:rsid w:val="00954BAB"/>
    <w:rsid w:val="00955F3E"/>
    <w:rsid w:val="00956E93"/>
    <w:rsid w:val="00971416"/>
    <w:rsid w:val="009763CC"/>
    <w:rsid w:val="009807BD"/>
    <w:rsid w:val="00982D62"/>
    <w:rsid w:val="00997EF6"/>
    <w:rsid w:val="009C2D64"/>
    <w:rsid w:val="009E065B"/>
    <w:rsid w:val="009F2537"/>
    <w:rsid w:val="00A03BBB"/>
    <w:rsid w:val="00A04BF1"/>
    <w:rsid w:val="00A422CF"/>
    <w:rsid w:val="00A454C7"/>
    <w:rsid w:val="00A54D68"/>
    <w:rsid w:val="00A63269"/>
    <w:rsid w:val="00A638D0"/>
    <w:rsid w:val="00A64D2D"/>
    <w:rsid w:val="00A65D35"/>
    <w:rsid w:val="00A70D48"/>
    <w:rsid w:val="00A7769C"/>
    <w:rsid w:val="00A875D5"/>
    <w:rsid w:val="00A94DF1"/>
    <w:rsid w:val="00AA25A4"/>
    <w:rsid w:val="00AC39D9"/>
    <w:rsid w:val="00AD5F8A"/>
    <w:rsid w:val="00AE18E8"/>
    <w:rsid w:val="00AE5D0E"/>
    <w:rsid w:val="00AE7CE9"/>
    <w:rsid w:val="00B32D44"/>
    <w:rsid w:val="00B36D8E"/>
    <w:rsid w:val="00B41057"/>
    <w:rsid w:val="00B71122"/>
    <w:rsid w:val="00B95BFE"/>
    <w:rsid w:val="00BA1EFF"/>
    <w:rsid w:val="00BA6541"/>
    <w:rsid w:val="00BC2094"/>
    <w:rsid w:val="00BD68AE"/>
    <w:rsid w:val="00BF239D"/>
    <w:rsid w:val="00BF517A"/>
    <w:rsid w:val="00BF74A1"/>
    <w:rsid w:val="00C13F01"/>
    <w:rsid w:val="00C44C3D"/>
    <w:rsid w:val="00C478ED"/>
    <w:rsid w:val="00C5661B"/>
    <w:rsid w:val="00C70AB4"/>
    <w:rsid w:val="00C749F2"/>
    <w:rsid w:val="00C82073"/>
    <w:rsid w:val="00C865A7"/>
    <w:rsid w:val="00CD4B5C"/>
    <w:rsid w:val="00CE6F90"/>
    <w:rsid w:val="00D25164"/>
    <w:rsid w:val="00D26625"/>
    <w:rsid w:val="00D3116B"/>
    <w:rsid w:val="00D33815"/>
    <w:rsid w:val="00D476F4"/>
    <w:rsid w:val="00D55912"/>
    <w:rsid w:val="00D632CD"/>
    <w:rsid w:val="00D63355"/>
    <w:rsid w:val="00D719AC"/>
    <w:rsid w:val="00D9755D"/>
    <w:rsid w:val="00DA4E97"/>
    <w:rsid w:val="00DB08D4"/>
    <w:rsid w:val="00DB66E2"/>
    <w:rsid w:val="00DC5AFF"/>
    <w:rsid w:val="00DE3ED5"/>
    <w:rsid w:val="00DE4919"/>
    <w:rsid w:val="00DF441A"/>
    <w:rsid w:val="00E033DA"/>
    <w:rsid w:val="00E163DF"/>
    <w:rsid w:val="00E204E4"/>
    <w:rsid w:val="00E355FA"/>
    <w:rsid w:val="00E71912"/>
    <w:rsid w:val="00E836BF"/>
    <w:rsid w:val="00E936B3"/>
    <w:rsid w:val="00EB59C8"/>
    <w:rsid w:val="00EC22D4"/>
    <w:rsid w:val="00EC4246"/>
    <w:rsid w:val="00EE0DC7"/>
    <w:rsid w:val="00EF5366"/>
    <w:rsid w:val="00F007C5"/>
    <w:rsid w:val="00F03230"/>
    <w:rsid w:val="00F30EE2"/>
    <w:rsid w:val="00F31D8F"/>
    <w:rsid w:val="00F3713B"/>
    <w:rsid w:val="00F45B35"/>
    <w:rsid w:val="00F45E7D"/>
    <w:rsid w:val="00F47926"/>
    <w:rsid w:val="00F50F39"/>
    <w:rsid w:val="00F648CD"/>
    <w:rsid w:val="00F67F6D"/>
    <w:rsid w:val="00F74A55"/>
    <w:rsid w:val="00F75A5A"/>
    <w:rsid w:val="00F77A0C"/>
    <w:rsid w:val="00F82B6C"/>
    <w:rsid w:val="00F85286"/>
    <w:rsid w:val="00F9385A"/>
    <w:rsid w:val="00FA3373"/>
    <w:rsid w:val="00FC1870"/>
    <w:rsid w:val="00FC5D69"/>
    <w:rsid w:val="00FD69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BD508F-5C17-4BBC-B6E0-CAC68E0D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1">
    <w:name w:val="heading 1"/>
    <w:basedOn w:val="Normlny"/>
    <w:next w:val="Normlny"/>
    <w:link w:val="Nadpis1Char"/>
    <w:uiPriority w:val="9"/>
    <w:qFormat/>
    <w:rsid w:val="00403848"/>
    <w:pPr>
      <w:numPr>
        <w:numId w:val="6"/>
      </w:numPr>
      <w:overflowPunct w:val="0"/>
      <w:autoSpaceDE w:val="0"/>
      <w:autoSpaceDN w:val="0"/>
      <w:adjustRightInd w:val="0"/>
      <w:spacing w:line="288" w:lineRule="auto"/>
      <w:jc w:val="both"/>
      <w:textAlignment w:val="baseline"/>
      <w:outlineLvl w:val="0"/>
    </w:pPr>
    <w:rPr>
      <w:kern w:val="28"/>
      <w:sz w:val="22"/>
      <w:szCs w:val="22"/>
      <w:lang w:val="nl-BE"/>
    </w:rPr>
  </w:style>
  <w:style w:type="paragraph" w:styleId="Nadpis2">
    <w:name w:val="heading 2"/>
    <w:basedOn w:val="Normlny"/>
    <w:next w:val="Normlny"/>
    <w:link w:val="Nadpis2Char"/>
    <w:uiPriority w:val="9"/>
    <w:qFormat/>
    <w:rsid w:val="00403848"/>
    <w:pPr>
      <w:numPr>
        <w:ilvl w:val="1"/>
        <w:numId w:val="6"/>
      </w:numPr>
      <w:overflowPunct w:val="0"/>
      <w:autoSpaceDE w:val="0"/>
      <w:autoSpaceDN w:val="0"/>
      <w:adjustRightInd w:val="0"/>
      <w:spacing w:line="288" w:lineRule="auto"/>
      <w:jc w:val="both"/>
      <w:textAlignment w:val="baseline"/>
      <w:outlineLvl w:val="1"/>
    </w:pPr>
    <w:rPr>
      <w:sz w:val="22"/>
      <w:szCs w:val="22"/>
      <w:lang w:val="nl-BE"/>
    </w:rPr>
  </w:style>
  <w:style w:type="paragraph" w:styleId="Nadpis3">
    <w:name w:val="heading 3"/>
    <w:basedOn w:val="Normlny"/>
    <w:next w:val="Normlny"/>
    <w:link w:val="Nadpis3Char"/>
    <w:uiPriority w:val="9"/>
    <w:qFormat/>
    <w:rsid w:val="00403848"/>
    <w:pPr>
      <w:numPr>
        <w:ilvl w:val="2"/>
        <w:numId w:val="6"/>
      </w:numPr>
      <w:overflowPunct w:val="0"/>
      <w:autoSpaceDE w:val="0"/>
      <w:autoSpaceDN w:val="0"/>
      <w:adjustRightInd w:val="0"/>
      <w:spacing w:line="288" w:lineRule="auto"/>
      <w:jc w:val="both"/>
      <w:textAlignment w:val="baseline"/>
      <w:outlineLvl w:val="2"/>
    </w:pPr>
    <w:rPr>
      <w:sz w:val="22"/>
      <w:szCs w:val="22"/>
      <w:lang w:val="nl-BE"/>
    </w:rPr>
  </w:style>
  <w:style w:type="paragraph" w:styleId="Nadpis4">
    <w:name w:val="heading 4"/>
    <w:basedOn w:val="Normlny"/>
    <w:next w:val="Normlny"/>
    <w:link w:val="Nadpis4Char"/>
    <w:uiPriority w:val="9"/>
    <w:qFormat/>
    <w:rsid w:val="00403848"/>
    <w:pPr>
      <w:numPr>
        <w:ilvl w:val="3"/>
        <w:numId w:val="6"/>
      </w:numPr>
      <w:overflowPunct w:val="0"/>
      <w:autoSpaceDE w:val="0"/>
      <w:autoSpaceDN w:val="0"/>
      <w:adjustRightInd w:val="0"/>
      <w:spacing w:line="288" w:lineRule="auto"/>
      <w:jc w:val="both"/>
      <w:textAlignment w:val="baseline"/>
      <w:outlineLvl w:val="3"/>
    </w:pPr>
    <w:rPr>
      <w:sz w:val="22"/>
      <w:szCs w:val="22"/>
      <w:lang w:val="nl-BE"/>
    </w:rPr>
  </w:style>
  <w:style w:type="paragraph" w:styleId="Nadpis5">
    <w:name w:val="heading 5"/>
    <w:basedOn w:val="Normlny"/>
    <w:next w:val="Normlny"/>
    <w:link w:val="Nadpis5Char"/>
    <w:uiPriority w:val="9"/>
    <w:qFormat/>
    <w:rsid w:val="00403848"/>
    <w:pPr>
      <w:numPr>
        <w:ilvl w:val="4"/>
        <w:numId w:val="6"/>
      </w:numPr>
      <w:overflowPunct w:val="0"/>
      <w:autoSpaceDE w:val="0"/>
      <w:autoSpaceDN w:val="0"/>
      <w:adjustRightInd w:val="0"/>
      <w:spacing w:line="288" w:lineRule="auto"/>
      <w:jc w:val="both"/>
      <w:textAlignment w:val="baseline"/>
      <w:outlineLvl w:val="4"/>
    </w:pPr>
    <w:rPr>
      <w:sz w:val="22"/>
      <w:szCs w:val="22"/>
      <w:lang w:val="nl-BE"/>
    </w:rPr>
  </w:style>
  <w:style w:type="paragraph" w:styleId="Nadpis6">
    <w:name w:val="heading 6"/>
    <w:basedOn w:val="Normlny"/>
    <w:next w:val="Normlny"/>
    <w:link w:val="Nadpis6Char"/>
    <w:uiPriority w:val="9"/>
    <w:qFormat/>
    <w:rsid w:val="00403848"/>
    <w:pPr>
      <w:numPr>
        <w:ilvl w:val="5"/>
        <w:numId w:val="6"/>
      </w:numPr>
      <w:overflowPunct w:val="0"/>
      <w:autoSpaceDE w:val="0"/>
      <w:autoSpaceDN w:val="0"/>
      <w:adjustRightInd w:val="0"/>
      <w:spacing w:line="288" w:lineRule="auto"/>
      <w:jc w:val="both"/>
      <w:textAlignment w:val="baseline"/>
      <w:outlineLvl w:val="5"/>
    </w:pPr>
    <w:rPr>
      <w:sz w:val="22"/>
      <w:szCs w:val="22"/>
      <w:lang w:val="nl-BE"/>
    </w:rPr>
  </w:style>
  <w:style w:type="paragraph" w:styleId="Nadpis7">
    <w:name w:val="heading 7"/>
    <w:basedOn w:val="Normlny"/>
    <w:next w:val="Normlny"/>
    <w:link w:val="Nadpis7Char"/>
    <w:uiPriority w:val="9"/>
    <w:qFormat/>
    <w:rsid w:val="00403848"/>
    <w:pPr>
      <w:numPr>
        <w:ilvl w:val="6"/>
        <w:numId w:val="6"/>
      </w:numPr>
      <w:overflowPunct w:val="0"/>
      <w:autoSpaceDE w:val="0"/>
      <w:autoSpaceDN w:val="0"/>
      <w:adjustRightInd w:val="0"/>
      <w:spacing w:line="288" w:lineRule="auto"/>
      <w:jc w:val="both"/>
      <w:textAlignment w:val="baseline"/>
      <w:outlineLvl w:val="6"/>
    </w:pPr>
    <w:rPr>
      <w:sz w:val="22"/>
      <w:szCs w:val="22"/>
      <w:lang w:val="nl-BE"/>
    </w:rPr>
  </w:style>
  <w:style w:type="paragraph" w:styleId="Nadpis8">
    <w:name w:val="heading 8"/>
    <w:basedOn w:val="Normlny"/>
    <w:next w:val="Normlny"/>
    <w:link w:val="Nadpis8Char"/>
    <w:uiPriority w:val="9"/>
    <w:qFormat/>
    <w:rsid w:val="00403848"/>
    <w:pPr>
      <w:numPr>
        <w:ilvl w:val="7"/>
        <w:numId w:val="6"/>
      </w:numPr>
      <w:overflowPunct w:val="0"/>
      <w:autoSpaceDE w:val="0"/>
      <w:autoSpaceDN w:val="0"/>
      <w:adjustRightInd w:val="0"/>
      <w:spacing w:line="288" w:lineRule="auto"/>
      <w:jc w:val="both"/>
      <w:textAlignment w:val="baseline"/>
      <w:outlineLvl w:val="7"/>
    </w:pPr>
    <w:rPr>
      <w:sz w:val="22"/>
      <w:szCs w:val="22"/>
      <w:lang w:val="nl-BE"/>
    </w:rPr>
  </w:style>
  <w:style w:type="paragraph" w:styleId="Nadpis9">
    <w:name w:val="heading 9"/>
    <w:basedOn w:val="Normlny"/>
    <w:next w:val="Normlny"/>
    <w:link w:val="Nadpis9Char"/>
    <w:uiPriority w:val="9"/>
    <w:qFormat/>
    <w:rsid w:val="00403848"/>
    <w:pPr>
      <w:numPr>
        <w:ilvl w:val="8"/>
        <w:numId w:val="6"/>
      </w:numPr>
      <w:overflowPunct w:val="0"/>
      <w:autoSpaceDE w:val="0"/>
      <w:autoSpaceDN w:val="0"/>
      <w:adjustRightInd w:val="0"/>
      <w:spacing w:line="288" w:lineRule="auto"/>
      <w:jc w:val="both"/>
      <w:textAlignment w:val="baseline"/>
      <w:outlineLvl w:val="8"/>
    </w:pPr>
    <w:rPr>
      <w:sz w:val="22"/>
      <w:szCs w:val="22"/>
      <w:lang w:val="nl-B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403848"/>
    <w:rPr>
      <w:rFonts w:cs="Times New Roman"/>
      <w:kern w:val="28"/>
      <w:lang w:val="nl-BE" w:eastAsia="x-none"/>
    </w:rPr>
  </w:style>
  <w:style w:type="character" w:customStyle="1" w:styleId="Nadpis2Char">
    <w:name w:val="Nadpis 2 Char"/>
    <w:link w:val="Nadpis2"/>
    <w:uiPriority w:val="9"/>
    <w:locked/>
    <w:rsid w:val="00403848"/>
    <w:rPr>
      <w:rFonts w:cs="Times New Roman"/>
      <w:lang w:val="nl-BE" w:eastAsia="x-none"/>
    </w:rPr>
  </w:style>
  <w:style w:type="character" w:customStyle="1" w:styleId="Nadpis3Char">
    <w:name w:val="Nadpis 3 Char"/>
    <w:link w:val="Nadpis3"/>
    <w:uiPriority w:val="9"/>
    <w:locked/>
    <w:rsid w:val="00403848"/>
    <w:rPr>
      <w:rFonts w:cs="Times New Roman"/>
      <w:lang w:val="nl-BE" w:eastAsia="x-none"/>
    </w:rPr>
  </w:style>
  <w:style w:type="character" w:customStyle="1" w:styleId="Nadpis4Char">
    <w:name w:val="Nadpis 4 Char"/>
    <w:link w:val="Nadpis4"/>
    <w:uiPriority w:val="9"/>
    <w:locked/>
    <w:rsid w:val="00403848"/>
    <w:rPr>
      <w:rFonts w:cs="Times New Roman"/>
      <w:lang w:val="nl-BE" w:eastAsia="x-none"/>
    </w:rPr>
  </w:style>
  <w:style w:type="character" w:customStyle="1" w:styleId="Nadpis5Char">
    <w:name w:val="Nadpis 5 Char"/>
    <w:link w:val="Nadpis5"/>
    <w:uiPriority w:val="9"/>
    <w:locked/>
    <w:rsid w:val="00403848"/>
    <w:rPr>
      <w:rFonts w:cs="Times New Roman"/>
      <w:lang w:val="nl-BE" w:eastAsia="x-none"/>
    </w:rPr>
  </w:style>
  <w:style w:type="character" w:customStyle="1" w:styleId="Nadpis6Char">
    <w:name w:val="Nadpis 6 Char"/>
    <w:link w:val="Nadpis6"/>
    <w:uiPriority w:val="9"/>
    <w:locked/>
    <w:rsid w:val="00403848"/>
    <w:rPr>
      <w:rFonts w:cs="Times New Roman"/>
      <w:lang w:val="nl-BE" w:eastAsia="x-none"/>
    </w:rPr>
  </w:style>
  <w:style w:type="character" w:customStyle="1" w:styleId="Nadpis7Char">
    <w:name w:val="Nadpis 7 Char"/>
    <w:link w:val="Nadpis7"/>
    <w:uiPriority w:val="9"/>
    <w:locked/>
    <w:rsid w:val="00403848"/>
    <w:rPr>
      <w:rFonts w:cs="Times New Roman"/>
      <w:lang w:val="nl-BE" w:eastAsia="x-none"/>
    </w:rPr>
  </w:style>
  <w:style w:type="character" w:customStyle="1" w:styleId="Nadpis8Char">
    <w:name w:val="Nadpis 8 Char"/>
    <w:link w:val="Nadpis8"/>
    <w:uiPriority w:val="9"/>
    <w:locked/>
    <w:rsid w:val="00403848"/>
    <w:rPr>
      <w:rFonts w:cs="Times New Roman"/>
      <w:lang w:val="nl-BE" w:eastAsia="x-none"/>
    </w:rPr>
  </w:style>
  <w:style w:type="character" w:customStyle="1" w:styleId="Nadpis9Char">
    <w:name w:val="Nadpis 9 Char"/>
    <w:link w:val="Nadpis9"/>
    <w:uiPriority w:val="9"/>
    <w:locked/>
    <w:rsid w:val="00403848"/>
    <w:rPr>
      <w:rFonts w:cs="Times New Roman"/>
      <w:lang w:val="nl-BE" w:eastAsia="x-none"/>
    </w:rPr>
  </w:style>
  <w:style w:type="character" w:styleId="Zstupntext">
    <w:name w:val="Placeholder Text"/>
    <w:uiPriority w:val="99"/>
    <w:semiHidden/>
    <w:rsid w:val="00BC2094"/>
    <w:rPr>
      <w:rFonts w:ascii="Times New Roman" w:hAnsi="Times New Roman" w:cs="Times New Roman"/>
      <w:color w:val="808080"/>
    </w:rPr>
  </w:style>
  <w:style w:type="paragraph" w:styleId="Zkladntext2">
    <w:name w:val="Body Text 2"/>
    <w:basedOn w:val="Normlny"/>
    <w:link w:val="Zkladntext2Char"/>
    <w:uiPriority w:val="99"/>
    <w:rsid w:val="00BC2094"/>
    <w:pPr>
      <w:jc w:val="both"/>
    </w:pPr>
  </w:style>
  <w:style w:type="character" w:customStyle="1" w:styleId="Zkladntext2Char">
    <w:name w:val="Základný text 2 Char"/>
    <w:link w:val="Zkladntext2"/>
    <w:uiPriority w:val="99"/>
    <w:locked/>
    <w:rsid w:val="00BC2094"/>
    <w:rPr>
      <w:rFonts w:cs="Times New Roman"/>
      <w:sz w:val="24"/>
      <w:szCs w:val="24"/>
    </w:rPr>
  </w:style>
  <w:style w:type="paragraph" w:styleId="Zkladntext">
    <w:name w:val="Body Text"/>
    <w:basedOn w:val="Normlny"/>
    <w:link w:val="ZkladntextChar"/>
    <w:uiPriority w:val="99"/>
    <w:rsid w:val="00BC2094"/>
    <w:pPr>
      <w:spacing w:after="120"/>
    </w:pPr>
  </w:style>
  <w:style w:type="character" w:customStyle="1" w:styleId="ZkladntextChar">
    <w:name w:val="Základný text Char"/>
    <w:link w:val="Zkladntext"/>
    <w:uiPriority w:val="99"/>
    <w:locked/>
    <w:rsid w:val="00BC2094"/>
    <w:rPr>
      <w:rFonts w:cs="Times New Roman"/>
      <w:sz w:val="24"/>
      <w:szCs w:val="24"/>
    </w:rPr>
  </w:style>
  <w:style w:type="paragraph" w:customStyle="1" w:styleId="CM19">
    <w:name w:val="CM1+9"/>
    <w:basedOn w:val="Normlny"/>
    <w:next w:val="Normlny"/>
    <w:uiPriority w:val="99"/>
    <w:rsid w:val="0044533D"/>
    <w:pPr>
      <w:autoSpaceDE w:val="0"/>
      <w:autoSpaceDN w:val="0"/>
      <w:adjustRightInd w:val="0"/>
    </w:pPr>
    <w:rPr>
      <w:rFonts w:ascii="EUAlbertina" w:hAnsi="EUAlbertina"/>
    </w:rPr>
  </w:style>
  <w:style w:type="paragraph" w:customStyle="1" w:styleId="Default">
    <w:name w:val="Default"/>
    <w:rsid w:val="00C5661B"/>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C5661B"/>
    <w:rPr>
      <w:rFonts w:cs="Times New Roman"/>
      <w:color w:val="auto"/>
    </w:rPr>
  </w:style>
  <w:style w:type="paragraph" w:customStyle="1" w:styleId="CM3">
    <w:name w:val="CM3"/>
    <w:basedOn w:val="Default"/>
    <w:next w:val="Default"/>
    <w:uiPriority w:val="99"/>
    <w:rsid w:val="00C5661B"/>
    <w:rPr>
      <w:rFonts w:cs="Times New Roman"/>
      <w:color w:val="auto"/>
    </w:rPr>
  </w:style>
  <w:style w:type="paragraph" w:customStyle="1" w:styleId="Zkladntext0">
    <w:name w:val="Základní text"/>
    <w:aliases w:val="Základný text Char Char"/>
    <w:uiPriority w:val="99"/>
    <w:rsid w:val="0015661B"/>
    <w:pPr>
      <w:widowControl w:val="0"/>
      <w:autoSpaceDE w:val="0"/>
      <w:autoSpaceDN w:val="0"/>
    </w:pPr>
    <w:rPr>
      <w:rFonts w:ascii="Arial Narrow" w:hAnsi="Arial Narrow" w:cs="Arial Narrow"/>
      <w:color w:val="000000"/>
      <w:sz w:val="24"/>
      <w:szCs w:val="24"/>
    </w:rPr>
  </w:style>
  <w:style w:type="paragraph" w:styleId="Textbubliny">
    <w:name w:val="Balloon Text"/>
    <w:basedOn w:val="Normlny"/>
    <w:link w:val="TextbublinyChar"/>
    <w:uiPriority w:val="99"/>
    <w:semiHidden/>
    <w:unhideWhenUsed/>
    <w:rsid w:val="005346E7"/>
    <w:rPr>
      <w:rFonts w:ascii="Tahoma" w:hAnsi="Tahoma" w:cs="Tahoma"/>
      <w:sz w:val="16"/>
      <w:szCs w:val="16"/>
    </w:rPr>
  </w:style>
  <w:style w:type="character" w:customStyle="1" w:styleId="TextbublinyChar">
    <w:name w:val="Text bubliny Char"/>
    <w:link w:val="Textbubliny"/>
    <w:uiPriority w:val="99"/>
    <w:semiHidden/>
    <w:locked/>
    <w:rsid w:val="005346E7"/>
    <w:rPr>
      <w:rFonts w:ascii="Tahoma" w:hAnsi="Tahoma" w:cs="Tahoma"/>
      <w:sz w:val="16"/>
      <w:szCs w:val="16"/>
    </w:rPr>
  </w:style>
  <w:style w:type="paragraph" w:styleId="Odsekzoznamu">
    <w:name w:val="List Paragraph"/>
    <w:basedOn w:val="Normlny"/>
    <w:uiPriority w:val="34"/>
    <w:qFormat/>
    <w:rsid w:val="009C2D64"/>
    <w:pPr>
      <w:spacing w:after="160" w:line="256" w:lineRule="auto"/>
      <w:ind w:left="720"/>
      <w:contextualSpacing/>
    </w:pPr>
    <w:rPr>
      <w:rFonts w:ascii="Calibri" w:hAnsi="Calibri"/>
      <w:sz w:val="22"/>
      <w:szCs w:val="22"/>
      <w:lang w:eastAsia="en-US"/>
    </w:rPr>
  </w:style>
  <w:style w:type="paragraph" w:styleId="Bezriadkovania">
    <w:name w:val="No Spacing"/>
    <w:uiPriority w:val="1"/>
    <w:qFormat/>
    <w:rsid w:val="00E836BF"/>
    <w:rPr>
      <w:rFonts w:ascii="Calibri" w:hAnsi="Calibri"/>
      <w:sz w:val="22"/>
      <w:szCs w:val="22"/>
      <w:lang w:eastAsia="en-US"/>
    </w:rPr>
  </w:style>
  <w:style w:type="paragraph" w:styleId="Hlavika">
    <w:name w:val="header"/>
    <w:basedOn w:val="Normlny"/>
    <w:link w:val="HlavikaChar"/>
    <w:uiPriority w:val="99"/>
    <w:unhideWhenUsed/>
    <w:rsid w:val="00727D26"/>
    <w:pPr>
      <w:tabs>
        <w:tab w:val="center" w:pos="4536"/>
        <w:tab w:val="right" w:pos="9072"/>
      </w:tabs>
    </w:pPr>
    <w:rPr>
      <w:sz w:val="20"/>
      <w:szCs w:val="20"/>
    </w:rPr>
  </w:style>
  <w:style w:type="character" w:customStyle="1" w:styleId="HlavikaChar">
    <w:name w:val="Hlavička Char"/>
    <w:link w:val="Hlavika"/>
    <w:uiPriority w:val="99"/>
    <w:locked/>
    <w:rsid w:val="00727D26"/>
    <w:rPr>
      <w:rFonts w:cs="Times New Roman"/>
      <w:sz w:val="20"/>
      <w:szCs w:val="20"/>
    </w:rPr>
  </w:style>
  <w:style w:type="paragraph" w:styleId="Pta">
    <w:name w:val="footer"/>
    <w:basedOn w:val="Normlny"/>
    <w:link w:val="PtaChar"/>
    <w:uiPriority w:val="99"/>
    <w:unhideWhenUsed/>
    <w:rsid w:val="00727D26"/>
    <w:pPr>
      <w:tabs>
        <w:tab w:val="center" w:pos="4536"/>
        <w:tab w:val="right" w:pos="9072"/>
      </w:tabs>
    </w:pPr>
    <w:rPr>
      <w:sz w:val="20"/>
      <w:szCs w:val="20"/>
    </w:rPr>
  </w:style>
  <w:style w:type="character" w:customStyle="1" w:styleId="PtaChar">
    <w:name w:val="Päta Char"/>
    <w:link w:val="Pta"/>
    <w:uiPriority w:val="99"/>
    <w:locked/>
    <w:rsid w:val="00727D26"/>
    <w:rPr>
      <w:rFonts w:cs="Times New Roman"/>
      <w:sz w:val="20"/>
      <w:szCs w:val="20"/>
    </w:rPr>
  </w:style>
  <w:style w:type="character" w:styleId="slostrany">
    <w:name w:val="page number"/>
    <w:uiPriority w:val="99"/>
    <w:rsid w:val="00727D26"/>
    <w:rPr>
      <w:rFonts w:cs="Times New Roman"/>
    </w:rPr>
  </w:style>
  <w:style w:type="table" w:styleId="Mriekatabuky">
    <w:name w:val="Table Grid"/>
    <w:basedOn w:val="Normlnatabuka"/>
    <w:uiPriority w:val="99"/>
    <w:rsid w:val="00727D26"/>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unhideWhenUsed/>
    <w:rsid w:val="00727D26"/>
    <w:rPr>
      <w:rFonts w:ascii="Calibri" w:hAnsi="Calibri"/>
      <w:sz w:val="22"/>
      <w:szCs w:val="21"/>
      <w:lang w:eastAsia="en-US"/>
    </w:rPr>
  </w:style>
  <w:style w:type="character" w:customStyle="1" w:styleId="ObyajntextChar">
    <w:name w:val="Obyčajný text Char"/>
    <w:link w:val="Obyajntext"/>
    <w:uiPriority w:val="99"/>
    <w:locked/>
    <w:rsid w:val="00727D26"/>
    <w:rPr>
      <w:rFonts w:ascii="Calibri" w:hAnsi="Calibri" w:cs="Times New Roman"/>
      <w:sz w:val="21"/>
      <w:szCs w:val="21"/>
      <w:lang w:val="x-none" w:eastAsia="en-US"/>
    </w:rPr>
  </w:style>
  <w:style w:type="paragraph" w:styleId="Normlnywebov">
    <w:name w:val="Normal (Web)"/>
    <w:basedOn w:val="Normlny"/>
    <w:uiPriority w:val="99"/>
    <w:unhideWhenUsed/>
    <w:rsid w:val="00727D26"/>
    <w:pPr>
      <w:spacing w:before="100" w:beforeAutospacing="1" w:after="100" w:afterAutospacing="1"/>
    </w:pPr>
  </w:style>
  <w:style w:type="paragraph" w:customStyle="1" w:styleId="Zkladntext1">
    <w:name w:val="Zkladn text"/>
    <w:rsid w:val="00727D26"/>
    <w:pPr>
      <w:widowControl w:val="0"/>
      <w:autoSpaceDE w:val="0"/>
      <w:autoSpaceDN w:val="0"/>
    </w:pPr>
    <w:rPr>
      <w:color w:val="000000"/>
    </w:rPr>
  </w:style>
  <w:style w:type="paragraph" w:styleId="Nzov">
    <w:name w:val="Title"/>
    <w:basedOn w:val="Normlny"/>
    <w:link w:val="NzovChar"/>
    <w:uiPriority w:val="10"/>
    <w:qFormat/>
    <w:rsid w:val="00727D26"/>
    <w:pPr>
      <w:autoSpaceDE w:val="0"/>
      <w:autoSpaceDN w:val="0"/>
      <w:jc w:val="center"/>
    </w:pPr>
    <w:rPr>
      <w:b/>
      <w:bCs/>
    </w:rPr>
  </w:style>
  <w:style w:type="character" w:customStyle="1" w:styleId="NzovChar">
    <w:name w:val="Názov Char"/>
    <w:link w:val="Nzov"/>
    <w:uiPriority w:val="10"/>
    <w:locked/>
    <w:rsid w:val="00727D26"/>
    <w:rPr>
      <w:rFonts w:cs="Times New Roman"/>
      <w:b/>
      <w:bCs/>
      <w:sz w:val="24"/>
      <w:szCs w:val="24"/>
    </w:rPr>
  </w:style>
  <w:style w:type="character" w:styleId="Zvraznenie">
    <w:name w:val="Emphasis"/>
    <w:uiPriority w:val="20"/>
    <w:qFormat/>
    <w:rsid w:val="00727D26"/>
    <w:rPr>
      <w:rFonts w:cs="Times New Roman"/>
      <w:i/>
    </w:rPr>
  </w:style>
  <w:style w:type="paragraph" w:customStyle="1" w:styleId="c08dispositif">
    <w:name w:val="c08dispositif"/>
    <w:basedOn w:val="Normlny"/>
    <w:rsid w:val="00727D26"/>
    <w:pPr>
      <w:spacing w:before="100" w:beforeAutospacing="1" w:after="240"/>
      <w:ind w:left="1134" w:hanging="567"/>
      <w:jc w:val="both"/>
    </w:pPr>
    <w:rPr>
      <w:b/>
      <w:bCs/>
    </w:rPr>
  </w:style>
  <w:style w:type="character" w:customStyle="1" w:styleId="awspan1">
    <w:name w:val="awspan1"/>
    <w:rsid w:val="00727D26"/>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46684">
      <w:marLeft w:val="0"/>
      <w:marRight w:val="0"/>
      <w:marTop w:val="0"/>
      <w:marBottom w:val="0"/>
      <w:divBdr>
        <w:top w:val="none" w:sz="0" w:space="0" w:color="auto"/>
        <w:left w:val="none" w:sz="0" w:space="0" w:color="auto"/>
        <w:bottom w:val="none" w:sz="0" w:space="0" w:color="auto"/>
        <w:right w:val="none" w:sz="0" w:space="0" w:color="auto"/>
      </w:divBdr>
    </w:div>
    <w:div w:id="1757746685">
      <w:marLeft w:val="0"/>
      <w:marRight w:val="0"/>
      <w:marTop w:val="0"/>
      <w:marBottom w:val="0"/>
      <w:divBdr>
        <w:top w:val="none" w:sz="0" w:space="0" w:color="auto"/>
        <w:left w:val="none" w:sz="0" w:space="0" w:color="auto"/>
        <w:bottom w:val="none" w:sz="0" w:space="0" w:color="auto"/>
        <w:right w:val="none" w:sz="0" w:space="0" w:color="auto"/>
      </w:divBdr>
    </w:div>
    <w:div w:id="1757746686">
      <w:marLeft w:val="0"/>
      <w:marRight w:val="0"/>
      <w:marTop w:val="0"/>
      <w:marBottom w:val="0"/>
      <w:divBdr>
        <w:top w:val="none" w:sz="0" w:space="0" w:color="auto"/>
        <w:left w:val="none" w:sz="0" w:space="0" w:color="auto"/>
        <w:bottom w:val="none" w:sz="0" w:space="0" w:color="auto"/>
        <w:right w:val="none" w:sz="0" w:space="0" w:color="auto"/>
      </w:divBdr>
    </w:div>
    <w:div w:id="1757746687">
      <w:marLeft w:val="0"/>
      <w:marRight w:val="0"/>
      <w:marTop w:val="0"/>
      <w:marBottom w:val="0"/>
      <w:divBdr>
        <w:top w:val="none" w:sz="0" w:space="0" w:color="auto"/>
        <w:left w:val="none" w:sz="0" w:space="0" w:color="auto"/>
        <w:bottom w:val="none" w:sz="0" w:space="0" w:color="auto"/>
        <w:right w:val="none" w:sz="0" w:space="0" w:color="auto"/>
      </w:divBdr>
    </w:div>
    <w:div w:id="1757746688">
      <w:marLeft w:val="0"/>
      <w:marRight w:val="0"/>
      <w:marTop w:val="0"/>
      <w:marBottom w:val="0"/>
      <w:divBdr>
        <w:top w:val="none" w:sz="0" w:space="0" w:color="auto"/>
        <w:left w:val="none" w:sz="0" w:space="0" w:color="auto"/>
        <w:bottom w:val="none" w:sz="0" w:space="0" w:color="auto"/>
        <w:right w:val="none" w:sz="0" w:space="0" w:color="auto"/>
      </w:divBdr>
    </w:div>
    <w:div w:id="1757746689">
      <w:marLeft w:val="0"/>
      <w:marRight w:val="0"/>
      <w:marTop w:val="0"/>
      <w:marBottom w:val="0"/>
      <w:divBdr>
        <w:top w:val="none" w:sz="0" w:space="0" w:color="auto"/>
        <w:left w:val="none" w:sz="0" w:space="0" w:color="auto"/>
        <w:bottom w:val="none" w:sz="0" w:space="0" w:color="auto"/>
        <w:right w:val="none" w:sz="0" w:space="0" w:color="auto"/>
      </w:divBdr>
    </w:div>
    <w:div w:id="1757746690">
      <w:marLeft w:val="0"/>
      <w:marRight w:val="0"/>
      <w:marTop w:val="0"/>
      <w:marBottom w:val="0"/>
      <w:divBdr>
        <w:top w:val="none" w:sz="0" w:space="0" w:color="auto"/>
        <w:left w:val="none" w:sz="0" w:space="0" w:color="auto"/>
        <w:bottom w:val="none" w:sz="0" w:space="0" w:color="auto"/>
        <w:right w:val="none" w:sz="0" w:space="0" w:color="auto"/>
      </w:divBdr>
    </w:div>
    <w:div w:id="17577466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26</Pages>
  <Words>9444</Words>
  <Characters>53836</Characters>
  <Application>Microsoft Office Word</Application>
  <DocSecurity>0</DocSecurity>
  <Lines>448</Lines>
  <Paragraphs>126</Paragraphs>
  <ScaleCrop>false</ScaleCrop>
  <HeadingPairs>
    <vt:vector size="2" baseType="variant">
      <vt:variant>
        <vt:lpstr>Názov</vt:lpstr>
      </vt:variant>
      <vt:variant>
        <vt:i4>1</vt:i4>
      </vt:variant>
    </vt:vector>
  </HeadingPairs>
  <TitlesOfParts>
    <vt:vector size="1" baseType="lpstr">
      <vt:lpstr>Predkladacia správa</vt:lpstr>
    </vt:vector>
  </TitlesOfParts>
  <Company>MFSR</Company>
  <LinksUpToDate>false</LinksUpToDate>
  <CharactersWithSpaces>63154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Predkladacia správa</dc:title>
  <dc:subject/>
  <dc:creator>MFSR</dc:creator>
  <cp:keywords/>
  <dc:description/>
  <cp:lastModifiedBy>Danisovic Milan</cp:lastModifiedBy>
  <cp:revision>5</cp:revision>
  <cp:lastPrinted>2020-10-01T07:42:00Z</cp:lastPrinted>
  <dcterms:created xsi:type="dcterms:W3CDTF">2020-10-01T07:05:00Z</dcterms:created>
  <dcterms:modified xsi:type="dcterms:W3CDTF">2020-10-01T07:43:00Z</dcterms:modified>
</cp:coreProperties>
</file>