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8C" w:rsidRPr="00383B62" w:rsidRDefault="00ED368C" w:rsidP="00ED368C">
      <w:pPr>
        <w:pStyle w:val="Normlnywebov"/>
        <w:spacing w:before="0" w:beforeAutospacing="0" w:after="0" w:afterAutospacing="0"/>
        <w:jc w:val="center"/>
        <w:rPr>
          <w:b/>
          <w:bCs/>
          <w:sz w:val="20"/>
          <w:szCs w:val="20"/>
          <w:lang w:val="sk-SK"/>
        </w:rPr>
      </w:pPr>
      <w:r w:rsidRPr="00383B62">
        <w:rPr>
          <w:b/>
          <w:bCs/>
          <w:sz w:val="20"/>
          <w:szCs w:val="20"/>
          <w:lang w:val="sk-SK"/>
        </w:rPr>
        <w:t>Doložka vybraných vplyvov</w:t>
      </w:r>
    </w:p>
    <w:p w:rsidR="00ED368C" w:rsidRPr="003776C0" w:rsidRDefault="00ED368C" w:rsidP="00ED368C">
      <w:pPr>
        <w:pStyle w:val="Normlnywebov"/>
        <w:spacing w:before="0" w:beforeAutospacing="0" w:after="0" w:afterAutospacing="0"/>
        <w:jc w:val="both"/>
        <w:rPr>
          <w:rFonts w:ascii="Arial Narrow" w:hAnsi="Arial Narrow"/>
          <w:bCs/>
          <w:sz w:val="20"/>
          <w:szCs w:val="20"/>
          <w:lang w:val="sk-SK"/>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35"/>
        <w:gridCol w:w="3623"/>
      </w:tblGrid>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  Základné údaje</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Názov materiálu</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4C351E">
            <w:pPr>
              <w:spacing w:after="0" w:line="240" w:lineRule="auto"/>
              <w:jc w:val="both"/>
              <w:rPr>
                <w:rFonts w:ascii="Times New Roman" w:hAnsi="Times New Roman"/>
                <w:bCs/>
                <w:sz w:val="20"/>
                <w:szCs w:val="20"/>
              </w:rPr>
            </w:pPr>
            <w:r w:rsidRPr="00383B62">
              <w:rPr>
                <w:rFonts w:ascii="Times New Roman" w:hAnsi="Times New Roman"/>
                <w:bCs/>
                <w:sz w:val="20"/>
                <w:szCs w:val="20"/>
              </w:rPr>
              <w:t xml:space="preserve">Návrh zákona, ktorým sa mení a dopĺňa zákon č. 581/2004 Z. z. o zdravotných poisťovniach, dohľade nad zdravotnou starostlivosťou a o zmene a doplnení niektorých zákonov v znení neskorších predpisov a ktorým </w:t>
            </w:r>
            <w:r w:rsidR="004C351E" w:rsidRPr="0079512C">
              <w:rPr>
                <w:rFonts w:ascii="Times New Roman" w:hAnsi="Times New Roman"/>
              </w:rPr>
              <w:t xml:space="preserve">sa </w:t>
            </w:r>
            <w:r w:rsidR="004C351E" w:rsidRPr="004C351E">
              <w:rPr>
                <w:rFonts w:ascii="Times New Roman" w:hAnsi="Times New Roman"/>
                <w:bCs/>
                <w:sz w:val="20"/>
                <w:szCs w:val="20"/>
              </w:rPr>
              <w:t>menia a dopĺňajú niektoré zákony</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Predkladateľ (a spolupredkladateľ)</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Ministerstvo zdravotníctva Slovenskej republiky</w:t>
            </w:r>
          </w:p>
        </w:tc>
      </w:tr>
      <w:tr w:rsidR="00ED368C" w:rsidRPr="003776C0" w:rsidTr="00D654DE">
        <w:trPr>
          <w:trHeight w:val="172"/>
          <w:jc w:val="center"/>
        </w:trPr>
        <w:tc>
          <w:tcPr>
            <w:tcW w:w="31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83B62" w:rsidRDefault="00ED368C" w:rsidP="00D654DE">
            <w:pPr>
              <w:spacing w:after="0" w:line="240" w:lineRule="auto"/>
              <w:jc w:val="both"/>
              <w:rPr>
                <w:rFonts w:ascii="Times New Roman" w:hAnsi="Times New Roman"/>
                <w:b/>
                <w:bCs/>
                <w:sz w:val="20"/>
                <w:szCs w:val="20"/>
              </w:rPr>
            </w:pPr>
            <w:r w:rsidRPr="003776C0">
              <w:rPr>
                <w:rFonts w:ascii="Arial Narrow" w:hAnsi="Arial Narrow"/>
                <w:b/>
                <w:bCs/>
                <w:sz w:val="20"/>
                <w:szCs w:val="20"/>
              </w:rPr>
              <w:t xml:space="preserve"> </w:t>
            </w:r>
            <w:r w:rsidRPr="00383B62">
              <w:rPr>
                <w:rFonts w:ascii="Times New Roman" w:hAnsi="Times New Roman"/>
                <w:b/>
                <w:bCs/>
                <w:sz w:val="20"/>
                <w:szCs w:val="20"/>
              </w:rPr>
              <w:t>Charakter predkladaného materiálu</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C228BF" w:rsidP="00D654DE">
            <w:pPr>
              <w:jc w:val="both"/>
              <w:rPr>
                <w:sz w:val="20"/>
                <w:szCs w:val="20"/>
              </w:rPr>
            </w:pPr>
            <w:r w:rsidRPr="002F0704">
              <w:rPr>
                <w:rFonts w:ascii="Wingdings 2" w:hAnsi="Wingdings 2" w:cs="Times"/>
                <w:sz w:val="28"/>
                <w:szCs w:val="28"/>
              </w:rPr>
              <w:t></w:t>
            </w:r>
            <w:r w:rsidR="00ED368C" w:rsidRPr="00383B62">
              <w:rPr>
                <w:rFonts w:ascii="Times New Roman" w:hAnsi="Times New Roman"/>
                <w:sz w:val="20"/>
                <w:szCs w:val="20"/>
              </w:rPr>
              <w:t>Materiál nelegislatívnej povahy</w:t>
            </w:r>
          </w:p>
        </w:tc>
      </w:tr>
      <w:tr w:rsidR="00ED368C" w:rsidRPr="003776C0" w:rsidTr="00D654DE">
        <w:trPr>
          <w:trHeight w:val="250"/>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Arial Narrow" w:hAnsi="Arial Narrow"/>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jc w:val="both"/>
              <w:rPr>
                <w:sz w:val="20"/>
                <w:szCs w:val="20"/>
              </w:rPr>
            </w:pPr>
            <w:r w:rsidRPr="003776C0">
              <w:rPr>
                <w:sz w:val="20"/>
                <w:szCs w:val="20"/>
              </w:rPr>
              <w:t> </w:t>
            </w:r>
            <w:r w:rsidRPr="003776C0">
              <w:rPr>
                <w:rFonts w:ascii="Wingdings 2" w:hAnsi="Wingdings 2" w:cs="Times"/>
                <w:sz w:val="20"/>
                <w:szCs w:val="20"/>
              </w:rPr>
              <w:t></w:t>
            </w:r>
            <w:r w:rsidRPr="003776C0">
              <w:rPr>
                <w:sz w:val="20"/>
                <w:szCs w:val="20"/>
              </w:rPr>
              <w:t xml:space="preserve">  </w:t>
            </w:r>
            <w:r w:rsidRPr="00383B62">
              <w:rPr>
                <w:rFonts w:ascii="Times New Roman" w:hAnsi="Times New Roman"/>
                <w:sz w:val="20"/>
                <w:szCs w:val="20"/>
              </w:rPr>
              <w:t>Materiál legislatívnej povahy</w:t>
            </w:r>
            <w:r w:rsidRPr="003776C0">
              <w:rPr>
                <w:sz w:val="20"/>
                <w:szCs w:val="20"/>
              </w:rPr>
              <w:t xml:space="preserve"> </w:t>
            </w:r>
          </w:p>
        </w:tc>
      </w:tr>
      <w:tr w:rsidR="00ED368C" w:rsidRPr="003776C0" w:rsidTr="00D654DE">
        <w:trPr>
          <w:trHeight w:val="59"/>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Arial Narrow" w:hAnsi="Arial Narrow"/>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C228BF" w:rsidP="00D654DE">
            <w:pPr>
              <w:jc w:val="both"/>
              <w:rPr>
                <w:sz w:val="20"/>
                <w:szCs w:val="20"/>
              </w:rPr>
            </w:pPr>
            <w:r w:rsidRPr="002F0704">
              <w:rPr>
                <w:rFonts w:ascii="Wingdings 2" w:hAnsi="Wingdings 2" w:cs="Times"/>
                <w:sz w:val="28"/>
                <w:szCs w:val="28"/>
              </w:rPr>
              <w:t></w:t>
            </w:r>
            <w:r w:rsidR="00ED368C" w:rsidRPr="00383B62">
              <w:rPr>
                <w:rFonts w:ascii="Times New Roman" w:hAnsi="Times New Roman"/>
                <w:sz w:val="20"/>
                <w:szCs w:val="20"/>
              </w:rPr>
              <w:t>Transpozícia práva EÚ</w:t>
            </w:r>
            <w:r w:rsidR="00ED368C" w:rsidRPr="003776C0">
              <w:rPr>
                <w:sz w:val="20"/>
                <w:szCs w:val="20"/>
              </w:rPr>
              <w:t xml:space="preserve"> </w:t>
            </w:r>
          </w:p>
        </w:tc>
      </w:tr>
      <w:tr w:rsidR="00ED368C" w:rsidRPr="003776C0" w:rsidTr="00D654DE">
        <w:trPr>
          <w:trHeight w:val="2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776C0" w:rsidRDefault="00ED368C" w:rsidP="00D654DE">
            <w:pPr>
              <w:spacing w:after="0" w:line="240" w:lineRule="auto"/>
              <w:jc w:val="both"/>
              <w:rPr>
                <w:rFonts w:ascii="Arial Narrow" w:hAnsi="Arial Narrow"/>
                <w:sz w:val="20"/>
                <w:szCs w:val="20"/>
              </w:rPr>
            </w:pPr>
          </w:p>
        </w:tc>
      </w:tr>
      <w:tr w:rsidR="00ED368C" w:rsidRPr="003776C0" w:rsidTr="00D654DE">
        <w:trPr>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Termín začiatku a ukončenia PPK</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jc w:val="both"/>
              <w:rPr>
                <w:rFonts w:ascii="Times New Roman" w:hAnsi="Times New Roman"/>
                <w:sz w:val="20"/>
                <w:szCs w:val="20"/>
              </w:rPr>
            </w:pPr>
          </w:p>
        </w:tc>
      </w:tr>
      <w:tr w:rsidR="00ED368C" w:rsidRPr="003776C0" w:rsidTr="00D654DE">
        <w:trPr>
          <w:trHeight w:val="274"/>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Predpokladaný termín predloženia na MPK*</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383B62" w:rsidP="00D654DE">
            <w:pPr>
              <w:jc w:val="both"/>
              <w:rPr>
                <w:rFonts w:ascii="Times New Roman" w:hAnsi="Times New Roman"/>
                <w:sz w:val="20"/>
                <w:szCs w:val="20"/>
              </w:rPr>
            </w:pPr>
            <w:r>
              <w:rPr>
                <w:rFonts w:ascii="Times New Roman" w:hAnsi="Times New Roman"/>
                <w:sz w:val="20"/>
                <w:szCs w:val="20"/>
              </w:rPr>
              <w:t>august</w:t>
            </w:r>
            <w:r w:rsidR="00ED368C" w:rsidRPr="00383B62">
              <w:rPr>
                <w:rFonts w:ascii="Times New Roman" w:hAnsi="Times New Roman"/>
                <w:sz w:val="20"/>
                <w:szCs w:val="20"/>
              </w:rPr>
              <w:t xml:space="preserve"> 2020</w:t>
            </w:r>
          </w:p>
        </w:tc>
      </w:tr>
      <w:tr w:rsidR="00ED368C" w:rsidRPr="003776C0" w:rsidTr="00D654DE">
        <w:trPr>
          <w:trHeight w:val="352"/>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Predpokladaný termín predloženia na Rokovanie vlády SR*</w:t>
            </w:r>
          </w:p>
        </w:tc>
        <w:tc>
          <w:tcPr>
            <w:tcW w:w="1801" w:type="pct"/>
            <w:tcBorders>
              <w:top w:val="outset" w:sz="6" w:space="0" w:color="000000"/>
              <w:left w:val="outset" w:sz="6" w:space="0" w:color="000000"/>
              <w:bottom w:val="outset" w:sz="6" w:space="0" w:color="000000"/>
              <w:right w:val="outset" w:sz="6" w:space="0" w:color="000000"/>
            </w:tcBorders>
            <w:hideMark/>
          </w:tcPr>
          <w:p w:rsidR="00ED368C" w:rsidRPr="00383B62" w:rsidRDefault="00383B62" w:rsidP="00D654DE">
            <w:pPr>
              <w:jc w:val="both"/>
              <w:rPr>
                <w:rFonts w:ascii="Times New Roman" w:hAnsi="Times New Roman"/>
                <w:sz w:val="20"/>
                <w:szCs w:val="20"/>
              </w:rPr>
            </w:pPr>
            <w:r>
              <w:rPr>
                <w:rFonts w:ascii="Times New Roman" w:hAnsi="Times New Roman"/>
                <w:sz w:val="20"/>
                <w:szCs w:val="20"/>
              </w:rPr>
              <w:t>september</w:t>
            </w:r>
            <w:r w:rsidR="00ED368C" w:rsidRPr="00383B62">
              <w:rPr>
                <w:rFonts w:ascii="Times New Roman" w:hAnsi="Times New Roman"/>
                <w:sz w:val="20"/>
                <w:szCs w:val="20"/>
              </w:rPr>
              <w:t xml:space="preserve"> 2020</w:t>
            </w: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2.  Definícia problému</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b/>
                <w:sz w:val="20"/>
                <w:szCs w:val="20"/>
                <w:u w:val="single"/>
              </w:rPr>
            </w:pPr>
            <w:r w:rsidRPr="00383B62">
              <w:rPr>
                <w:rFonts w:ascii="Times New Roman" w:hAnsi="Times New Roman"/>
                <w:b/>
                <w:sz w:val="20"/>
                <w:szCs w:val="20"/>
                <w:u w:val="single"/>
              </w:rPr>
              <w:t>Čl. I – Zákon č. 581/2004 Z. z.</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Súčasná nejednoznačná definícia výdavkov zdravotnej poisťovne na prevádzkové činnosti nemusí zahŕňať všetky výdavky zdravotnej poisťovne, ktoré sa netýkajú zabezpečovania zdravotnej starostlivosti (napr. splátky bankového úveru).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 súčasnej dobe priamo zákon č. 581/2004 Z. z. neustanovuje spôsob použitia prostriedkov rezervného fondu zdravotnej poisťovne a postupuje sa podľa všeobecného právneho predpisu, ktorým je Obchodný zákonník. Keďže rezervný fond má slúžiť na krytie možných negatívnych výkyvov makroekonomického prostredia je nutné mať k dispozícii dostatočné rezervné zdroje na krytie týchto nepredvídateľných výkyvov prostredia a následného krytia strát zdravotnej poisťovne.</w:t>
            </w:r>
          </w:p>
          <w:p w:rsidR="00ED368C" w:rsidRPr="00383B62" w:rsidRDefault="00ED368C" w:rsidP="00D654DE">
            <w:pPr>
              <w:spacing w:after="0" w:line="240" w:lineRule="auto"/>
              <w:jc w:val="both"/>
              <w:rPr>
                <w:rFonts w:ascii="Times New Roman" w:hAnsi="Times New Roman"/>
                <w:b/>
                <w:sz w:val="20"/>
                <w:szCs w:val="20"/>
                <w:u w:val="single"/>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Z doterajšej praxe úradu pri výkone dohľadu v oblasti poskytovania zdravotnej starostlivosti a verejného zdravotného poistenia vyplýva potreba vymedzenia právneho postavenia osoby, ktorá podáva na úrad podnet na vykonanie dohľadu a potreba úpravy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keďže v praxi dochádza aj k prípadom, kedy podnet na vykonanie dohľadu z dôvodu nesprávneho poskytnutia zdravotnej starostlivosti podá blízka osoba, pričom osoba, ktorej bola zdravotná starostlivosť poskytnutá, nesúhlasí s vykonaním dohľadu. Tiež môže nastať situácia, kedy osoba, ktorej bola poskytnutá zdravotná starostlivosť podá podnet na vykonanie dohľadu, následne svoje rozhodnutie zmení a žiada zastavenie dohľadu.</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Absencia práv a povinností oznamovateľa a poškodeného v súvislosti s dohľadom bráni si tieto práva riadne uplatniť.</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3.  Ciele a výsledný stav</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Účelom návrhu je zefektívniť výmenu informácií medzi zdravotnými poisťovňami a ústrednými orgánmi štátnej správy v celom sektore zdravotníctva a zasielanie údajov iba v elektronickej podobe.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Za účelom sprehľadnenia evidencie výdavkov zdravotnej poisťovne sa zavádza všeobecná definícia výdavkov na prevádzkové činnosti, ktorými budú všetky výdavky, ak nie sú explicitne uvedené v § 6a ods. 3. 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w:t>
            </w:r>
            <w:proofErr w:type="spellStart"/>
            <w:r w:rsidRPr="00383B62">
              <w:rPr>
                <w:rFonts w:ascii="Times New Roman" w:hAnsi="Times New Roman"/>
                <w:sz w:val="20"/>
                <w:szCs w:val="20"/>
              </w:rPr>
              <w:t>specialis</w:t>
            </w:r>
            <w:proofErr w:type="spellEnd"/>
            <w:r w:rsidRPr="00383B62">
              <w:rPr>
                <w:rFonts w:ascii="Times New Roman" w:hAnsi="Times New Roman"/>
                <w:sz w:val="20"/>
                <w:szCs w:val="20"/>
              </w:rPr>
              <w:t>.</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30 %. Zároveň sa explicitne určuje povinnosť použitia rezervného fondu iba na krytie strát, pričom na rozdiel od všeobecnej právnej úpravy v Obchodnom zákonníku sa táto povinnosť vzťahuje na použitie Rezervného fondu v plnom rozsahu (teda aj ak bol vytvorený aj nad rámec jeho povinnej tvorby).</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w:t>
            </w:r>
            <w:r w:rsidR="006374AB">
              <w:rPr>
                <w:rFonts w:ascii="Times New Roman" w:hAnsi="Times New Roman"/>
                <w:sz w:val="20"/>
                <w:szCs w:val="20"/>
              </w:rPr>
              <w:t>, a to za predpokladu že podávateľom podnetu je osoba, ktorej práva a právom chránené záujmy mali byť porušené, alebo jej zákonný zástupca</w:t>
            </w:r>
            <w:r w:rsidRPr="00383B62">
              <w:rPr>
                <w:rFonts w:ascii="Times New Roman" w:hAnsi="Times New Roman"/>
                <w:sz w:val="20"/>
                <w:szCs w:val="20"/>
              </w:rPr>
              <w:t>.</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osôb.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383B62">
              <w:rPr>
                <w:rFonts w:ascii="Times New Roman" w:hAnsi="Times New Roman"/>
                <w:sz w:val="20"/>
                <w:szCs w:val="20"/>
              </w:rPr>
              <w:t>kapitovaných</w:t>
            </w:r>
            <w:proofErr w:type="spellEnd"/>
            <w:r w:rsidRPr="00383B62">
              <w:rPr>
                <w:rFonts w:ascii="Times New Roman" w:hAnsi="Times New Roman"/>
                <w:sz w:val="20"/>
                <w:szCs w:val="20"/>
              </w:rPr>
              <w:t xml:space="preserve">,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 </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w:t>
            </w:r>
            <w:r w:rsidRPr="00383B62">
              <w:rPr>
                <w:rFonts w:ascii="Times New Roman" w:hAnsi="Times New Roman"/>
              </w:rPr>
              <w:t xml:space="preserve">) </w:t>
            </w:r>
            <w:r w:rsidRPr="00383B62">
              <w:rPr>
                <w:rFonts w:ascii="Times New Roman" w:hAnsi="Times New Roman"/>
                <w:sz w:val="20"/>
                <w:szCs w:val="20"/>
              </w:rPr>
              <w:t xml:space="preserve">zákona č. 576/2004 Z. z. o zdravotnej starostlivosti, </w:t>
            </w:r>
            <w:r w:rsidRPr="00383B62">
              <w:rPr>
                <w:rFonts w:ascii="Times New Roman" w:hAnsi="Times New Roman"/>
                <w:bCs/>
                <w:color w:val="000000"/>
                <w:sz w:val="20"/>
                <w:szCs w:val="20"/>
                <w:shd w:val="clear" w:color="auto" w:fill="FFFFFF"/>
              </w:rPr>
              <w:t>službách súvisiacich s poskytovaním zdravotnej starostlivosti a o zmene a doplnení niektorých zákonov</w:t>
            </w:r>
            <w:r w:rsidRPr="00383B62">
              <w:rPr>
                <w:rFonts w:ascii="Times New Roman" w:hAnsi="Times New Roman"/>
                <w:sz w:val="20"/>
                <w:szCs w:val="20"/>
              </w:rPr>
              <w:t xml:space="preserve"> neumožňovalo poskytovateľovi zdravotnej starostlivosti v rámci prostriedkov svojej obrany pri preskúmavaní podnetov, obsahom ktorých je podozrenie z jeho nesprávneho postupu pri poskytovaní zdravotnej starostlivosti, sprístupňovanie údajov zo zdravotnej dokumentácie znalcovi, za účelom vypracovania znaleckého posudku. V rámci zákonnej dikcie bolo uvedené možné jedine, ak znalca ustanovil súd alebo pribral orgán činný v trestnom konaní,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 1 písm. a), b), c) sú kedykoľvek oprávnené požiadať súdneho znalca o vypracovanie znaleckého posudku bez obmedzenia účelu jeho vypracovania. Naopak poskytovateľ zdravotnej starostlivosti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lastRenderedPageBreak/>
              <w:t>  4.  Dotknuté subjekty</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Poskytovatelia zdravotnej starostlivosti, zdravotné poisťovne, Úrad pre dohľad nad zdravotnou starostlivosťou, Ministerstvo zdravotníctva SR, poistenci verejného zdravotného poistenia, podávatelia podnetov</w:t>
            </w: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lastRenderedPageBreak/>
              <w:t>  5.  Alternatívne riešenia</w:t>
            </w:r>
          </w:p>
        </w:tc>
      </w:tr>
      <w:tr w:rsidR="00ED368C" w:rsidRPr="003776C0" w:rsidTr="00D654DE">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Nie sú.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 xml:space="preserve">Nulový variant: </w:t>
            </w:r>
          </w:p>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Nebud</w:t>
            </w:r>
            <w:r w:rsidR="006374AB">
              <w:rPr>
                <w:rFonts w:ascii="Times New Roman" w:hAnsi="Times New Roman"/>
                <w:sz w:val="20"/>
                <w:szCs w:val="20"/>
              </w:rPr>
              <w:t>ú</w:t>
            </w:r>
            <w:r w:rsidRPr="00383B62">
              <w:rPr>
                <w:rFonts w:ascii="Times New Roman" w:hAnsi="Times New Roman"/>
                <w:sz w:val="20"/>
                <w:szCs w:val="20"/>
              </w:rPr>
              <w:t xml:space="preserve"> priznané práva osobe, ktorá sa domnieva, že jej nebola správne poskytnutá zdravotná starostlivosť, ani osobe, ktorá sa domnieva, že boli porušené jej práva alebo právnom chránené záujmy pri vykonávaní verejného zdravotného poistenia, ani nebude upravené postavenie tejto osoby, jej zákonného zástupcu alebo blízkych osôb pri dohľade. Nebude vymedzený okruh osôb, ktoré majú právo požiadať o vykonanie dohľadu nad poskytovaním zdravotnej starostlivosti a verejným zdravotným poistením a nebude posilnené ich právne postavenie pri dohľade.</w:t>
            </w:r>
          </w:p>
          <w:p w:rsidR="00ED368C" w:rsidRPr="00383B62" w:rsidRDefault="00ED368C" w:rsidP="00D654DE">
            <w:pPr>
              <w:spacing w:after="0" w:line="240" w:lineRule="auto"/>
              <w:jc w:val="both"/>
              <w:rPr>
                <w:rFonts w:ascii="Times New Roman" w:hAnsi="Times New Roman"/>
                <w:sz w:val="20"/>
                <w:szCs w:val="20"/>
              </w:rPr>
            </w:pPr>
          </w:p>
        </w:tc>
      </w:tr>
      <w:tr w:rsidR="00ED368C" w:rsidRPr="003776C0"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6.  Vykonávacie predpisy</w:t>
            </w:r>
          </w:p>
        </w:tc>
      </w:tr>
      <w:tr w:rsidR="00ED368C" w:rsidRPr="003776C0" w:rsidTr="00D654DE">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6978C2" w:rsidRDefault="00ED368C" w:rsidP="006978C2">
            <w:pPr>
              <w:spacing w:after="0" w:line="240" w:lineRule="auto"/>
              <w:jc w:val="both"/>
              <w:rPr>
                <w:rFonts w:ascii="Times New Roman" w:hAnsi="Times New Roman"/>
                <w:sz w:val="20"/>
              </w:rPr>
            </w:pPr>
            <w:r w:rsidRPr="00383B62">
              <w:rPr>
                <w:rFonts w:ascii="Times New Roman" w:eastAsia="Times New Roman" w:hAnsi="Times New Roman"/>
                <w:sz w:val="20"/>
                <w:szCs w:val="20"/>
              </w:rPr>
              <w:t>Predpokladá sa prijatie/zmena vykonávacích predpisov</w:t>
            </w:r>
            <w:r w:rsidR="00383B62">
              <w:rPr>
                <w:rFonts w:ascii="Times New Roman" w:eastAsia="Times New Roman" w:hAnsi="Times New Roman"/>
                <w:sz w:val="20"/>
                <w:szCs w:val="20"/>
              </w:rPr>
              <w:t>?</w:t>
            </w:r>
            <w:r w:rsidRPr="003776C0">
              <w:rPr>
                <w:rFonts w:ascii="Times New Roman" w:eastAsia="Times New Roman" w:hAnsi="Times New Roman"/>
                <w:sz w:val="20"/>
                <w:szCs w:val="20"/>
              </w:rPr>
              <w:t xml:space="preserve">                          </w:t>
            </w:r>
            <w:r w:rsidR="00383B62" w:rsidRPr="003776C0">
              <w:rPr>
                <w:rFonts w:ascii="Wingdings 2" w:eastAsia="Times New Roman" w:hAnsi="Wingdings 2" w:cs="Times"/>
                <w:sz w:val="20"/>
                <w:szCs w:val="20"/>
              </w:rPr>
              <w:t></w:t>
            </w:r>
            <w:r w:rsidRPr="003776C0">
              <w:rPr>
                <w:rFonts w:ascii="Times New Roman" w:eastAsia="Times New Roman" w:hAnsi="Times New Roman"/>
                <w:sz w:val="20"/>
                <w:szCs w:val="20"/>
              </w:rPr>
              <w:t>  Áno            </w:t>
            </w:r>
            <w:r w:rsidR="00383B62" w:rsidRPr="003776C0">
              <w:rPr>
                <w:rFonts w:ascii="Times New Roman" w:eastAsia="Times New Roman" w:hAnsi="Times New Roman"/>
                <w:sz w:val="20"/>
                <w:szCs w:val="20"/>
              </w:rPr>
              <w:t></w:t>
            </w:r>
            <w:r w:rsidRPr="003776C0">
              <w:rPr>
                <w:rFonts w:ascii="Times New Roman" w:eastAsia="Times New Roman" w:hAnsi="Times New Roman"/>
                <w:sz w:val="20"/>
                <w:szCs w:val="20"/>
              </w:rPr>
              <w:t>  Nie</w:t>
            </w:r>
            <w:r w:rsidRPr="003776C0">
              <w:rPr>
                <w:rFonts w:ascii="Times New Roman" w:eastAsia="Times New Roman" w:hAnsi="Times New Roman"/>
                <w:sz w:val="20"/>
                <w:szCs w:val="20"/>
              </w:rPr>
              <w:br/>
            </w:r>
            <w:r w:rsidR="006978C2" w:rsidRPr="006978C2">
              <w:rPr>
                <w:rFonts w:ascii="Times New Roman" w:hAnsi="Times New Roman"/>
                <w:sz w:val="20"/>
                <w:szCs w:val="20"/>
              </w:rPr>
              <w:t xml:space="preserve">1. </w:t>
            </w:r>
            <w:r w:rsidR="006978C2">
              <w:rPr>
                <w:rFonts w:ascii="Times New Roman" w:hAnsi="Times New Roman"/>
                <w:sz w:val="20"/>
                <w:szCs w:val="20"/>
              </w:rPr>
              <w:t>Návrh vyhlášky MZSR, ktorým sa mení a dopĺňa v</w:t>
            </w:r>
            <w:r w:rsidR="006978C2" w:rsidRPr="006978C2">
              <w:rPr>
                <w:rFonts w:ascii="Times New Roman" w:hAnsi="Times New Roman"/>
                <w:sz w:val="20"/>
                <w:szCs w:val="20"/>
              </w:rPr>
              <w:t>yhláška</w:t>
            </w:r>
            <w:r w:rsidR="006978C2">
              <w:rPr>
                <w:rFonts w:ascii="Times New Roman" w:hAnsi="Times New Roman"/>
                <w:sz w:val="20"/>
                <w:szCs w:val="20"/>
              </w:rPr>
              <w:t xml:space="preserve"> MZSR č. 768/2004 Z. z.  </w:t>
            </w:r>
            <w:r w:rsidR="006978C2" w:rsidRPr="006978C2">
              <w:rPr>
                <w:rFonts w:ascii="Times New Roman" w:hAnsi="Times New Roman"/>
                <w:sz w:val="20"/>
              </w:rPr>
              <w:t>o predkladaní údajov z účtovníctva, štatistickej evidencie a ďalších údajov zdravotnou poisťovňou</w:t>
            </w:r>
            <w:r w:rsidR="006978C2">
              <w:rPr>
                <w:rFonts w:ascii="Times New Roman" w:hAnsi="Times New Roman"/>
                <w:sz w:val="20"/>
              </w:rPr>
              <w:t>.</w:t>
            </w:r>
          </w:p>
          <w:p w:rsidR="006978C2" w:rsidRDefault="006978C2" w:rsidP="006978C2">
            <w:pPr>
              <w:spacing w:after="0" w:line="240" w:lineRule="auto"/>
              <w:jc w:val="both"/>
              <w:rPr>
                <w:rFonts w:ascii="Times New Roman" w:hAnsi="Times New Roman"/>
                <w:sz w:val="20"/>
              </w:rPr>
            </w:pPr>
            <w:r>
              <w:rPr>
                <w:rFonts w:ascii="Times New Roman" w:hAnsi="Times New Roman"/>
                <w:sz w:val="20"/>
              </w:rPr>
              <w:t xml:space="preserve">2. </w:t>
            </w:r>
            <w:r w:rsidR="00363262">
              <w:rPr>
                <w:rFonts w:ascii="Times New Roman" w:hAnsi="Times New Roman"/>
                <w:sz w:val="20"/>
              </w:rPr>
              <w:t>Návrh vyhlášky MZSR</w:t>
            </w:r>
            <w:r w:rsidR="00363262" w:rsidRPr="00363262">
              <w:rPr>
                <w:rFonts w:ascii="Times New Roman" w:hAnsi="Times New Roman"/>
                <w:sz w:val="20"/>
              </w:rPr>
              <w:t xml:space="preserve"> </w:t>
            </w:r>
            <w:r w:rsidR="00363262">
              <w:rPr>
                <w:rFonts w:ascii="Times New Roman" w:hAnsi="Times New Roman"/>
                <w:sz w:val="20"/>
              </w:rPr>
              <w:t xml:space="preserve">o </w:t>
            </w:r>
            <w:r w:rsidR="00363262" w:rsidRPr="00363262">
              <w:rPr>
                <w:rFonts w:ascii="Times New Roman" w:hAnsi="Times New Roman"/>
                <w:sz w:val="20"/>
              </w:rPr>
              <w:t>štruktúre výdavkov pre jednotlivé typy zdravotnej starostlivosti</w:t>
            </w:r>
            <w:r w:rsidR="00363262">
              <w:rPr>
                <w:rFonts w:ascii="Times New Roman" w:hAnsi="Times New Roman"/>
                <w:sz w:val="20"/>
              </w:rPr>
              <w:t>.</w:t>
            </w:r>
          </w:p>
          <w:p w:rsidR="00D654DE" w:rsidRPr="006978C2" w:rsidRDefault="00D654DE" w:rsidP="006978C2">
            <w:pPr>
              <w:spacing w:after="0" w:line="240" w:lineRule="auto"/>
              <w:jc w:val="both"/>
              <w:rPr>
                <w:rFonts w:ascii="Times New Roman" w:hAnsi="Times New Roman"/>
                <w:sz w:val="20"/>
              </w:rPr>
            </w:pPr>
            <w:r>
              <w:rPr>
                <w:rFonts w:ascii="Times New Roman" w:hAnsi="Times New Roman"/>
                <w:sz w:val="20"/>
              </w:rPr>
              <w:t xml:space="preserve">3. Návrh vyhlášky MZSR, </w:t>
            </w:r>
            <w:r w:rsidRPr="00D654DE">
              <w:rPr>
                <w:rFonts w:ascii="Times New Roman" w:hAnsi="Times New Roman"/>
                <w:sz w:val="20"/>
              </w:rPr>
              <w:t>ktorou sa stanovuje percento pre jednotlivé typy zdravotnej starostlivosti a spôsob určenia percentuálnych podielov pre typy zdravotnej starostlivosti pre jednotlivé zdravotné poisťovne s prihliadnutím na odlišné zloženie poistného kmeňa</w:t>
            </w:r>
            <w:r>
              <w:rPr>
                <w:rFonts w:ascii="Times New Roman" w:hAnsi="Times New Roman"/>
                <w:sz w:val="20"/>
              </w:rPr>
              <w:t>.</w:t>
            </w:r>
          </w:p>
          <w:p w:rsidR="006978C2" w:rsidRPr="00D50520" w:rsidRDefault="006978C2" w:rsidP="006978C2">
            <w:pPr>
              <w:spacing w:after="0" w:line="240" w:lineRule="auto"/>
              <w:rPr>
                <w:rFonts w:ascii="Times New Roman" w:hAnsi="Times New Roman"/>
              </w:rPr>
            </w:pPr>
          </w:p>
          <w:p w:rsidR="00ED368C" w:rsidRPr="003776C0" w:rsidRDefault="006978C2" w:rsidP="00383B62">
            <w:pPr>
              <w:spacing w:after="0" w:line="240" w:lineRule="auto"/>
              <w:jc w:val="both"/>
              <w:rPr>
                <w:rFonts w:ascii="Arial Narrow" w:hAnsi="Arial Narrow"/>
                <w:sz w:val="20"/>
                <w:szCs w:val="20"/>
              </w:rPr>
            </w:pPr>
            <w:r>
              <w:rPr>
                <w:rFonts w:ascii="Arial Narrow" w:hAnsi="Arial Narrow"/>
                <w:sz w:val="20"/>
                <w:szCs w:val="20"/>
              </w:rPr>
              <w:t xml:space="preserve"> </w:t>
            </w:r>
          </w:p>
        </w:tc>
      </w:tr>
      <w:tr w:rsidR="00ED368C" w:rsidRPr="00383B62"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xml:space="preserve">  7.  Transpozícia práva EÚ </w:t>
            </w:r>
          </w:p>
        </w:tc>
      </w:tr>
      <w:tr w:rsidR="00ED368C" w:rsidRPr="00383B62" w:rsidTr="00D654DE">
        <w:trPr>
          <w:trHeight w:val="338"/>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sz w:val="20"/>
                <w:szCs w:val="20"/>
              </w:rPr>
            </w:pPr>
            <w:r w:rsidRPr="00383B62">
              <w:rPr>
                <w:rFonts w:ascii="Times New Roman" w:hAnsi="Times New Roman"/>
                <w:sz w:val="20"/>
                <w:szCs w:val="20"/>
              </w:rPr>
              <w:t>-</w:t>
            </w:r>
          </w:p>
        </w:tc>
      </w:tr>
      <w:tr w:rsidR="00ED368C" w:rsidRPr="00383B62" w:rsidTr="00D654DE">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8.  Preskúmanie účelnosti**</w:t>
            </w:r>
          </w:p>
        </w:tc>
      </w:tr>
      <w:tr w:rsidR="00ED368C" w:rsidRPr="00383B62" w:rsidTr="00D654DE">
        <w:trPr>
          <w:trHeight w:val="272"/>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spacing w:after="0" w:line="240" w:lineRule="auto"/>
              <w:jc w:val="both"/>
              <w:rPr>
                <w:rFonts w:ascii="Times New Roman" w:hAnsi="Times New Roman"/>
                <w:b/>
                <w:bCs/>
                <w:sz w:val="20"/>
                <w:szCs w:val="20"/>
              </w:rPr>
            </w:pPr>
          </w:p>
        </w:tc>
      </w:tr>
    </w:tbl>
    <w:p w:rsidR="00ED368C" w:rsidRPr="00383B62" w:rsidRDefault="00ED368C" w:rsidP="00ED368C">
      <w:pPr>
        <w:spacing w:after="0" w:line="240" w:lineRule="auto"/>
        <w:ind w:left="142" w:hanging="142"/>
        <w:jc w:val="both"/>
        <w:rPr>
          <w:rFonts w:ascii="Times New Roman" w:hAnsi="Times New Roman"/>
          <w:sz w:val="20"/>
          <w:szCs w:val="20"/>
        </w:rPr>
      </w:pPr>
      <w:r w:rsidRPr="00383B62">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ED368C" w:rsidRPr="00383B62" w:rsidRDefault="00ED368C" w:rsidP="00ED368C">
      <w:pPr>
        <w:pStyle w:val="Normlnywebov"/>
        <w:spacing w:before="0" w:beforeAutospacing="0" w:after="0" w:afterAutospacing="0"/>
        <w:jc w:val="both"/>
        <w:rPr>
          <w:sz w:val="20"/>
          <w:szCs w:val="20"/>
        </w:rPr>
      </w:pPr>
      <w:r w:rsidRPr="00383B62">
        <w:rPr>
          <w:sz w:val="20"/>
          <w:szCs w:val="20"/>
        </w:rPr>
        <w:t>** nepovinné</w:t>
      </w:r>
    </w:p>
    <w:p w:rsidR="00ED368C" w:rsidRPr="003776C0" w:rsidRDefault="00ED368C" w:rsidP="00ED368C">
      <w:pPr>
        <w:spacing w:after="0" w:line="240" w:lineRule="auto"/>
        <w:jc w:val="both"/>
        <w:rPr>
          <w:rFonts w:ascii="Times New Roman" w:eastAsia="Times New Roman" w:hAnsi="Times New Roman"/>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98"/>
        <w:gridCol w:w="1810"/>
        <w:gridCol w:w="1810"/>
        <w:gridCol w:w="1812"/>
      </w:tblGrid>
      <w:tr w:rsidR="00ED368C" w:rsidRPr="003776C0" w:rsidTr="00D654DE">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776C0" w:rsidRDefault="00ED368C" w:rsidP="00D654DE">
            <w:pPr>
              <w:spacing w:after="0" w:line="240" w:lineRule="auto"/>
              <w:jc w:val="both"/>
              <w:rPr>
                <w:rFonts w:ascii="Times New Roman" w:eastAsia="Times New Roman" w:hAnsi="Times New Roman"/>
                <w:b/>
                <w:bCs/>
                <w:sz w:val="20"/>
                <w:szCs w:val="20"/>
              </w:rPr>
            </w:pPr>
            <w:r w:rsidRPr="003776C0">
              <w:rPr>
                <w:rFonts w:ascii="Times New Roman" w:eastAsia="Times New Roman" w:hAnsi="Times New Roman"/>
                <w:b/>
                <w:bCs/>
                <w:sz w:val="20"/>
                <w:szCs w:val="20"/>
              </w:rPr>
              <w:t>  9.   Vplyvy navrhovaného materiálu</w:t>
            </w:r>
          </w:p>
        </w:tc>
      </w:tr>
      <w:tr w:rsidR="00ED368C" w:rsidRPr="003776C0" w:rsidTr="00D654DE">
        <w:trPr>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rozpočet verejnej správy</w:t>
            </w:r>
            <w:r w:rsidRPr="003776C0">
              <w:rPr>
                <w:rFonts w:ascii="Times New Roman" w:eastAsia="Times New Roman" w:hAnsi="Times New Roman"/>
                <w:sz w:val="20"/>
                <w:szCs w:val="20"/>
              </w:rPr>
              <w:br/>
              <w:t>    z toho rozpočtovo zabezpečené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Áno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00C228BF" w:rsidRPr="002F0704">
              <w:rPr>
                <w:rFonts w:ascii="Wingdings 2" w:hAnsi="Wingdings 2" w:cs="Times"/>
                <w:sz w:val="28"/>
                <w:szCs w:val="28"/>
              </w:rPr>
              <w:t></w:t>
            </w:r>
            <w:r w:rsidRPr="003776C0">
              <w:rPr>
                <w:rFonts w:ascii="Times New Roman" w:eastAsia="Times New Roman" w:hAnsi="Times New Roman"/>
                <w:sz w:val="20"/>
                <w:szCs w:val="20"/>
              </w:rPr>
              <w:t>    Nie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Čiastočne</w:t>
            </w:r>
          </w:p>
        </w:tc>
      </w:tr>
      <w:tr w:rsidR="00ED368C" w:rsidRPr="003776C0" w:rsidTr="00D654DE">
        <w:trPr>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podnikateľské prostredie</w:t>
            </w:r>
            <w:r w:rsidRPr="003776C0">
              <w:rPr>
                <w:rFonts w:ascii="Times New Roman" w:eastAsia="Times New Roman" w:hAnsi="Times New Roman"/>
                <w:sz w:val="20"/>
                <w:szCs w:val="20"/>
              </w:rPr>
              <w:br/>
              <w:t>    z toho vplyvy na MSP</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00C228BF" w:rsidRPr="002F0704">
              <w:rPr>
                <w:rFonts w:ascii="Wingdings 2" w:hAnsi="Wingdings 2" w:cs="Times"/>
                <w:sz w:val="28"/>
                <w:szCs w:val="28"/>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Sociálne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životné prostredie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informatizáciu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Negatívne</w:t>
            </w:r>
          </w:p>
        </w:tc>
      </w:tr>
      <w:tr w:rsidR="00ED368C" w:rsidRPr="003776C0" w:rsidTr="00D654DE">
        <w:trPr>
          <w:trHeight w:val="675"/>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služby pre občana z toho</w:t>
            </w:r>
            <w:r w:rsidRPr="003776C0">
              <w:rPr>
                <w:rFonts w:ascii="Times New Roman" w:eastAsia="Times New Roman" w:hAnsi="Times New Roman"/>
                <w:sz w:val="20"/>
                <w:szCs w:val="20"/>
              </w:rPr>
              <w:br/>
              <w:t>    vplyvy služieb verejnej správy na občana</w:t>
            </w:r>
            <w:r w:rsidRPr="003776C0">
              <w:rPr>
                <w:rFonts w:ascii="Times New Roman" w:eastAsia="Times New Roman" w:hAnsi="Times New Roman"/>
                <w:sz w:val="20"/>
                <w:szCs w:val="20"/>
              </w:rPr>
              <w:br/>
              <w:t>    vplyvy na procesy služieb vo verejnej</w:t>
            </w:r>
            <w:r w:rsidRPr="003776C0">
              <w:rPr>
                <w:rFonts w:ascii="Times New Roman" w:eastAsia="Times New Roman" w:hAnsi="Times New Roman"/>
                <w:sz w:val="20"/>
                <w:szCs w:val="20"/>
              </w:rPr>
              <w:br/>
              <w:t>    správe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br/>
              <w:t xml:space="preserve">  </w:t>
            </w:r>
            <w:r w:rsidRPr="003776C0">
              <w:rPr>
                <w:rFonts w:ascii="Times New Roman" w:eastAsia="Times New Roman" w:hAnsi="Times New Roman"/>
                <w:sz w:val="20"/>
                <w:szCs w:val="20"/>
              </w:rPr>
              <w:t>   Negatívne</w:t>
            </w:r>
          </w:p>
        </w:tc>
      </w:tr>
      <w:tr w:rsidR="00ED368C" w:rsidRPr="003776C0" w:rsidTr="00D654DE">
        <w:trPr>
          <w:trHeight w:val="15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C228BF" w:rsidP="00D654DE">
            <w:pPr>
              <w:spacing w:after="0" w:line="240" w:lineRule="auto"/>
              <w:jc w:val="both"/>
              <w:rPr>
                <w:rFonts w:ascii="Times New Roman" w:eastAsia="Times New Roman" w:hAnsi="Times New Roman"/>
                <w:sz w:val="20"/>
                <w:szCs w:val="20"/>
              </w:rPr>
            </w:pPr>
            <w:r w:rsidRPr="002F0704">
              <w:rPr>
                <w:rFonts w:ascii="Wingdings 2" w:hAnsi="Wingdings 2" w:cs="Times"/>
                <w:sz w:val="28"/>
                <w:szCs w:val="28"/>
              </w:rPr>
              <w:t></w:t>
            </w:r>
            <w:bookmarkStart w:id="0" w:name="_GoBack"/>
            <w:bookmarkEnd w:id="0"/>
            <w:r w:rsidR="00ED368C" w:rsidRPr="003776C0">
              <w:rPr>
                <w:rFonts w:ascii="Times New Roman" w:eastAsia="Times New Roman" w:hAnsi="Times New Roman"/>
                <w:sz w:val="20"/>
                <w:szCs w:val="20"/>
              </w:rPr>
              <w:t>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r w:rsidR="00ED368C" w:rsidRPr="003776C0" w:rsidTr="00D654DE">
        <w:trPr>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b/>
                <w:bCs/>
                <w:sz w:val="20"/>
                <w:szCs w:val="20"/>
              </w:rPr>
              <w:t>  Vplyvy na manželstvo, rodičovstvo a rodinu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Times New Roman" w:eastAsia="Times New Roman" w:hAnsi="Times New Roman"/>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w:t>
            </w:r>
            <w:r w:rsidRPr="003776C0">
              <w:rPr>
                <w:rFonts w:ascii="Wingdings 2" w:eastAsia="Times New Roman" w:hAnsi="Wingdings 2" w:cs="Times"/>
                <w:sz w:val="20"/>
                <w:szCs w:val="20"/>
              </w:rPr>
              <w:t></w:t>
            </w:r>
            <w:r w:rsidRPr="003776C0">
              <w:rPr>
                <w:rFonts w:ascii="Times New Roman" w:eastAsia="Times New Roman" w:hAnsi="Times New Roman"/>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ED368C" w:rsidRPr="003776C0" w:rsidRDefault="00ED368C" w:rsidP="00D654DE">
            <w:pPr>
              <w:spacing w:after="0" w:line="240" w:lineRule="auto"/>
              <w:jc w:val="both"/>
              <w:rPr>
                <w:rFonts w:ascii="Times New Roman" w:eastAsia="Times New Roman" w:hAnsi="Times New Roman"/>
                <w:sz w:val="20"/>
                <w:szCs w:val="20"/>
              </w:rPr>
            </w:pPr>
            <w:r w:rsidRPr="003776C0">
              <w:rPr>
                <w:rFonts w:ascii="Times New Roman" w:eastAsia="Times New Roman" w:hAnsi="Times New Roman"/>
                <w:sz w:val="20"/>
                <w:szCs w:val="20"/>
              </w:rPr>
              <w:t xml:space="preserve">  </w:t>
            </w:r>
            <w:r w:rsidRPr="003776C0">
              <w:rPr>
                <w:rFonts w:ascii="Times New Roman" w:eastAsia="Times New Roman" w:hAnsi="Times New Roman"/>
                <w:sz w:val="20"/>
                <w:szCs w:val="20"/>
              </w:rPr>
              <w:t>   Negatívne</w:t>
            </w:r>
          </w:p>
        </w:tc>
      </w:tr>
    </w:tbl>
    <w:p w:rsidR="00ED368C" w:rsidRPr="003776C0" w:rsidRDefault="00ED368C" w:rsidP="00ED368C">
      <w:pPr>
        <w:spacing w:after="0" w:line="240" w:lineRule="auto"/>
        <w:jc w:val="both"/>
        <w:rPr>
          <w:rFonts w:ascii="Times New Roman" w:eastAsia="Times New Roman" w:hAnsi="Times New Roman"/>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30"/>
      </w:tblGrid>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10.  Poznámky</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Default="00ED368C" w:rsidP="00D654DE">
            <w:pPr>
              <w:pStyle w:val="Normlnywebov"/>
              <w:spacing w:before="0" w:beforeAutospacing="0" w:after="0" w:afterAutospacing="0"/>
              <w:jc w:val="both"/>
              <w:rPr>
                <w:sz w:val="20"/>
                <w:szCs w:val="20"/>
                <w:lang w:val="sk-SK"/>
              </w:rPr>
            </w:pPr>
            <w:r w:rsidRPr="00383B62">
              <w:rPr>
                <w:sz w:val="20"/>
                <w:szCs w:val="20"/>
                <w:lang w:val="sk-SK"/>
              </w:rPr>
              <w:t> </w:t>
            </w:r>
            <w:r w:rsidRPr="00383B62">
              <w:rPr>
                <w:sz w:val="20"/>
                <w:szCs w:val="20"/>
                <w:u w:val="single"/>
                <w:lang w:val="sk-SK"/>
              </w:rPr>
              <w:t>Vplyvy na rozpočet verejnej správy</w:t>
            </w:r>
            <w:r w:rsidRPr="00383B62">
              <w:rPr>
                <w:sz w:val="20"/>
                <w:szCs w:val="20"/>
                <w:lang w:val="sk-SK"/>
              </w:rPr>
              <w:t xml:space="preserve"> – uvedená právna úprava nezakladá vplyv na rozpočet verejnej správy nakoľko tvorba rezervného fondu je zo zisku zdravotnej poisťovne a už dnes zdravotné poisťovne majú naplnený rezervný fond do výšky 30% splateného základného imania. Splácanie úveru bude prebiehať z prostriedkov určených na správu pri zachovaní súčasných pravidiel, bude na zdravotnej poisťovni ako si vnútorne prerozdelí členenie výdavkov.</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Pri súčasne zverejnenej výške základného imania by bola pri 30 % výška rezervného fondu nasledovná:</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30 % zo ZI (výška rezervného fondu):</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VšZP, a. s.: 48 353 989,80 EUR (ZI 161,179,966 EUR)</w:t>
            </w:r>
          </w:p>
          <w:p w:rsidR="003D58ED" w:rsidRP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Dôvera, a. s.: 10,080,000 EUR (ZI 33,600,000 EUR)</w:t>
            </w:r>
          </w:p>
          <w:p w:rsidR="003D58ED" w:rsidRDefault="003D58ED" w:rsidP="003D58ED">
            <w:pPr>
              <w:pStyle w:val="Normlnywebov"/>
              <w:spacing w:before="0" w:beforeAutospacing="0" w:after="0" w:afterAutospacing="0"/>
              <w:jc w:val="both"/>
              <w:rPr>
                <w:sz w:val="20"/>
                <w:szCs w:val="20"/>
                <w:lang w:val="sk-SK"/>
              </w:rPr>
            </w:pPr>
            <w:r w:rsidRPr="003D58ED">
              <w:rPr>
                <w:sz w:val="20"/>
                <w:szCs w:val="20"/>
                <w:lang w:val="sk-SK"/>
              </w:rPr>
              <w:t>UNION zdravotná poisťovňa, a. s.: 4,980,000 (ZI: 16,600,000)</w:t>
            </w:r>
          </w:p>
          <w:p w:rsidR="000E6CFD" w:rsidRDefault="000E6CFD" w:rsidP="003D58ED">
            <w:pPr>
              <w:pStyle w:val="Normlnywebov"/>
              <w:spacing w:before="0" w:beforeAutospacing="0" w:after="0" w:afterAutospacing="0"/>
              <w:jc w:val="both"/>
              <w:rPr>
                <w:sz w:val="20"/>
                <w:szCs w:val="20"/>
                <w:lang w:val="sk-SK"/>
              </w:rPr>
            </w:pPr>
          </w:p>
          <w:p w:rsidR="000E6CFD" w:rsidRPr="003D58ED" w:rsidRDefault="000E6CFD" w:rsidP="000E6CFD">
            <w:pPr>
              <w:pStyle w:val="Normlnywebov"/>
              <w:spacing w:before="0" w:beforeAutospacing="0" w:after="0" w:afterAutospacing="0"/>
              <w:jc w:val="both"/>
              <w:rPr>
                <w:sz w:val="20"/>
                <w:szCs w:val="20"/>
                <w:lang w:val="sk-SK"/>
              </w:rPr>
            </w:pPr>
            <w:r>
              <w:rPr>
                <w:sz w:val="20"/>
                <w:szCs w:val="20"/>
                <w:lang w:val="sk-SK"/>
              </w:rPr>
              <w:lastRenderedPageBreak/>
              <w:t>Uvedený návrh právnej úpravy nezakladá vplyv na Úrad pre dohľad nad zdravotnou starostlivosťou, nároky na prizvané osoby sa budú uhrádzať zo súčasných prostriedkov.</w:t>
            </w:r>
          </w:p>
          <w:p w:rsidR="003D58ED" w:rsidRPr="00383B62" w:rsidRDefault="003D58ED" w:rsidP="003D58ED">
            <w:pPr>
              <w:pStyle w:val="Normlnywebov"/>
              <w:spacing w:before="0" w:beforeAutospacing="0" w:after="0" w:afterAutospacing="0"/>
              <w:jc w:val="both"/>
              <w:rPr>
                <w:sz w:val="20"/>
                <w:szCs w:val="20"/>
                <w:lang w:val="sk-SK"/>
              </w:rPr>
            </w:pPr>
          </w:p>
          <w:p w:rsidR="00ED368C" w:rsidRPr="00383B62" w:rsidRDefault="00ED368C" w:rsidP="00D654DE">
            <w:pPr>
              <w:pStyle w:val="Normlnywebov"/>
              <w:spacing w:before="0" w:beforeAutospacing="0" w:after="0" w:afterAutospacing="0"/>
              <w:jc w:val="both"/>
              <w:rPr>
                <w:color w:val="000000"/>
                <w:sz w:val="20"/>
                <w:szCs w:val="20"/>
                <w:lang w:val="sk-SK"/>
              </w:rPr>
            </w:pPr>
            <w:r w:rsidRPr="00383B62">
              <w:rPr>
                <w:color w:val="000000"/>
                <w:sz w:val="20"/>
                <w:szCs w:val="20"/>
                <w:lang w:val="sk-SK"/>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lastRenderedPageBreak/>
              <w:t>  11.  Kontakt na spracovateľa</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 xml:space="preserve">Ministerstvo zdravotníctva SR, </w:t>
            </w:r>
          </w:p>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 xml:space="preserve">Limbová 2, </w:t>
            </w:r>
          </w:p>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837 52 Bratislava</w:t>
            </w:r>
          </w:p>
          <w:p w:rsidR="00ED368C" w:rsidRPr="00383B62" w:rsidRDefault="00ED368C" w:rsidP="00D654DE">
            <w:pPr>
              <w:pStyle w:val="Normlnywebov"/>
              <w:spacing w:before="0" w:beforeAutospacing="0" w:after="0" w:afterAutospacing="0"/>
              <w:jc w:val="both"/>
              <w:rPr>
                <w:sz w:val="20"/>
                <w:szCs w:val="20"/>
                <w:lang w:val="sk-SK"/>
              </w:rPr>
            </w:pPr>
            <w:r w:rsidRPr="00383B62">
              <w:rPr>
                <w:color w:val="0000FF"/>
                <w:sz w:val="20"/>
                <w:szCs w:val="20"/>
                <w:u w:val="single"/>
                <w:lang w:val="sk-SK"/>
              </w:rPr>
              <w:t>zuzana.foldesova@health.gov.sk</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83B62" w:rsidRDefault="00ED368C" w:rsidP="00D654DE">
            <w:pPr>
              <w:spacing w:after="0" w:line="240" w:lineRule="auto"/>
              <w:jc w:val="both"/>
              <w:rPr>
                <w:rFonts w:ascii="Times New Roman" w:hAnsi="Times New Roman"/>
                <w:b/>
                <w:bCs/>
                <w:sz w:val="20"/>
                <w:szCs w:val="20"/>
              </w:rPr>
            </w:pPr>
            <w:r w:rsidRPr="00383B62">
              <w:rPr>
                <w:rFonts w:ascii="Times New Roman" w:hAnsi="Times New Roman"/>
                <w:b/>
                <w:bCs/>
                <w:sz w:val="20"/>
                <w:szCs w:val="20"/>
              </w:rPr>
              <w:t>  12.  Zdroje</w:t>
            </w:r>
          </w:p>
        </w:tc>
      </w:tr>
      <w:tr w:rsidR="00ED368C" w:rsidRPr="003776C0" w:rsidTr="00D654DE">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83B62" w:rsidRDefault="00ED368C" w:rsidP="00D654DE">
            <w:pPr>
              <w:pStyle w:val="Normlnywebov"/>
              <w:spacing w:before="0" w:beforeAutospacing="0" w:after="0" w:afterAutospacing="0"/>
              <w:jc w:val="both"/>
              <w:rPr>
                <w:sz w:val="20"/>
                <w:szCs w:val="20"/>
                <w:lang w:val="sk-SK"/>
              </w:rPr>
            </w:pPr>
            <w:r w:rsidRPr="00383B62">
              <w:rPr>
                <w:sz w:val="20"/>
                <w:szCs w:val="20"/>
                <w:lang w:val="sk-SK"/>
              </w:rPr>
              <w:t>Súvisiace platné právne predpisy, údaje zdravotných poisťovní, Národné centrum zdravotníckych informácií, údaje od poskytovateľov zdravotnej starostlivosti.</w:t>
            </w:r>
          </w:p>
        </w:tc>
      </w:tr>
      <w:tr w:rsidR="00ED368C" w:rsidRPr="003776C0" w:rsidTr="00D654DE">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ED368C" w:rsidRPr="003776C0" w:rsidRDefault="00ED368C" w:rsidP="00D654DE">
            <w:pPr>
              <w:spacing w:after="0" w:line="240" w:lineRule="auto"/>
              <w:jc w:val="both"/>
              <w:rPr>
                <w:rFonts w:ascii="Arial Narrow" w:hAnsi="Arial Narrow"/>
                <w:b/>
                <w:bCs/>
                <w:sz w:val="20"/>
                <w:szCs w:val="20"/>
              </w:rPr>
            </w:pPr>
            <w:r w:rsidRPr="003776C0">
              <w:rPr>
                <w:rFonts w:ascii="Arial Narrow" w:hAnsi="Arial Narrow"/>
                <w:b/>
                <w:bCs/>
                <w:sz w:val="20"/>
                <w:szCs w:val="20"/>
              </w:rPr>
              <w:t>  13.  Stanovisko Komisie pre posudzovanie vybraných vplyvov z PPK</w:t>
            </w:r>
          </w:p>
        </w:tc>
      </w:tr>
      <w:tr w:rsidR="00ED368C" w:rsidRPr="003776C0" w:rsidTr="00D654DE">
        <w:trPr>
          <w:trHeight w:val="298"/>
          <w:jc w:val="center"/>
        </w:trPr>
        <w:tc>
          <w:tcPr>
            <w:tcW w:w="5000" w:type="pct"/>
            <w:tcBorders>
              <w:top w:val="outset" w:sz="6" w:space="0" w:color="000000"/>
              <w:left w:val="outset" w:sz="6" w:space="0" w:color="000000"/>
              <w:bottom w:val="outset" w:sz="6" w:space="0" w:color="000000"/>
              <w:right w:val="outset" w:sz="6" w:space="0" w:color="000000"/>
            </w:tcBorders>
            <w:hideMark/>
          </w:tcPr>
          <w:p w:rsidR="00ED368C" w:rsidRPr="003776C0" w:rsidRDefault="00ED368C" w:rsidP="00D654DE">
            <w:pPr>
              <w:pStyle w:val="Normlnywebov"/>
              <w:spacing w:before="0" w:beforeAutospacing="0" w:after="0" w:afterAutospacing="0"/>
              <w:jc w:val="both"/>
              <w:rPr>
                <w:rFonts w:ascii="Arial Narrow" w:hAnsi="Arial Narrow"/>
                <w:sz w:val="20"/>
                <w:szCs w:val="20"/>
              </w:rPr>
            </w:pPr>
          </w:p>
        </w:tc>
      </w:tr>
    </w:tbl>
    <w:p w:rsidR="00D654DE" w:rsidRDefault="00D654DE"/>
    <w:sectPr w:rsidR="00D6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8C"/>
    <w:rsid w:val="000D05CD"/>
    <w:rsid w:val="000E6CFD"/>
    <w:rsid w:val="00363262"/>
    <w:rsid w:val="00383B62"/>
    <w:rsid w:val="003D58ED"/>
    <w:rsid w:val="00441AA0"/>
    <w:rsid w:val="004C351E"/>
    <w:rsid w:val="005035CA"/>
    <w:rsid w:val="006374AB"/>
    <w:rsid w:val="006978C2"/>
    <w:rsid w:val="006E7574"/>
    <w:rsid w:val="00A33E5D"/>
    <w:rsid w:val="00AE4B9D"/>
    <w:rsid w:val="00C228BF"/>
    <w:rsid w:val="00D654DE"/>
    <w:rsid w:val="00ED36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91030-63C9-4C68-9FD7-D289D9C2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368C"/>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ED368C"/>
    <w:pPr>
      <w:spacing w:before="100" w:beforeAutospacing="1" w:after="100" w:afterAutospacing="1" w:line="240" w:lineRule="auto"/>
    </w:pPr>
    <w:rPr>
      <w:rFonts w:ascii="Times New Roman" w:hAnsi="Times New Roman"/>
      <w:sz w:val="24"/>
      <w:szCs w:val="24"/>
      <w:lang w:val="cs-CZ"/>
    </w:rPr>
  </w:style>
  <w:style w:type="paragraph" w:styleId="Textbubliny">
    <w:name w:val="Balloon Text"/>
    <w:basedOn w:val="Normlny"/>
    <w:link w:val="TextbublinyChar"/>
    <w:uiPriority w:val="99"/>
    <w:semiHidden/>
    <w:unhideWhenUsed/>
    <w:rsid w:val="000D05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05C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2069</Words>
  <Characters>11797</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6</cp:revision>
  <cp:lastPrinted>2020-09-22T08:28:00Z</cp:lastPrinted>
  <dcterms:created xsi:type="dcterms:W3CDTF">2020-09-22T08:29:00Z</dcterms:created>
  <dcterms:modified xsi:type="dcterms:W3CDTF">2020-09-30T09:13:00Z</dcterms:modified>
</cp:coreProperties>
</file>