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585E8" w14:textId="77777777" w:rsidR="00204A1C" w:rsidRPr="00CA2CA7" w:rsidRDefault="00204A1C" w:rsidP="00344E5A">
      <w:pPr>
        <w:spacing w:after="0" w:line="240" w:lineRule="auto"/>
        <w:jc w:val="center"/>
        <w:rPr>
          <w:rFonts w:ascii="Times New Roman" w:hAnsi="Times New Roman"/>
          <w:b/>
        </w:rPr>
      </w:pPr>
      <w:bookmarkStart w:id="0" w:name="_GoBack"/>
      <w:bookmarkEnd w:id="0"/>
      <w:r w:rsidRPr="00CA2CA7">
        <w:rPr>
          <w:rFonts w:ascii="Times New Roman" w:hAnsi="Times New Roman"/>
          <w:b/>
        </w:rPr>
        <w:t>Dôvodová správa</w:t>
      </w:r>
    </w:p>
    <w:p w14:paraId="6EFF0333" w14:textId="77777777" w:rsidR="00204A1C" w:rsidRPr="00CA2CA7" w:rsidRDefault="00204A1C" w:rsidP="00344E5A">
      <w:pPr>
        <w:spacing w:after="0" w:line="240" w:lineRule="auto"/>
        <w:jc w:val="both"/>
        <w:rPr>
          <w:rFonts w:ascii="Times New Roman" w:hAnsi="Times New Roman"/>
        </w:rPr>
      </w:pPr>
    </w:p>
    <w:p w14:paraId="482AA746" w14:textId="77777777" w:rsidR="00204A1C" w:rsidRPr="00CA2CA7" w:rsidRDefault="00204A1C" w:rsidP="00344E5A">
      <w:pPr>
        <w:pStyle w:val="Odsekzoznamu"/>
        <w:numPr>
          <w:ilvl w:val="0"/>
          <w:numId w:val="8"/>
        </w:numPr>
        <w:spacing w:after="0" w:line="240" w:lineRule="auto"/>
        <w:jc w:val="both"/>
        <w:rPr>
          <w:rFonts w:ascii="Times New Roman" w:hAnsi="Times New Roman"/>
          <w:b/>
        </w:rPr>
      </w:pPr>
      <w:r w:rsidRPr="00CA2CA7">
        <w:rPr>
          <w:rFonts w:ascii="Times New Roman" w:hAnsi="Times New Roman"/>
          <w:b/>
        </w:rPr>
        <w:t>Všeobecná časť</w:t>
      </w:r>
    </w:p>
    <w:p w14:paraId="27600A10" w14:textId="77777777" w:rsidR="00344E5A" w:rsidRDefault="00344E5A" w:rsidP="00344E5A">
      <w:pPr>
        <w:spacing w:after="0" w:line="240" w:lineRule="auto"/>
        <w:ind w:firstLine="709"/>
        <w:jc w:val="both"/>
        <w:rPr>
          <w:rFonts w:ascii="Times New Roman" w:hAnsi="Times New Roman"/>
        </w:rPr>
      </w:pPr>
    </w:p>
    <w:p w14:paraId="2A6ED54A" w14:textId="77777777" w:rsidR="00204A1C" w:rsidRPr="00CA2CA7" w:rsidRDefault="00204A1C" w:rsidP="00344E5A">
      <w:pPr>
        <w:spacing w:after="0" w:line="240" w:lineRule="auto"/>
        <w:ind w:firstLine="709"/>
        <w:jc w:val="both"/>
        <w:rPr>
          <w:rFonts w:ascii="Times New Roman" w:hAnsi="Times New Roman"/>
        </w:rPr>
      </w:pPr>
      <w:r w:rsidRPr="00CA2CA7">
        <w:rPr>
          <w:rFonts w:ascii="Times New Roman" w:hAnsi="Times New Roman"/>
        </w:rPr>
        <w:t xml:space="preserve">Ministerstvo zdravotníctva Slovenskej republiky predkladá návrh zákona, ktorým sa mení a dopĺňa zákon č. 581/2004 Z. z. o zdravotných poisťovniach, dohľade nad zdravotnou starostlivosťou a o zmene a doplnení niektorých zákonov v znení neskorších predpisov a ktorým sa </w:t>
      </w:r>
      <w:r w:rsidR="00E50B83">
        <w:rPr>
          <w:rFonts w:ascii="Times New Roman" w:hAnsi="Times New Roman"/>
        </w:rPr>
        <w:t>menia dopĺňajú niektoré zákony</w:t>
      </w:r>
      <w:r w:rsidRPr="00CA2CA7">
        <w:rPr>
          <w:rFonts w:ascii="Times New Roman" w:hAnsi="Times New Roman"/>
        </w:rPr>
        <w:t xml:space="preserve"> na základe Plánu legislatív</w:t>
      </w:r>
      <w:r w:rsidR="00E50B83">
        <w:rPr>
          <w:rFonts w:ascii="Times New Roman" w:hAnsi="Times New Roman"/>
        </w:rPr>
        <w:t>nych úloh vlády SR úlohy č. 34</w:t>
      </w:r>
      <w:r w:rsidRPr="00CA2CA7">
        <w:rPr>
          <w:rFonts w:ascii="Times New Roman" w:hAnsi="Times New Roman"/>
        </w:rPr>
        <w:t xml:space="preserve"> na mesiac december 2020.</w:t>
      </w:r>
    </w:p>
    <w:p w14:paraId="78F94AAD" w14:textId="77777777" w:rsidR="00204A1C" w:rsidRPr="00CA2CA7" w:rsidRDefault="00204A1C" w:rsidP="00344E5A">
      <w:pPr>
        <w:spacing w:after="0" w:line="240" w:lineRule="auto"/>
        <w:ind w:firstLine="709"/>
        <w:jc w:val="both"/>
        <w:rPr>
          <w:rFonts w:ascii="Times New Roman" w:hAnsi="Times New Roman"/>
        </w:rPr>
      </w:pPr>
      <w:r w:rsidRPr="00CA2CA7">
        <w:rPr>
          <w:rFonts w:ascii="Times New Roman" w:hAnsi="Times New Roman"/>
        </w:rPr>
        <w:t xml:space="preserve">Účelom návrhu je zefektívniť výmenu informácií medzi zdravotnými poisťovňami a ústrednými orgánmi štátnej správy v celom sektore zdravotníctva a zasielanie údajov iba v elektronickej podobe. </w:t>
      </w:r>
    </w:p>
    <w:p w14:paraId="0EB2C40A" w14:textId="77777777" w:rsidR="00204A1C" w:rsidRPr="00CA2CA7" w:rsidRDefault="00204A1C" w:rsidP="00344E5A">
      <w:pPr>
        <w:spacing w:after="0" w:line="240" w:lineRule="auto"/>
        <w:ind w:firstLine="709"/>
        <w:jc w:val="both"/>
        <w:rPr>
          <w:rFonts w:ascii="Times New Roman" w:hAnsi="Times New Roman"/>
        </w:rPr>
      </w:pPr>
      <w:r w:rsidRPr="00CA2CA7">
        <w:rPr>
          <w:rFonts w:ascii="Times New Roman" w:hAnsi="Times New Roman"/>
        </w:rPr>
        <w:t xml:space="preserve">Za účelom sprehľadnenia evidencie výdavkov zdravotnej poisťovne sa zavádza okrem súčasnej definície všeobecná definícia ostatných výdavkov na prevádzkové činnosti, ktorými budú všetky výdavky, ak nie sú explicitne uvedené v § 6a ods. 3. Explicitné určenie sumy, ktorú je možné z vybratého poistného použiť na výdavky priamo nesúvisiace s hlavnou činnosťou zdravotnej poisťovne je naďalej potrebné. Práve určenie tejto sumy naplní zámer zákonodarcu a odlíši účel, na ktorý sú zakladané zdravotné poisťovne podľa lex </w:t>
      </w:r>
      <w:proofErr w:type="spellStart"/>
      <w:r w:rsidRPr="00CA2CA7">
        <w:rPr>
          <w:rFonts w:ascii="Times New Roman" w:hAnsi="Times New Roman"/>
        </w:rPr>
        <w:t>specialis</w:t>
      </w:r>
      <w:proofErr w:type="spellEnd"/>
      <w:r w:rsidRPr="00CA2CA7">
        <w:rPr>
          <w:rFonts w:ascii="Times New Roman" w:hAnsi="Times New Roman"/>
        </w:rPr>
        <w:t>.</w:t>
      </w:r>
    </w:p>
    <w:p w14:paraId="7B176A67" w14:textId="77777777" w:rsidR="00204A1C" w:rsidRPr="00CA2CA7" w:rsidRDefault="00204A1C" w:rsidP="00344E5A">
      <w:pPr>
        <w:spacing w:after="0" w:line="240" w:lineRule="auto"/>
        <w:ind w:firstLine="709"/>
        <w:jc w:val="both"/>
        <w:rPr>
          <w:rFonts w:ascii="Times New Roman" w:hAnsi="Times New Roman"/>
        </w:rPr>
      </w:pPr>
      <w:r w:rsidRPr="00CA2CA7">
        <w:rPr>
          <w:rFonts w:ascii="Times New Roman" w:hAnsi="Times New Roman"/>
        </w:rPr>
        <w:t>Vzhľadom k možným negatívnym výkyvom makroekonomického prostredia a nutnosti mať k dispozícii dostatočné rezervné zdroje na krytie týchto nepredvídateľných výkyvov prostredia a následného krytia strát zdravotnej poisťovne sa zvyšuje miera povinnej tvorby rezervného fondu na 30</w:t>
      </w:r>
      <w:r w:rsidR="00126270" w:rsidRPr="00CA2CA7">
        <w:rPr>
          <w:rFonts w:ascii="Times New Roman" w:hAnsi="Times New Roman"/>
        </w:rPr>
        <w:t xml:space="preserve"> </w:t>
      </w:r>
      <w:r w:rsidRPr="00CA2CA7">
        <w:rPr>
          <w:rFonts w:ascii="Times New Roman" w:hAnsi="Times New Roman"/>
        </w:rPr>
        <w:t>%. Zároveň sa explicitne určuje povinnosť použitia rezervného fondu iba na krytie strát, pričom na rozdiel od všeobecnej právnej úpravy v Obchodnom zákonníku sa táto povinnosť vzťahuje na použitie Rezervného fondu v plnom rozsahu (teda aj ak bol vytvorený aj nad rámec jeho povinnej tvorby).</w:t>
      </w:r>
    </w:p>
    <w:p w14:paraId="4C59E927" w14:textId="77777777" w:rsidR="00204A1C" w:rsidRPr="00CA2CA7" w:rsidRDefault="00204A1C" w:rsidP="00344E5A">
      <w:pPr>
        <w:spacing w:after="0" w:line="240" w:lineRule="auto"/>
        <w:ind w:firstLine="709"/>
        <w:jc w:val="both"/>
        <w:rPr>
          <w:rFonts w:ascii="Times New Roman" w:hAnsi="Times New Roman"/>
        </w:rPr>
      </w:pPr>
      <w:r w:rsidRPr="00CA2CA7">
        <w:rPr>
          <w:rFonts w:ascii="Times New Roman" w:hAnsi="Times New Roman"/>
        </w:rPr>
        <w:t>Navrhovaná úprava vymedzuje, za akých podmienok môžu podnet na vykonanie dohľadu podať blízke osoby osoby</w:t>
      </w:r>
      <w:r w:rsidR="00CA7583">
        <w:rPr>
          <w:rFonts w:ascii="Times New Roman" w:hAnsi="Times New Roman"/>
        </w:rPr>
        <w:t>,</w:t>
      </w:r>
      <w:r w:rsidRPr="00CA2CA7">
        <w:rPr>
          <w:rFonts w:ascii="Times New Roman" w:hAnsi="Times New Roman"/>
        </w:rPr>
        <w:t xml:space="preserve"> ktorej práva alebo právom chránené záujmy mali byť porušené. Podávateľovi podnetu sa priznáva právo byť oboznámený so začatím výkonu dohľadu a s výsledkom dohľadu po jeho sko</w:t>
      </w:r>
      <w:r w:rsidR="00126270" w:rsidRPr="00CA2CA7">
        <w:rPr>
          <w:rFonts w:ascii="Times New Roman" w:hAnsi="Times New Roman"/>
        </w:rPr>
        <w:t xml:space="preserve">nčení. Podávateľ podnetu, jeho </w:t>
      </w:r>
      <w:r w:rsidRPr="00CA2CA7">
        <w:rPr>
          <w:rFonts w:ascii="Times New Roman" w:hAnsi="Times New Roman"/>
        </w:rPr>
        <w:t xml:space="preserve">zástupca ani blízka osoba v súčasnosti nemajú zákonom č. 581/2004 Z. z. priznané právo na získanie informácií z dohľadu. Podľa navrhovanej úpravy sa v oblasti dohľadu nad zdravotnou starostlivosťou priznáva </w:t>
      </w:r>
      <w:r w:rsidR="00CA7583">
        <w:rPr>
          <w:rFonts w:ascii="Times New Roman" w:hAnsi="Times New Roman"/>
        </w:rPr>
        <w:t>osobe, ktorej práva a právom chránené záujmy mali byť porušené, resp. jej zákonnému zástupcovi</w:t>
      </w:r>
      <w:r w:rsidRPr="00CA2CA7">
        <w:rPr>
          <w:rFonts w:ascii="Times New Roman" w:hAnsi="Times New Roman"/>
        </w:rPr>
        <w:t xml:space="preserve">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t.</w:t>
      </w:r>
      <w:r w:rsidR="00126270" w:rsidRPr="00CA2CA7">
        <w:rPr>
          <w:rFonts w:ascii="Times New Roman" w:hAnsi="Times New Roman"/>
        </w:rPr>
        <w:t xml:space="preserve"> </w:t>
      </w:r>
      <w:r w:rsidRPr="00CA2CA7">
        <w:rPr>
          <w:rFonts w:ascii="Times New Roman" w:hAnsi="Times New Roman"/>
        </w:rPr>
        <w:t xml:space="preserve">j. konzultanta úradu, ktorý je odborníkom v príslušnom medicínskom odbore, v ktorom bola zdravotná starostlivosť poskytnutá. Navrhovanou úpravou sa zefektívni vykonávanie dohľadov, kedy bude možné zastaviť dohľad v prípadoch, keď jeho vykonaniu bránia objektívne prekážky. Napríklad, ak počas výkonu 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  </w:t>
      </w:r>
    </w:p>
    <w:p w14:paraId="30526133" w14:textId="77777777" w:rsidR="00204A1C" w:rsidRPr="00CA2CA7" w:rsidRDefault="00204A1C" w:rsidP="00344E5A">
      <w:pPr>
        <w:spacing w:after="0" w:line="240" w:lineRule="auto"/>
        <w:ind w:firstLine="709"/>
        <w:jc w:val="both"/>
        <w:rPr>
          <w:rFonts w:ascii="Times New Roman" w:hAnsi="Times New Roman"/>
        </w:rPr>
      </w:pPr>
      <w:r w:rsidRPr="00CA2CA7">
        <w:rPr>
          <w:rFonts w:ascii="Times New Roman" w:hAnsi="Times New Roman"/>
        </w:rPr>
        <w:t>V procese výkonu dohľadu si úrad zabezpečuje zdravotnú dokumentáciu aj od tretích osôb, ktoré nie sú dohliadanými subjektmi. Povinnosť tretích osôb, ktoré disponujú potrebnými listinami alebo inými dôkazmi o poskytnutej zdravotnej starostlivosti, nie je v zákone nikde uložená. Odmietnutím poskytnutia potrebných informácií zo strany tretích osôb môže prispieť k zmareniu výkonu dohľadu, preto sa navrhujú uzákoniť súčinnosť tretích osôb.</w:t>
      </w:r>
    </w:p>
    <w:p w14:paraId="6367A7CF" w14:textId="77777777" w:rsidR="00204A1C" w:rsidRPr="00CA2CA7" w:rsidRDefault="00204A1C" w:rsidP="00344E5A">
      <w:pPr>
        <w:spacing w:after="0" w:line="240" w:lineRule="auto"/>
        <w:ind w:firstLine="709"/>
        <w:jc w:val="both"/>
        <w:rPr>
          <w:rFonts w:ascii="Times New Roman" w:hAnsi="Times New Roman"/>
        </w:rPr>
      </w:pPr>
      <w:r w:rsidRPr="00CA2CA7">
        <w:rPr>
          <w:rFonts w:ascii="Times New Roman" w:hAnsi="Times New Roman"/>
        </w:rPr>
        <w:t xml:space="preserve">Prax ukazuje, že pre plnenie úloh samosprávneho kraja na úseku preneseného výkonu štátnej správy je nevyhnutná spolupráca samosprávnych krajov so zdravotnými poisťovňami, ktorá už nemôže byť založená len na dobrovoľnosti spolupráce. Ako príklad uvádzame kompetenciu samosprávneho kraja podľa § 46 ods. 1 písm. l) pri určovaní zdravotných obvodov, kedy pri súčasnom nedostatku lekárov (všeobecní, pediatri, zubári) nie je plnenie tejto kompetencie bez aktívnej spolupráce zdravotných poisťovní reálne možné. Samosprávne kraje disponujú len informáciou o počte pridelených ulíc. Táto informácia je však už dnes nedostatočná. Z dôvodu správneho a efektívneho výkonu tejto povinnosti, a z dôvodu rovnomerného a spravodlivého zaťaženia všetkých poskytovateľov sú nevyhnutné ďalšie informácie, napr. počet </w:t>
      </w:r>
      <w:proofErr w:type="spellStart"/>
      <w:r w:rsidRPr="00CA2CA7">
        <w:rPr>
          <w:rFonts w:ascii="Times New Roman" w:hAnsi="Times New Roman"/>
        </w:rPr>
        <w:t>kapitovaných</w:t>
      </w:r>
      <w:proofErr w:type="spellEnd"/>
      <w:r w:rsidRPr="00CA2CA7">
        <w:rPr>
          <w:rFonts w:ascii="Times New Roman" w:hAnsi="Times New Roman"/>
        </w:rPr>
        <w:t xml:space="preserve">, resp. počty mesačne ošetrených pacientov. Takisto je nevyhnutná spolupráca pri preverovaní porušenia § 12 ods. 2 písm. a) (odmietnutie pacienta </w:t>
      </w:r>
      <w:r w:rsidRPr="00CA2CA7">
        <w:rPr>
          <w:rFonts w:ascii="Times New Roman" w:hAnsi="Times New Roman"/>
        </w:rPr>
        <w:lastRenderedPageBreak/>
        <w:t xml:space="preserve">z dôvodu neúnosného pracovného zaťaženia), kedy jedine v spolupráci so zdravotnými poisťovňami vie samosprávny kraj efektívne preveriť skutkový stav. </w:t>
      </w:r>
    </w:p>
    <w:p w14:paraId="1A9D9894" w14:textId="77777777" w:rsidR="00204A1C" w:rsidRDefault="00204A1C" w:rsidP="00344E5A">
      <w:pPr>
        <w:spacing w:after="0" w:line="240" w:lineRule="auto"/>
        <w:ind w:firstLine="709"/>
        <w:jc w:val="both"/>
        <w:rPr>
          <w:rFonts w:ascii="Times New Roman" w:hAnsi="Times New Roman"/>
        </w:rPr>
      </w:pPr>
      <w:r w:rsidRPr="00CA2CA7">
        <w:rPr>
          <w:rFonts w:ascii="Times New Roman" w:hAnsi="Times New Roman"/>
        </w:rPr>
        <w:t>V nadväznosti na zmeny v § 43a zákona č. 581/2004 Z. z. sa navrhuje umožniť poskytovateľovi právo na náležitú obranu a rovnovážny stav v právnom postavení poskytovateľa voči tretím osobám pri sprístupňovaní údajov zo zdravotnej dokumentácie znalcovi za účelom vypracovania znaleckého posudku. Súčasné znenie ustanovenia § 25 odsek 1 písmeno j)</w:t>
      </w:r>
      <w:r w:rsidR="00126270" w:rsidRPr="00CA2CA7">
        <w:rPr>
          <w:rFonts w:ascii="Times New Roman" w:hAnsi="Times New Roman"/>
        </w:rPr>
        <w:t xml:space="preserve"> zákona č. 576/2004 Z. z. o zdravotnej starostlivosti, </w:t>
      </w:r>
      <w:r w:rsidR="00126270" w:rsidRPr="00CA2CA7">
        <w:rPr>
          <w:rFonts w:ascii="Times New Roman" w:hAnsi="Times New Roman"/>
          <w:bCs/>
          <w:color w:val="000000"/>
          <w:shd w:val="clear" w:color="auto" w:fill="FFFFFF"/>
        </w:rPr>
        <w:t>službách súvisiacich s poskytovaním zdravotnej starostlivosti a o zmene a doplnení niektorých zákonov</w:t>
      </w:r>
      <w:r w:rsidRPr="00CA2CA7">
        <w:rPr>
          <w:rFonts w:ascii="Times New Roman" w:hAnsi="Times New Roman"/>
        </w:rPr>
        <w:t xml:space="preserve"> neumožňovalo poskytovateľovi zdravotnej starostlivosti v rámci prostriedkov svojej obrany pri preskúmavaní podnetov, obsahom ktorých je podozrenie z jeho nesprávneho postupu pri poskytovaní zdravotnej starostlivosti, sprístupňovanie údajov zo zdravotnej dokumentácie znalcovi, za účelom vypracovania znaleckého posudku. </w:t>
      </w:r>
    </w:p>
    <w:p w14:paraId="2AF31A38" w14:textId="77777777" w:rsidR="00E50B83" w:rsidRPr="00CA2CA7" w:rsidRDefault="00E50B83" w:rsidP="00344E5A">
      <w:pPr>
        <w:spacing w:after="0" w:line="240" w:lineRule="auto"/>
        <w:ind w:firstLine="709"/>
        <w:jc w:val="both"/>
        <w:rPr>
          <w:rFonts w:ascii="Times New Roman" w:hAnsi="Times New Roman"/>
        </w:rPr>
      </w:pPr>
    </w:p>
    <w:p w14:paraId="4B418F84" w14:textId="77777777" w:rsidR="00204A1C" w:rsidRPr="00CA2CA7" w:rsidRDefault="00204A1C" w:rsidP="00344E5A">
      <w:pPr>
        <w:spacing w:after="0" w:line="240" w:lineRule="auto"/>
        <w:ind w:firstLine="709"/>
        <w:jc w:val="both"/>
        <w:rPr>
          <w:rFonts w:ascii="Times New Roman" w:hAnsi="Times New Roman"/>
        </w:rPr>
      </w:pPr>
      <w:r w:rsidRPr="00CA2CA7">
        <w:rPr>
          <w:rFonts w:ascii="Times New Roman" w:hAnsi="Times New Roman"/>
        </w:rPr>
        <w:t>Prijatie predloženého návrhu zákona v súlade s doložkou vybraných vplyvov nebude mať vplyvy na rozpočet verejnej správy, na podnikateľské prostredie, sociálne vplyvy a  vplyvy na manželstvo, rodičovstvo a rodinu, návrh zákona nebude mať vplyv na informatizáciu spoločnosti, návrh zákona nebude mať vplyv na životné prostredie, a ani vplyvy na služby verejnej správy pre občana.</w:t>
      </w:r>
    </w:p>
    <w:p w14:paraId="2D2B8522" w14:textId="77777777" w:rsidR="00204A1C" w:rsidRPr="00CA2CA7" w:rsidRDefault="00204A1C" w:rsidP="00344E5A">
      <w:pPr>
        <w:spacing w:after="0" w:line="240" w:lineRule="auto"/>
        <w:ind w:firstLine="709"/>
        <w:jc w:val="both"/>
        <w:rPr>
          <w:rFonts w:ascii="Times New Roman" w:hAnsi="Times New Roman"/>
        </w:rPr>
      </w:pPr>
    </w:p>
    <w:p w14:paraId="799F3C72" w14:textId="77777777" w:rsidR="00F349BA" w:rsidRPr="00CA2CA7" w:rsidRDefault="00204A1C" w:rsidP="00344E5A">
      <w:pPr>
        <w:spacing w:after="0" w:line="240" w:lineRule="auto"/>
        <w:ind w:firstLine="708"/>
        <w:jc w:val="both"/>
        <w:rPr>
          <w:rFonts w:ascii="Times New Roman" w:hAnsi="Times New Roman"/>
        </w:rPr>
      </w:pPr>
      <w:r w:rsidRPr="00CA2CA7">
        <w:rPr>
          <w:rFonts w:ascii="Times New Roman" w:hAnsi="Times New Roman"/>
        </w:rPr>
        <w:t>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w:t>
      </w:r>
    </w:p>
    <w:sectPr w:rsidR="00F349BA" w:rsidRPr="00CA2C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16BB5" w14:textId="77777777" w:rsidR="003D3B3B" w:rsidRDefault="003D3B3B" w:rsidP="0083217B">
      <w:pPr>
        <w:spacing w:after="0" w:line="240" w:lineRule="auto"/>
      </w:pPr>
      <w:r>
        <w:separator/>
      </w:r>
    </w:p>
  </w:endnote>
  <w:endnote w:type="continuationSeparator" w:id="0">
    <w:p w14:paraId="6A5DF6E9" w14:textId="77777777" w:rsidR="003D3B3B" w:rsidRDefault="003D3B3B" w:rsidP="0083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3579"/>
      <w:docPartObj>
        <w:docPartGallery w:val="Page Numbers (Bottom of Page)"/>
        <w:docPartUnique/>
      </w:docPartObj>
    </w:sdtPr>
    <w:sdtEndPr/>
    <w:sdtContent>
      <w:p w14:paraId="34E39144" w14:textId="5CDB4F60" w:rsidR="0083217B" w:rsidRDefault="0083217B">
        <w:pPr>
          <w:pStyle w:val="Pta"/>
          <w:jc w:val="center"/>
        </w:pPr>
        <w:r>
          <w:fldChar w:fldCharType="begin"/>
        </w:r>
        <w:r>
          <w:instrText>PAGE   \* MERGEFORMAT</w:instrText>
        </w:r>
        <w:r>
          <w:fldChar w:fldCharType="separate"/>
        </w:r>
        <w:r w:rsidR="00E23A34">
          <w:rPr>
            <w:noProof/>
          </w:rPr>
          <w:t>2</w:t>
        </w:r>
        <w:r>
          <w:fldChar w:fldCharType="end"/>
        </w:r>
      </w:p>
    </w:sdtContent>
  </w:sdt>
  <w:p w14:paraId="1948BBBE" w14:textId="77777777" w:rsidR="0083217B" w:rsidRDefault="0083217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60205" w14:textId="77777777" w:rsidR="003D3B3B" w:rsidRDefault="003D3B3B" w:rsidP="0083217B">
      <w:pPr>
        <w:spacing w:after="0" w:line="240" w:lineRule="auto"/>
      </w:pPr>
      <w:r>
        <w:separator/>
      </w:r>
    </w:p>
  </w:footnote>
  <w:footnote w:type="continuationSeparator" w:id="0">
    <w:p w14:paraId="324E2174" w14:textId="77777777" w:rsidR="003D3B3B" w:rsidRDefault="003D3B3B" w:rsidP="00832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27BCC"/>
    <w:multiLevelType w:val="hybridMultilevel"/>
    <w:tmpl w:val="3BA8F66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7BF1D1A"/>
    <w:multiLevelType w:val="hybridMultilevel"/>
    <w:tmpl w:val="A6B8768E"/>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98401FA"/>
    <w:multiLevelType w:val="hybridMultilevel"/>
    <w:tmpl w:val="299C9BE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3F9D2B0A"/>
    <w:multiLevelType w:val="hybridMultilevel"/>
    <w:tmpl w:val="94A294E0"/>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4" w15:restartNumberingAfterBreak="0">
    <w:nsid w:val="4E805000"/>
    <w:multiLevelType w:val="hybridMultilevel"/>
    <w:tmpl w:val="CE0AED5A"/>
    <w:lvl w:ilvl="0" w:tplc="58F07BB0">
      <w:start w:val="1"/>
      <w:numFmt w:val="decimal"/>
      <w:lvlText w:val="%1."/>
      <w:lvlJc w:val="left"/>
      <w:pPr>
        <w:ind w:left="1080" w:hanging="360"/>
      </w:pPr>
      <w:rPr>
        <w:rFonts w:hint="default"/>
        <w:b/>
        <w:i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553A4AE1"/>
    <w:multiLevelType w:val="hybridMultilevel"/>
    <w:tmpl w:val="8B3286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16D658F"/>
    <w:multiLevelType w:val="hybridMultilevel"/>
    <w:tmpl w:val="8CBC9912"/>
    <w:lvl w:ilvl="0" w:tplc="F4424EC0">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62425194"/>
    <w:multiLevelType w:val="hybridMultilevel"/>
    <w:tmpl w:val="E0BE94EC"/>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F5"/>
    <w:rsid w:val="000B3650"/>
    <w:rsid w:val="00126270"/>
    <w:rsid w:val="001F26DB"/>
    <w:rsid w:val="00204A1C"/>
    <w:rsid w:val="00344E5A"/>
    <w:rsid w:val="003D3B3B"/>
    <w:rsid w:val="00414036"/>
    <w:rsid w:val="004846B0"/>
    <w:rsid w:val="00560DF5"/>
    <w:rsid w:val="00686FB2"/>
    <w:rsid w:val="00732C42"/>
    <w:rsid w:val="007B33B2"/>
    <w:rsid w:val="0083217B"/>
    <w:rsid w:val="008D2391"/>
    <w:rsid w:val="009C6731"/>
    <w:rsid w:val="00B81CB8"/>
    <w:rsid w:val="00CA2CA7"/>
    <w:rsid w:val="00CA7583"/>
    <w:rsid w:val="00E23A34"/>
    <w:rsid w:val="00E328D0"/>
    <w:rsid w:val="00E50B83"/>
    <w:rsid w:val="00EC64D2"/>
    <w:rsid w:val="00F32956"/>
    <w:rsid w:val="00F349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30D8"/>
  <w15:chartTrackingRefBased/>
  <w15:docId w15:val="{84909007-F640-412B-A5EA-BA909389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6731"/>
    <w:pPr>
      <w:spacing w:after="200" w:line="276" w:lineRule="auto"/>
      <w:jc w:val="left"/>
    </w:pPr>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List Paragraph1"/>
    <w:basedOn w:val="Normlny"/>
    <w:link w:val="OdsekzoznamuChar"/>
    <w:uiPriority w:val="34"/>
    <w:qFormat/>
    <w:rsid w:val="00686FB2"/>
    <w:pPr>
      <w:ind w:left="720"/>
      <w:contextualSpacing/>
    </w:p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686FB2"/>
    <w:rPr>
      <w:rFonts w:eastAsiaTheme="minorEastAsia" w:cs="Times New Roman"/>
      <w:lang w:eastAsia="sk-SK"/>
    </w:rPr>
  </w:style>
  <w:style w:type="character" w:styleId="Zstupntext">
    <w:name w:val="Placeholder Text"/>
    <w:basedOn w:val="Predvolenpsmoodseku"/>
    <w:uiPriority w:val="99"/>
    <w:qFormat/>
    <w:rsid w:val="00686FB2"/>
    <w:rPr>
      <w:rFonts w:ascii="Times New Roman" w:hAnsi="Times New Roman" w:cs="Times New Roman"/>
      <w:color w:val="808080"/>
    </w:rPr>
  </w:style>
  <w:style w:type="paragraph" w:styleId="Normlnywebov">
    <w:name w:val="Normal (Web)"/>
    <w:aliases w:val="webb"/>
    <w:basedOn w:val="Normlny"/>
    <w:uiPriority w:val="99"/>
    <w:unhideWhenUsed/>
    <w:qFormat/>
    <w:rsid w:val="00E328D0"/>
    <w:pPr>
      <w:spacing w:before="100" w:beforeAutospacing="1" w:after="100" w:afterAutospacing="1" w:line="240" w:lineRule="auto"/>
    </w:pPr>
    <w:rPr>
      <w:rFonts w:ascii="Times New Roman" w:hAnsi="Times New Roman"/>
      <w:sz w:val="24"/>
      <w:szCs w:val="24"/>
      <w:lang w:val="cs-CZ"/>
    </w:rPr>
  </w:style>
  <w:style w:type="paragraph" w:styleId="Hlavika">
    <w:name w:val="header"/>
    <w:basedOn w:val="Normlny"/>
    <w:link w:val="HlavikaChar"/>
    <w:uiPriority w:val="99"/>
    <w:unhideWhenUsed/>
    <w:rsid w:val="00E328D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328D0"/>
    <w:rPr>
      <w:rFonts w:eastAsiaTheme="minorEastAsia" w:cs="Times New Roman"/>
      <w:lang w:eastAsia="sk-SK"/>
    </w:rPr>
  </w:style>
  <w:style w:type="paragraph" w:customStyle="1" w:styleId="Default">
    <w:name w:val="Default"/>
    <w:rsid w:val="00E328D0"/>
    <w:pPr>
      <w:autoSpaceDE w:val="0"/>
      <w:autoSpaceDN w:val="0"/>
      <w:adjustRightInd w:val="0"/>
      <w:spacing w:after="0" w:line="240" w:lineRule="auto"/>
      <w:jc w:val="left"/>
    </w:pPr>
    <w:rPr>
      <w:rFonts w:ascii="Times New Roman" w:hAnsi="Times New Roman" w:cs="Times New Roman"/>
      <w:color w:val="000000"/>
      <w:sz w:val="24"/>
      <w:szCs w:val="24"/>
    </w:rPr>
  </w:style>
  <w:style w:type="character" w:styleId="Siln">
    <w:name w:val="Strong"/>
    <w:uiPriority w:val="22"/>
    <w:qFormat/>
    <w:rsid w:val="00E328D0"/>
    <w:rPr>
      <w:b/>
      <w:bCs/>
    </w:rPr>
  </w:style>
  <w:style w:type="paragraph" w:styleId="Textkomentra">
    <w:name w:val="annotation text"/>
    <w:basedOn w:val="Normlny"/>
    <w:link w:val="TextkomentraChar"/>
    <w:uiPriority w:val="99"/>
    <w:unhideWhenUsed/>
    <w:rsid w:val="00732C42"/>
    <w:pPr>
      <w:spacing w:line="240" w:lineRule="auto"/>
    </w:pPr>
    <w:rPr>
      <w:sz w:val="20"/>
      <w:szCs w:val="20"/>
    </w:rPr>
  </w:style>
  <w:style w:type="character" w:customStyle="1" w:styleId="TextkomentraChar">
    <w:name w:val="Text komentára Char"/>
    <w:basedOn w:val="Predvolenpsmoodseku"/>
    <w:link w:val="Textkomentra"/>
    <w:uiPriority w:val="99"/>
    <w:rsid w:val="00732C42"/>
    <w:rPr>
      <w:rFonts w:eastAsiaTheme="minorEastAsia" w:cs="Times New Roman"/>
      <w:sz w:val="20"/>
      <w:szCs w:val="20"/>
      <w:lang w:eastAsia="sk-SK"/>
    </w:rPr>
  </w:style>
  <w:style w:type="paragraph" w:customStyle="1" w:styleId="xmsonormal">
    <w:name w:val="x_msonormal"/>
    <w:basedOn w:val="Normlny"/>
    <w:rsid w:val="00732C42"/>
    <w:pPr>
      <w:spacing w:before="100" w:beforeAutospacing="1" w:after="100" w:afterAutospacing="1" w:line="240" w:lineRule="auto"/>
    </w:pPr>
    <w:rPr>
      <w:rFonts w:ascii="Times New Roman" w:eastAsia="Times New Roman" w:hAnsi="Times New Roman"/>
      <w:sz w:val="24"/>
      <w:szCs w:val="24"/>
    </w:rPr>
  </w:style>
  <w:style w:type="paragraph" w:styleId="Pta">
    <w:name w:val="footer"/>
    <w:basedOn w:val="Normlny"/>
    <w:link w:val="PtaChar"/>
    <w:uiPriority w:val="99"/>
    <w:unhideWhenUsed/>
    <w:rsid w:val="0083217B"/>
    <w:pPr>
      <w:tabs>
        <w:tab w:val="center" w:pos="4536"/>
        <w:tab w:val="right" w:pos="9072"/>
      </w:tabs>
      <w:spacing w:after="0" w:line="240" w:lineRule="auto"/>
    </w:pPr>
  </w:style>
  <w:style w:type="character" w:customStyle="1" w:styleId="PtaChar">
    <w:name w:val="Päta Char"/>
    <w:basedOn w:val="Predvolenpsmoodseku"/>
    <w:link w:val="Pta"/>
    <w:uiPriority w:val="99"/>
    <w:rsid w:val="0083217B"/>
    <w:rPr>
      <w:rFonts w:eastAsiaTheme="minorEastAsia"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ôvodová-správa-(všeobecná)"/>
    <f:field ref="objsubject" par="" edit="true" text=""/>
    <f:field ref="objcreatedby" par="" text="Vincová, Veronika, Mgr."/>
    <f:field ref="objcreatedat" par="" text="21.7.2020 15:54:31"/>
    <f:field ref="objchangedby" par="" text="Administrator, System"/>
    <f:field ref="objmodifiedat" par="" text="21.7.2020 15:54:3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960</Words>
  <Characters>5474</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Valeková Veronika</dc:creator>
  <cp:keywords/>
  <dc:description/>
  <cp:lastModifiedBy>Szakácsová Zuzana</cp:lastModifiedBy>
  <cp:revision>3</cp:revision>
  <dcterms:created xsi:type="dcterms:W3CDTF">2020-09-23T12:37:00Z</dcterms:created>
  <dcterms:modified xsi:type="dcterms:W3CDTF">2020-09-23T12:43:00Z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Veronika Vincová</vt:lpwstr>
  </property>
  <property fmtid="{D5CDD505-2E9C-101B-9397-08002B2CF9AE}" pid="12" name="FSC#SKEDITIONSLOVLEX@103.510:zodppredkladatel">
    <vt:lpwstr>Marek Krajčí</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581/2004 Z. z. o zdravotných poisťovniach, dohľade nad zdravotnou starostlivosťou a o zmene a doplnení niektorých zákonov v znení neskorších predpisov a ktorým sa dopĺňa zákon č. 576/2004 Z. z. o zdravotnej starostlivos</vt:lpwstr>
  </property>
  <property fmtid="{D5CDD505-2E9C-101B-9397-08002B2CF9AE}" pid="15" name="FSC#SKEDITIONSLOVLEX@103.510:nazovpredpis1">
    <vt:lpwstr>ti, službách súvisiacich s poskytovaním zdravotnej starostlivosti a o zmene a doplnení niektorých zákonov v znení neskorších predpisov</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Ministerstvo zdravotníctva Slovenskej republiky, Ministerstvo zdravotníctva Slovenskej republiky, Ministerstvo zdravotníctva Slovenskej republiky, Ministerstvo zdravotníctva Slovenskej republiky</vt:lpwstr>
  </property>
  <property fmtid="{D5CDD505-2E9C-101B-9397-08002B2CF9AE}" pid="21" name="FSC#SKEDITIONSLOVLEX@103.510:autorpredpis">
    <vt:lpwstr/>
  </property>
  <property fmtid="{D5CDD505-2E9C-101B-9397-08002B2CF9AE}" pid="22" name="FSC#SKEDITIONSLOVLEX@103.510:podnetpredpis">
    <vt:lpwstr>Na základe Plánu legislatívnych úloh vlády SR na rok 2020,_x000d_
úlohy č. ....na mesiac december 2020_x000d_
</vt:lpwstr>
  </property>
  <property fmtid="{D5CDD505-2E9C-101B-9397-08002B2CF9AE}" pid="23" name="FSC#SKEDITIONSLOVLEX@103.510:plnynazovpredpis">
    <vt:lpwstr> Zákon, ktorým sa mení a dopĺňa zákon č. 581/2004 Z. z. o zdravotných poisťovniach, dohľade nad zdravotnou starostlivosťou a o zmene a doplnení niektorých zákonov v znení neskorších predpisov a ktorým sa dopĺňa zákon č. 576/2004 Z. z. o zdravotnej starost</vt:lpwstr>
  </property>
  <property fmtid="{D5CDD505-2E9C-101B-9397-08002B2CF9AE}" pid="24" name="FSC#SKEDITIONSLOVLEX@103.510:plnynazovpredpis1">
    <vt:lpwstr>livosti, službách súvisiacich s poskytovaním zdravotnej starostlivosti a o zmene a doplnení niektorých zákonov v znení neskorších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S12767-2020-OL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LP/2020/289</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Marek Krajčí_x000d_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zákona, ktorým sa mení a dopĺňa zákon č. 581/2004 Z. z. o zdravotných poisťovniach, dohľade nad zdravotnou starostlivosťou a o zmene a doplnení niektorých zákonov v znení neskorších predpisov a ktorým sa dopĺňa zákon </vt:lpwstr>
  </property>
  <property fmtid="{D5CDD505-2E9C-101B-9397-08002B2CF9AE}" pid="150" name="FSC#SKEDITIONSLOVLEX@103.510:vytvorenedna">
    <vt:lpwstr>21. 7. 2020</vt:lpwstr>
  </property>
  <property fmtid="{D5CDD505-2E9C-101B-9397-08002B2CF9AE}" pid="151" name="FSC#COOSYSTEM@1.1:Container">
    <vt:lpwstr>COO.2145.1000.3.3938223</vt:lpwstr>
  </property>
  <property fmtid="{D5CDD505-2E9C-101B-9397-08002B2CF9AE}" pid="152" name="FSC#FSCFOLIO@1.1001:docpropproject">
    <vt:lpwstr/>
  </property>
</Properties>
</file>