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07" w:rsidRPr="002D766E" w:rsidRDefault="001C0C07" w:rsidP="001C0C07">
      <w:pPr>
        <w:spacing w:after="0" w:line="240" w:lineRule="auto"/>
        <w:jc w:val="center"/>
        <w:rPr>
          <w:rFonts w:ascii="Times New Roman" w:hAnsi="Times New Roman" w:cs="Times New Roman"/>
          <w:b/>
          <w:sz w:val="24"/>
          <w:szCs w:val="24"/>
        </w:rPr>
      </w:pPr>
      <w:r w:rsidRPr="002D766E">
        <w:rPr>
          <w:rFonts w:ascii="Times New Roman" w:hAnsi="Times New Roman" w:cs="Times New Roman"/>
          <w:b/>
          <w:sz w:val="24"/>
          <w:szCs w:val="24"/>
        </w:rPr>
        <w:t>Dôvodová správa</w:t>
      </w:r>
    </w:p>
    <w:p w:rsidR="001C0C07" w:rsidRPr="002D766E" w:rsidRDefault="001C0C07" w:rsidP="001C0C07">
      <w:pPr>
        <w:spacing w:after="0" w:line="240" w:lineRule="auto"/>
        <w:jc w:val="center"/>
        <w:rPr>
          <w:rFonts w:ascii="Times New Roman" w:hAnsi="Times New Roman" w:cs="Times New Roman"/>
          <w:b/>
          <w:sz w:val="24"/>
          <w:szCs w:val="24"/>
        </w:rPr>
      </w:pPr>
    </w:p>
    <w:p w:rsidR="001C0C07" w:rsidRPr="002D766E" w:rsidRDefault="001C0C07" w:rsidP="001C0C07">
      <w:pPr>
        <w:spacing w:after="0" w:line="240" w:lineRule="auto"/>
        <w:rPr>
          <w:rFonts w:ascii="Times New Roman" w:hAnsi="Times New Roman" w:cs="Times New Roman"/>
          <w:b/>
          <w:sz w:val="24"/>
          <w:szCs w:val="24"/>
        </w:rPr>
      </w:pPr>
      <w:r w:rsidRPr="002D766E">
        <w:rPr>
          <w:rFonts w:ascii="Times New Roman" w:hAnsi="Times New Roman" w:cs="Times New Roman"/>
          <w:b/>
          <w:sz w:val="24"/>
          <w:szCs w:val="24"/>
        </w:rPr>
        <w:t>Všeobecná časť</w:t>
      </w: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 xml:space="preserve">Ministerstvo financií SR, vychádzajúc z Plánu legislatívnych úloh vlády Slovenskej republiky </w:t>
      </w:r>
      <w:r w:rsidRPr="00892290">
        <w:rPr>
          <w:rFonts w:ascii="Times New Roman" w:hAnsi="Times New Roman" w:cs="Times New Roman"/>
          <w:sz w:val="24"/>
          <w:szCs w:val="24"/>
        </w:rPr>
        <w:t>na mesiace september až december 2020</w:t>
      </w:r>
      <w:r w:rsidRPr="002D766E">
        <w:rPr>
          <w:rFonts w:ascii="Times New Roman" w:hAnsi="Times New Roman" w:cs="Times New Roman"/>
          <w:sz w:val="24"/>
          <w:szCs w:val="24"/>
        </w:rPr>
        <w:t>, predkladá návrh zákona, ktorým sa mení a dopĺňa zákon č. 523/2004 Z. z. o</w:t>
      </w:r>
      <w:r w:rsidRPr="002D766E">
        <w:t> </w:t>
      </w:r>
      <w:r w:rsidRPr="002D766E">
        <w:rPr>
          <w:rFonts w:ascii="Times New Roman" w:hAnsi="Times New Roman" w:cs="Times New Roman"/>
          <w:sz w:val="24"/>
          <w:szCs w:val="24"/>
        </w:rPr>
        <w:t xml:space="preserve">rozpočtových pravidlách verejnej správy a o zmene a doplnení niektorých zákonov v znení neskorších predpisov (ďalej len „zákon“). </w:t>
      </w: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 xml:space="preserve">Predloženým návrhom zákona sa zabezpečuje plnenie úloh vyplývajúcich z Programového vyhlásenia vlády Slovenskej republiky na roky 2020 – 2024 vo vzťahu k posilneniu transparentnosti verejných financií. Dopĺňajú a precizujú sa pravidlá pre tvorbu a použitie rezerv v štátnom rozpočte, ktorými sa má dosiahnuť sprehľadnenie ich tvorby a použitia. Zároveň sa ustanovujú obsahové náležitosti informácie o hospodárení s rozpočtovými rezervami, ktorú predkladá vláda Slovenskej republiky Národnej rade Slovenskej republiky, čo prispeje k posilneniu transparentnosti vo vzťahu k hospodáreniu s rozpočtovými rezervami. </w:t>
      </w: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Návrhom zákona sa zabezpečuje, aby sa prognózy Výboru pre daňové prognózy v plnej miere preberali do návrhu rozpočtu verejnej správy, a to vypustením možnosti, aby návrh rozpočtu verejnej správy obsahoval daňové a odvodové príjmy štátneho rozpočtu, ktoré neboli obsiahnuté v prognóze Výboru pre daňové prognózy.</w:t>
      </w: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Novelou sa zároveň navrhuje upraviť jednotné pravidlá a podmienky poskytovania návratných finančných výpomocí zo štátnych finančných aktív, na základe ktorých návratnú finančnú výpomoc zo štátnych finančných aktív bude možné poskytnúť obciam, vyšším územným celkom a</w:t>
      </w:r>
      <w:r>
        <w:rPr>
          <w:rFonts w:ascii="Times New Roman" w:hAnsi="Times New Roman" w:cs="Times New Roman"/>
          <w:sz w:val="24"/>
          <w:szCs w:val="24"/>
        </w:rPr>
        <w:t> iným právnickým osobám</w:t>
      </w:r>
      <w:r w:rsidRPr="002D766E">
        <w:rPr>
          <w:rFonts w:ascii="Times New Roman" w:hAnsi="Times New Roman" w:cs="Times New Roman"/>
          <w:sz w:val="24"/>
          <w:szCs w:val="24"/>
        </w:rPr>
        <w:t>, a to len po predchádzajúcom súhlase vlády Slovenskej republiky.</w:t>
      </w: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 xml:space="preserve">Navrhuje sa tiež stanoviť povinnosť ministerstvu financií zverejňovať </w:t>
      </w:r>
      <w:r>
        <w:rPr>
          <w:rFonts w:ascii="Times New Roman" w:hAnsi="Times New Roman" w:cs="Times New Roman"/>
          <w:bCs/>
          <w:sz w:val="24"/>
          <w:szCs w:val="24"/>
        </w:rPr>
        <w:t>očakávanú skutočnosť</w:t>
      </w:r>
      <w:r w:rsidRPr="004871A5">
        <w:rPr>
          <w:rFonts w:ascii="Times New Roman" w:hAnsi="Times New Roman" w:cs="Times New Roman"/>
          <w:sz w:val="24"/>
          <w:szCs w:val="24"/>
        </w:rPr>
        <w:t xml:space="preserve"> bežného rozpočtového roka v porovnaní so schváleným rozpočtom verejnej správy na bežný rozpočtový rok</w:t>
      </w:r>
      <w:r w:rsidRPr="002D766E">
        <w:rPr>
          <w:rFonts w:ascii="Times New Roman" w:hAnsi="Times New Roman" w:cs="Times New Roman"/>
          <w:sz w:val="24"/>
          <w:szCs w:val="24"/>
        </w:rPr>
        <w:t>.</w:t>
      </w: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p>
    <w:p w:rsidR="001C0C07" w:rsidRPr="002D766E" w:rsidRDefault="001C0C07" w:rsidP="001C0C07">
      <w:pPr>
        <w:shd w:val="clear" w:color="auto" w:fill="FFFFFF"/>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Návrhom sa reaguje aj na potreby aplikačnej praxe, ako napríklad doplnenie desaťročnej objektívnej lehoty na uloženie odvodu, penále a pokuty za porušenie finančnej disciplíny, zvýšenie pokuty za porušenie povinností vyplývajúcich zo zákona, úprava postupov pri vypracovaní a hodnotení štúdie uskutočniteľnosti investície a štúdie uskutočniteľnosti koncesie.</w:t>
      </w:r>
    </w:p>
    <w:p w:rsidR="001C0C07" w:rsidRPr="002D766E" w:rsidRDefault="001C0C07" w:rsidP="001C0C07">
      <w:pPr>
        <w:spacing w:after="0" w:line="240" w:lineRule="auto"/>
        <w:jc w:val="both"/>
        <w:rPr>
          <w:rFonts w:ascii="Times New Roman" w:hAnsi="Times New Roman" w:cs="Times New Roman"/>
          <w:sz w:val="24"/>
          <w:szCs w:val="24"/>
        </w:rPr>
      </w:pPr>
    </w:p>
    <w:p w:rsidR="001C0C07" w:rsidRPr="002D766E" w:rsidRDefault="001C0C07" w:rsidP="001C0C07">
      <w:pPr>
        <w:spacing w:after="0" w:line="240" w:lineRule="auto"/>
        <w:jc w:val="both"/>
        <w:rPr>
          <w:rFonts w:ascii="Times New Roman" w:hAnsi="Times New Roman" w:cs="Times New Roman"/>
          <w:sz w:val="24"/>
          <w:szCs w:val="24"/>
        </w:rPr>
      </w:pPr>
      <w:r w:rsidRPr="002D766E">
        <w:rPr>
          <w:rFonts w:ascii="Times New Roman" w:hAnsi="Times New Roman" w:cs="Times New Roman"/>
          <w:sz w:val="24"/>
          <w:szCs w:val="24"/>
        </w:rPr>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rsidR="001C0C07" w:rsidRPr="002D766E" w:rsidRDefault="001C0C07" w:rsidP="001C0C07">
      <w:pPr>
        <w:spacing w:after="0" w:line="240" w:lineRule="auto"/>
        <w:jc w:val="both"/>
        <w:rPr>
          <w:rFonts w:ascii="Times New Roman" w:hAnsi="Times New Roman" w:cs="Times New Roman"/>
          <w:sz w:val="24"/>
          <w:szCs w:val="24"/>
        </w:rPr>
      </w:pPr>
    </w:p>
    <w:p w:rsidR="001C0C07" w:rsidRPr="002D766E" w:rsidRDefault="001C0C07" w:rsidP="001C0C07">
      <w:pPr>
        <w:pStyle w:val="Odsekzoznamu"/>
        <w:spacing w:after="0" w:line="240" w:lineRule="auto"/>
        <w:ind w:left="0"/>
        <w:contextualSpacing w:val="0"/>
        <w:jc w:val="both"/>
        <w:rPr>
          <w:rFonts w:ascii="Times New Roman" w:hAnsi="Times New Roman"/>
          <w:sz w:val="24"/>
          <w:szCs w:val="24"/>
        </w:rPr>
      </w:pPr>
      <w:r w:rsidRPr="002D766E">
        <w:rPr>
          <w:rFonts w:ascii="Times New Roman" w:hAnsi="Times New Roman"/>
          <w:sz w:val="24"/>
          <w:szCs w:val="24"/>
        </w:rPr>
        <w:t xml:space="preserve">Prijatie návrhu zákona nebude mať vplyv na rozpočet verejnej správy, na podnikateľské prostredie, na informatizáciu spoločnosti, sociálne vplyvy, vplyvy na životné prostredie, na služby verejnej správy pre občana a na manželstvo, rodičovstvo a rodinu. </w:t>
      </w:r>
    </w:p>
    <w:p w:rsidR="001C0C07" w:rsidRPr="002D766E" w:rsidRDefault="001C0C07" w:rsidP="001C0C07">
      <w:pPr>
        <w:spacing w:after="0" w:line="240" w:lineRule="auto"/>
        <w:jc w:val="both"/>
        <w:rPr>
          <w:rFonts w:ascii="Times New Roman" w:hAnsi="Times New Roman" w:cs="Times New Roman"/>
          <w:sz w:val="24"/>
          <w:szCs w:val="24"/>
        </w:rPr>
      </w:pPr>
    </w:p>
    <w:p w:rsidR="001C0C07" w:rsidRPr="002D766E" w:rsidRDefault="001C0C07" w:rsidP="001C0C07">
      <w:pPr>
        <w:pStyle w:val="Odsekzoznamu"/>
        <w:spacing w:after="0" w:line="240" w:lineRule="auto"/>
        <w:ind w:left="0"/>
        <w:contextualSpacing w:val="0"/>
        <w:jc w:val="both"/>
        <w:rPr>
          <w:rFonts w:ascii="Times New Roman" w:hAnsi="Times New Roman"/>
          <w:sz w:val="24"/>
          <w:szCs w:val="24"/>
        </w:rPr>
      </w:pPr>
      <w:r w:rsidRPr="002D766E">
        <w:rPr>
          <w:rFonts w:ascii="Times New Roman" w:hAnsi="Times New Roman"/>
          <w:sz w:val="24"/>
          <w:szCs w:val="24"/>
        </w:rPr>
        <w:t xml:space="preserve">Účinnosť návrhu zákona sa so zohľadnením dostatočnej </w:t>
      </w:r>
      <w:proofErr w:type="spellStart"/>
      <w:r w:rsidRPr="002D766E">
        <w:rPr>
          <w:rFonts w:ascii="Times New Roman" w:hAnsi="Times New Roman"/>
          <w:sz w:val="24"/>
          <w:szCs w:val="24"/>
        </w:rPr>
        <w:t>legisvakač</w:t>
      </w:r>
      <w:r>
        <w:rPr>
          <w:rFonts w:ascii="Times New Roman" w:hAnsi="Times New Roman"/>
          <w:sz w:val="24"/>
          <w:szCs w:val="24"/>
        </w:rPr>
        <w:t>nej</w:t>
      </w:r>
      <w:proofErr w:type="spellEnd"/>
      <w:r>
        <w:rPr>
          <w:rFonts w:ascii="Times New Roman" w:hAnsi="Times New Roman"/>
          <w:sz w:val="24"/>
          <w:szCs w:val="24"/>
        </w:rPr>
        <w:t xml:space="preserve"> lehoty navrhuje od </w:t>
      </w:r>
      <w:r w:rsidRPr="002D766E">
        <w:rPr>
          <w:rFonts w:ascii="Times New Roman" w:hAnsi="Times New Roman"/>
          <w:sz w:val="24"/>
          <w:szCs w:val="24"/>
        </w:rPr>
        <w:t>1. januára 2021.</w:t>
      </w:r>
    </w:p>
    <w:p w:rsidR="001C0C07" w:rsidRDefault="001C0C07">
      <w:r>
        <w:br w:type="page"/>
      </w:r>
    </w:p>
    <w:p w:rsidR="001C0C07" w:rsidRPr="00AB70E2" w:rsidRDefault="001C0C07" w:rsidP="001C0C07">
      <w:pPr>
        <w:jc w:val="center"/>
        <w:rPr>
          <w:rFonts w:ascii="Times New Roman" w:hAnsi="Times New Roman" w:cs="Times New Roman"/>
          <w:b/>
          <w:bCs/>
          <w:sz w:val="24"/>
          <w:szCs w:val="24"/>
        </w:rPr>
      </w:pPr>
      <w:r w:rsidRPr="00AB70E2">
        <w:rPr>
          <w:rFonts w:ascii="Times New Roman" w:hAnsi="Times New Roman" w:cs="Times New Roman"/>
          <w:b/>
          <w:bCs/>
          <w:sz w:val="24"/>
          <w:szCs w:val="24"/>
        </w:rPr>
        <w:lastRenderedPageBreak/>
        <w:t>Doložka vybraných vplyvov</w:t>
      </w:r>
    </w:p>
    <w:p w:rsidR="001C0C07" w:rsidRPr="00AB70E2" w:rsidRDefault="001C0C07" w:rsidP="001C0C07">
      <w:pPr>
        <w:pStyle w:val="Odsekzoznamu"/>
        <w:ind w:left="426"/>
        <w:rPr>
          <w:rFonts w:ascii="Times New Roman" w:hAnsi="Times New Roman"/>
          <w:b/>
          <w:sz w:val="24"/>
          <w:szCs w:val="24"/>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Základné údaje</w:t>
            </w:r>
          </w:p>
        </w:tc>
      </w:tr>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ind w:left="142"/>
              <w:rPr>
                <w:rFonts w:ascii="Times New Roman" w:hAnsi="Times New Roman"/>
                <w:b/>
                <w:sz w:val="24"/>
                <w:szCs w:val="24"/>
              </w:rPr>
            </w:pPr>
            <w:r w:rsidRPr="00AB70E2">
              <w:rPr>
                <w:rFonts w:ascii="Times New Roman" w:hAnsi="Times New Roman"/>
                <w:b/>
                <w:sz w:val="24"/>
                <w:szCs w:val="24"/>
              </w:rPr>
              <w:t>Názov materiálu</w:t>
            </w:r>
          </w:p>
        </w:tc>
      </w:tr>
      <w:tr w:rsidR="001C0C07" w:rsidRPr="00AB70E2" w:rsidTr="0062675C">
        <w:tc>
          <w:tcPr>
            <w:tcW w:w="9180" w:type="dxa"/>
            <w:gridSpan w:val="10"/>
            <w:tcBorders>
              <w:top w:val="single" w:sz="4" w:space="0" w:color="FFFFFF" w:themeColor="background1"/>
            </w:tcBorders>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Návrh zákona, ktorým sa mení a dopĺňa zákon č. 523/2004 Z. z. o rozpočtových pravidlách verejnej správy a o zmene a doplnení niektorých zákonov v znení neskorších predpisov.</w:t>
            </w:r>
          </w:p>
          <w:p w:rsidR="001C0C07" w:rsidRPr="00AB70E2" w:rsidRDefault="001C0C07" w:rsidP="0062675C">
            <w:pPr>
              <w:rPr>
                <w:rFonts w:ascii="Times New Roman" w:hAnsi="Times New Roman"/>
                <w:sz w:val="24"/>
                <w:szCs w:val="24"/>
              </w:rPr>
            </w:pPr>
          </w:p>
        </w:tc>
      </w:tr>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ind w:left="142"/>
              <w:rPr>
                <w:rFonts w:ascii="Times New Roman" w:hAnsi="Times New Roman"/>
                <w:b/>
                <w:sz w:val="24"/>
                <w:szCs w:val="24"/>
              </w:rPr>
            </w:pPr>
            <w:r w:rsidRPr="00AB70E2">
              <w:rPr>
                <w:rFonts w:ascii="Times New Roman" w:hAnsi="Times New Roman"/>
                <w:b/>
                <w:sz w:val="24"/>
                <w:szCs w:val="24"/>
              </w:rPr>
              <w:t>Predkladateľ (a spolupredkladateľ)</w:t>
            </w:r>
          </w:p>
        </w:tc>
      </w:tr>
      <w:tr w:rsidR="001C0C07" w:rsidRPr="00AB70E2" w:rsidTr="0062675C">
        <w:tc>
          <w:tcPr>
            <w:tcW w:w="9180" w:type="dxa"/>
            <w:gridSpan w:val="10"/>
            <w:tcBorders>
              <w:top w:val="single" w:sz="4" w:space="0" w:color="FFFFFF" w:themeColor="background1"/>
            </w:tcBorders>
            <w:shd w:val="clear" w:color="auto" w:fill="FFFFFF" w:themeFill="background1"/>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Ministerstvo financií SR</w:t>
            </w:r>
          </w:p>
          <w:p w:rsidR="001C0C07" w:rsidRPr="00AB70E2" w:rsidRDefault="001C0C07" w:rsidP="0062675C">
            <w:pPr>
              <w:rPr>
                <w:rFonts w:ascii="Times New Roman" w:hAnsi="Times New Roman"/>
                <w:sz w:val="24"/>
                <w:szCs w:val="24"/>
              </w:rPr>
            </w:pPr>
          </w:p>
        </w:tc>
      </w:tr>
      <w:tr w:rsidR="001C0C07" w:rsidRPr="00AB70E2" w:rsidTr="0062675C">
        <w:tc>
          <w:tcPr>
            <w:tcW w:w="4212" w:type="dxa"/>
            <w:gridSpan w:val="2"/>
            <w:vMerge w:val="restart"/>
            <w:tcBorders>
              <w:bottom w:val="single" w:sz="4" w:space="0" w:color="FFFFFF" w:themeColor="background1"/>
            </w:tcBorders>
            <w:shd w:val="clear" w:color="auto" w:fill="E2E2E2"/>
            <w:vAlign w:val="center"/>
          </w:tcPr>
          <w:p w:rsidR="001C0C07" w:rsidRPr="00AB70E2" w:rsidRDefault="001C0C07" w:rsidP="0062675C">
            <w:pPr>
              <w:pStyle w:val="Odsekzoznamu"/>
              <w:ind w:left="142"/>
              <w:rPr>
                <w:rFonts w:ascii="Times New Roman" w:hAnsi="Times New Roman"/>
                <w:b/>
                <w:sz w:val="24"/>
                <w:szCs w:val="24"/>
              </w:rPr>
            </w:pPr>
            <w:r w:rsidRPr="00AB70E2">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Materiál nelegislatívnej povahy</w:t>
            </w:r>
          </w:p>
        </w:tc>
      </w:tr>
      <w:tr w:rsidR="001C0C07" w:rsidRPr="00AB70E2" w:rsidTr="0062675C">
        <w:tc>
          <w:tcPr>
            <w:tcW w:w="4212" w:type="dxa"/>
            <w:gridSpan w:val="2"/>
            <w:vMerge/>
            <w:tcBorders>
              <w:top w:val="nil"/>
              <w:bottom w:val="single" w:sz="4" w:space="0" w:color="FFFFFF" w:themeColor="background1"/>
            </w:tcBorders>
            <w:shd w:val="clear" w:color="auto" w:fill="E2E2E2"/>
          </w:tcPr>
          <w:p w:rsidR="001C0C07" w:rsidRPr="00AB70E2" w:rsidRDefault="001C0C07" w:rsidP="0062675C">
            <w:pPr>
              <w:rPr>
                <w:rFonts w:ascii="Times New Roman" w:hAnsi="Times New Roman"/>
                <w:sz w:val="24"/>
                <w:szCs w:val="24"/>
              </w:rPr>
            </w:pPr>
          </w:p>
        </w:tc>
        <w:tc>
          <w:tcPr>
            <w:tcW w:w="705" w:type="dxa"/>
            <w:gridSpan w:val="2"/>
            <w:tcBorders>
              <w:right w:val="nil"/>
            </w:tcBorders>
            <w:shd w:val="clear" w:color="auto" w:fill="FFFFFF" w:themeFill="background1"/>
          </w:tcPr>
          <w:p w:rsidR="001C0C07" w:rsidRPr="00AB70E2" w:rsidRDefault="001C0C07" w:rsidP="0062675C">
            <w:pPr>
              <w:jc w:val="center"/>
              <w:rPr>
                <w:rFonts w:ascii="Times New Roman" w:hAnsi="Times New Roman"/>
                <w:sz w:val="24"/>
                <w:szCs w:val="24"/>
              </w:rPr>
            </w:pPr>
            <w:r w:rsidRPr="00AB70E2">
              <w:rPr>
                <w:rFonts w:ascii="Segoe UI Symbol" w:eastAsia="MS Gothic" w:hAnsi="Segoe UI Symbol" w:cs="Segoe UI Symbol"/>
                <w:sz w:val="24"/>
                <w:szCs w:val="24"/>
              </w:rPr>
              <w:t>☒</w:t>
            </w:r>
          </w:p>
        </w:tc>
        <w:tc>
          <w:tcPr>
            <w:tcW w:w="4263" w:type="dxa"/>
            <w:gridSpan w:val="6"/>
            <w:tcBorders>
              <w:left w:val="nil"/>
            </w:tcBorders>
            <w:shd w:val="clear" w:color="auto" w:fill="FFFFFF" w:themeFill="background1"/>
          </w:tcPr>
          <w:p w:rsidR="001C0C07" w:rsidRPr="00AB70E2" w:rsidRDefault="001C0C07" w:rsidP="0062675C">
            <w:pPr>
              <w:ind w:left="175" w:hanging="175"/>
              <w:rPr>
                <w:rFonts w:ascii="Times New Roman" w:hAnsi="Times New Roman"/>
                <w:sz w:val="24"/>
                <w:szCs w:val="24"/>
              </w:rPr>
            </w:pPr>
            <w:r w:rsidRPr="00AB70E2">
              <w:rPr>
                <w:rFonts w:ascii="Times New Roman" w:hAnsi="Times New Roman"/>
                <w:sz w:val="24"/>
                <w:szCs w:val="24"/>
              </w:rPr>
              <w:t>Materiál legislatívnej povahy</w:t>
            </w:r>
          </w:p>
        </w:tc>
      </w:tr>
      <w:tr w:rsidR="001C0C07" w:rsidRPr="00AB70E2" w:rsidTr="0062675C">
        <w:tc>
          <w:tcPr>
            <w:tcW w:w="4212" w:type="dxa"/>
            <w:gridSpan w:val="2"/>
            <w:vMerge/>
            <w:tcBorders>
              <w:top w:val="nil"/>
            </w:tcBorders>
            <w:shd w:val="clear" w:color="auto" w:fill="E2E2E2"/>
          </w:tcPr>
          <w:p w:rsidR="001C0C07" w:rsidRPr="00AB70E2" w:rsidRDefault="001C0C07" w:rsidP="0062675C">
            <w:pPr>
              <w:rPr>
                <w:rFonts w:ascii="Times New Roman" w:hAnsi="Times New Roman"/>
                <w:sz w:val="24"/>
                <w:szCs w:val="24"/>
              </w:rPr>
            </w:pPr>
          </w:p>
        </w:tc>
        <w:tc>
          <w:tcPr>
            <w:tcW w:w="705" w:type="dxa"/>
            <w:gridSpan w:val="2"/>
            <w:tcBorders>
              <w:right w:val="nil"/>
            </w:tcBorders>
            <w:shd w:val="clear" w:color="auto" w:fill="FFFFFF" w:themeFill="background1"/>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Transpozícia práva EÚ</w:t>
            </w:r>
          </w:p>
        </w:tc>
      </w:tr>
      <w:tr w:rsidR="001C0C07" w:rsidRPr="00AB70E2" w:rsidTr="0062675C">
        <w:tc>
          <w:tcPr>
            <w:tcW w:w="9180" w:type="dxa"/>
            <w:gridSpan w:val="10"/>
            <w:tcBorders>
              <w:bottom w:val="single" w:sz="4" w:space="0" w:color="FFFFFF" w:themeColor="background1"/>
            </w:tcBorders>
            <w:shd w:val="clear" w:color="auto" w:fill="FFFFFF" w:themeFill="background1"/>
          </w:tcPr>
          <w:p w:rsidR="001C0C07" w:rsidRPr="00AB70E2" w:rsidRDefault="001C0C07" w:rsidP="0062675C">
            <w:pPr>
              <w:rPr>
                <w:rFonts w:ascii="Times New Roman" w:hAnsi="Times New Roman"/>
                <w:i/>
                <w:sz w:val="24"/>
                <w:szCs w:val="24"/>
              </w:rPr>
            </w:pPr>
            <w:r w:rsidRPr="00AB70E2">
              <w:rPr>
                <w:rFonts w:ascii="Times New Roman" w:hAnsi="Times New Roman"/>
                <w:i/>
                <w:sz w:val="24"/>
                <w:szCs w:val="24"/>
              </w:rPr>
              <w:t>V prípade transpozície uveďte zoznam transponovaných predpisov:</w:t>
            </w:r>
          </w:p>
          <w:p w:rsidR="001C0C07" w:rsidRPr="00AB70E2" w:rsidRDefault="001C0C07" w:rsidP="0062675C">
            <w:pPr>
              <w:rPr>
                <w:rFonts w:ascii="Times New Roman" w:hAnsi="Times New Roman"/>
                <w:sz w:val="24"/>
                <w:szCs w:val="24"/>
              </w:rPr>
            </w:pPr>
          </w:p>
          <w:p w:rsidR="001C0C07" w:rsidRPr="00AB70E2" w:rsidRDefault="001C0C07" w:rsidP="0062675C">
            <w:pPr>
              <w:rPr>
                <w:rFonts w:ascii="Times New Roman" w:hAnsi="Times New Roman"/>
                <w:sz w:val="24"/>
                <w:szCs w:val="24"/>
              </w:rPr>
            </w:pPr>
          </w:p>
        </w:tc>
      </w:tr>
      <w:tr w:rsidR="001C0C07" w:rsidRPr="00AB70E2" w:rsidTr="0062675C">
        <w:tc>
          <w:tcPr>
            <w:tcW w:w="5634" w:type="dxa"/>
            <w:gridSpan w:val="5"/>
            <w:tcBorders>
              <w:top w:val="single" w:sz="4" w:space="0" w:color="000000" w:themeColor="text1"/>
              <w:bottom w:val="single" w:sz="4" w:space="0" w:color="FFFFFF" w:themeColor="background1"/>
            </w:tcBorders>
            <w:shd w:val="clear" w:color="auto" w:fill="E2E2E2"/>
          </w:tcPr>
          <w:p w:rsidR="001C0C07" w:rsidRPr="00AB70E2" w:rsidRDefault="001C0C07" w:rsidP="0062675C">
            <w:pPr>
              <w:pStyle w:val="Odsekzoznamu"/>
              <w:ind w:left="142"/>
              <w:rPr>
                <w:rFonts w:ascii="Times New Roman" w:hAnsi="Times New Roman"/>
                <w:b/>
                <w:sz w:val="24"/>
                <w:szCs w:val="24"/>
              </w:rPr>
            </w:pPr>
            <w:r w:rsidRPr="00AB70E2">
              <w:rPr>
                <w:rFonts w:ascii="Times New Roman" w:hAnsi="Times New Roman"/>
                <w:b/>
                <w:sz w:val="24"/>
                <w:szCs w:val="24"/>
              </w:rPr>
              <w:t>Termín začiatku a ukončenia PPK</w:t>
            </w:r>
          </w:p>
        </w:tc>
        <w:tc>
          <w:tcPr>
            <w:tcW w:w="3546" w:type="dxa"/>
            <w:gridSpan w:val="5"/>
            <w:tcBorders>
              <w:top w:val="single" w:sz="4" w:space="0" w:color="000000" w:themeColor="text1"/>
            </w:tcBorders>
          </w:tcPr>
          <w:p w:rsidR="001C0C07" w:rsidRPr="00AB70E2" w:rsidRDefault="001C0C07" w:rsidP="0062675C">
            <w:pPr>
              <w:rPr>
                <w:rFonts w:ascii="Times New Roman" w:hAnsi="Times New Roman"/>
                <w:i/>
                <w:sz w:val="24"/>
                <w:szCs w:val="24"/>
              </w:rPr>
            </w:pPr>
            <w:r w:rsidRPr="00AB70E2">
              <w:rPr>
                <w:rFonts w:ascii="Times New Roman" w:hAnsi="Times New Roman"/>
                <w:i/>
                <w:sz w:val="24"/>
                <w:szCs w:val="24"/>
              </w:rPr>
              <w:t>-</w:t>
            </w:r>
          </w:p>
        </w:tc>
      </w:tr>
      <w:tr w:rsidR="001C0C07" w:rsidRPr="00AB70E2" w:rsidTr="0062675C">
        <w:tc>
          <w:tcPr>
            <w:tcW w:w="5634" w:type="dxa"/>
            <w:gridSpan w:val="5"/>
            <w:tcBorders>
              <w:bottom w:val="single" w:sz="4" w:space="0" w:color="FFFFFF" w:themeColor="background1"/>
            </w:tcBorders>
            <w:shd w:val="clear" w:color="auto" w:fill="E2E2E2"/>
          </w:tcPr>
          <w:p w:rsidR="001C0C07" w:rsidRPr="00AB70E2" w:rsidRDefault="001C0C07" w:rsidP="0062675C">
            <w:pPr>
              <w:pStyle w:val="Odsekzoznamu"/>
              <w:ind w:left="142"/>
              <w:rPr>
                <w:rFonts w:ascii="Times New Roman" w:hAnsi="Times New Roman"/>
                <w:b/>
                <w:sz w:val="24"/>
                <w:szCs w:val="24"/>
              </w:rPr>
            </w:pPr>
            <w:r w:rsidRPr="00AB70E2">
              <w:rPr>
                <w:rFonts w:ascii="Times New Roman" w:hAnsi="Times New Roman"/>
                <w:b/>
                <w:sz w:val="24"/>
                <w:szCs w:val="24"/>
              </w:rPr>
              <w:t>Predpokladaný termín predloženia na MPK*</w:t>
            </w:r>
          </w:p>
        </w:tc>
        <w:tc>
          <w:tcPr>
            <w:tcW w:w="3546" w:type="dxa"/>
            <w:gridSpan w:val="5"/>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Začiatok: 21. 08. 2020</w:t>
            </w:r>
          </w:p>
          <w:p w:rsidR="001C0C07" w:rsidRPr="00AB70E2" w:rsidRDefault="001C0C07" w:rsidP="0062675C">
            <w:pPr>
              <w:rPr>
                <w:rFonts w:ascii="Times New Roman" w:hAnsi="Times New Roman"/>
                <w:sz w:val="24"/>
                <w:szCs w:val="24"/>
              </w:rPr>
            </w:pPr>
            <w:r w:rsidRPr="00AB70E2">
              <w:rPr>
                <w:rFonts w:ascii="Times New Roman" w:hAnsi="Times New Roman"/>
                <w:sz w:val="24"/>
                <w:szCs w:val="24"/>
              </w:rPr>
              <w:t>Koniec: 11. 09. 2020</w:t>
            </w:r>
          </w:p>
        </w:tc>
      </w:tr>
      <w:tr w:rsidR="001C0C07" w:rsidRPr="00AB70E2" w:rsidTr="0062675C">
        <w:tc>
          <w:tcPr>
            <w:tcW w:w="5634" w:type="dxa"/>
            <w:gridSpan w:val="5"/>
            <w:tcBorders>
              <w:bottom w:val="single" w:sz="4" w:space="0" w:color="FFFFFF" w:themeColor="background1"/>
            </w:tcBorders>
            <w:shd w:val="clear" w:color="auto" w:fill="E2E2E2"/>
          </w:tcPr>
          <w:p w:rsidR="001C0C07" w:rsidRPr="00AB70E2" w:rsidRDefault="001C0C07" w:rsidP="0062675C">
            <w:pPr>
              <w:pStyle w:val="Odsekzoznamu"/>
              <w:ind w:left="142"/>
              <w:rPr>
                <w:rFonts w:ascii="Times New Roman" w:hAnsi="Times New Roman"/>
                <w:b/>
                <w:sz w:val="24"/>
                <w:szCs w:val="24"/>
              </w:rPr>
            </w:pPr>
            <w:r w:rsidRPr="00AB70E2">
              <w:rPr>
                <w:rFonts w:ascii="Times New Roman" w:hAnsi="Times New Roman"/>
                <w:b/>
                <w:sz w:val="24"/>
                <w:szCs w:val="24"/>
              </w:rPr>
              <w:t>Predpokladaný termín predloženia na Rokovanie vlády SR*</w:t>
            </w:r>
          </w:p>
        </w:tc>
        <w:tc>
          <w:tcPr>
            <w:tcW w:w="3546" w:type="dxa"/>
            <w:gridSpan w:val="5"/>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september 2020</w:t>
            </w:r>
          </w:p>
        </w:tc>
      </w:tr>
      <w:tr w:rsidR="001C0C07" w:rsidRPr="00AB70E2" w:rsidTr="0062675C">
        <w:tc>
          <w:tcPr>
            <w:tcW w:w="9180" w:type="dxa"/>
            <w:gridSpan w:val="10"/>
            <w:tcBorders>
              <w:left w:val="nil"/>
              <w:right w:val="nil"/>
            </w:tcBorders>
            <w:shd w:val="clear" w:color="auto" w:fill="FFFFFF" w:themeFill="background1"/>
          </w:tcPr>
          <w:p w:rsidR="001C0C07" w:rsidRPr="00AB70E2" w:rsidRDefault="001C0C07" w:rsidP="0062675C">
            <w:pPr>
              <w:rPr>
                <w:rFonts w:ascii="Times New Roman" w:hAnsi="Times New Roman"/>
                <w:sz w:val="24"/>
                <w:szCs w:val="24"/>
              </w:rPr>
            </w:pPr>
          </w:p>
        </w:tc>
      </w:tr>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Definovanie problému</w:t>
            </w:r>
          </w:p>
        </w:tc>
      </w:tr>
      <w:tr w:rsidR="001C0C07" w:rsidRPr="00AB70E2" w:rsidTr="0062675C">
        <w:trPr>
          <w:trHeight w:val="718"/>
        </w:trPr>
        <w:tc>
          <w:tcPr>
            <w:tcW w:w="9180" w:type="dxa"/>
            <w:gridSpan w:val="10"/>
            <w:tcBorders>
              <w:top w:val="single" w:sz="4" w:space="0" w:color="FFFFFF" w:themeColor="background1"/>
            </w:tcBorders>
            <w:shd w:val="clear" w:color="auto" w:fill="FFFFFF" w:themeFill="background1"/>
          </w:tcPr>
          <w:p w:rsidR="001C0C07" w:rsidRPr="00AB70E2" w:rsidRDefault="001C0C07" w:rsidP="0062675C">
            <w:pPr>
              <w:jc w:val="both"/>
              <w:rPr>
                <w:rFonts w:ascii="Times New Roman" w:hAnsi="Times New Roman"/>
                <w:sz w:val="24"/>
                <w:szCs w:val="24"/>
              </w:rPr>
            </w:pPr>
            <w:r w:rsidRPr="00AB70E2">
              <w:rPr>
                <w:rFonts w:ascii="Times New Roman" w:hAnsi="Times New Roman"/>
                <w:sz w:val="24"/>
                <w:szCs w:val="24"/>
              </w:rPr>
              <w:t>Platná právna úprava zákona č. 523/2004 Z. z. týkajúca sa rozpočtových rezerv neupravuje taxatívny výpočet rozpočtových rezerv, ktoré sa vytvárajú v štátnom rozpočte a nevymedzuje obsah informácie o čerpaní rezerv štátneho rozpočtu. Zároveň platná právna úprava v rámci vymedzenia štátnych finančných aktív, ktoré spravuje Ministerstvo financií Slovenskej republiky bližšie nereguluje nakladanie s nimi vo vzťahu k  finančným operáciám, ktorými sú aj realizované návratné finančné výpomoci.</w:t>
            </w:r>
          </w:p>
          <w:p w:rsidR="001C0C07" w:rsidRPr="00AB70E2" w:rsidRDefault="001C0C07" w:rsidP="0062675C">
            <w:pPr>
              <w:jc w:val="both"/>
              <w:rPr>
                <w:rFonts w:ascii="Times New Roman" w:hAnsi="Times New Roman"/>
                <w:sz w:val="24"/>
                <w:szCs w:val="24"/>
              </w:rPr>
            </w:pPr>
            <w:r w:rsidRPr="00AB70E2">
              <w:rPr>
                <w:rFonts w:ascii="Times New Roman" w:hAnsi="Times New Roman"/>
                <w:sz w:val="24"/>
                <w:szCs w:val="24"/>
              </w:rPr>
              <w:t xml:space="preserve">Zákon č. 523/2004 Z. z. o rozpočtových pravidlách verejnej správy a o zmene a doplnení niektorých zákonov v znení neskorších predpisov umožňuje v prípade, ak návrh rozpočtu verejnej správy obsahuje daňové a odvodové príjmy, ktoré neboli obsiahnuté v prognóze Výboru pre daňové prognózy zohľadnenej v návrhu rozpočtu verejnej správy, použiť výdavky štátneho rozpočtu zodpovedajúce týmto príjmom, ak celková suma týchto príjmov je potvrdená v ďalšej prognóze Výboru pre daňové prognózy. </w:t>
            </w:r>
          </w:p>
          <w:p w:rsidR="001C0C07" w:rsidRPr="00AB70E2" w:rsidRDefault="001C0C07" w:rsidP="0062675C">
            <w:pPr>
              <w:jc w:val="both"/>
              <w:rPr>
                <w:rFonts w:ascii="Times New Roman" w:hAnsi="Times New Roman"/>
                <w:b/>
                <w:sz w:val="24"/>
                <w:szCs w:val="24"/>
              </w:rPr>
            </w:pPr>
            <w:r w:rsidRPr="00AB70E2">
              <w:rPr>
                <w:rFonts w:ascii="Times New Roman" w:hAnsi="Times New Roman"/>
                <w:sz w:val="24"/>
                <w:szCs w:val="24"/>
              </w:rPr>
              <w:t xml:space="preserve">V platnej právnej úprave absentuje úprava objektívnej lehoty na uloženie  odvodu, penále a pokuty za porušenie finančnej disciplíny. </w:t>
            </w:r>
          </w:p>
        </w:tc>
      </w:tr>
      <w:tr w:rsidR="001C0C07" w:rsidRPr="00AB70E2" w:rsidTr="0062675C">
        <w:tc>
          <w:tcPr>
            <w:tcW w:w="9180" w:type="dxa"/>
            <w:gridSpan w:val="10"/>
            <w:tcBorders>
              <w:bottom w:val="nil"/>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Ciele a výsledný stav</w:t>
            </w:r>
          </w:p>
        </w:tc>
      </w:tr>
      <w:tr w:rsidR="001C0C07" w:rsidRPr="00AB70E2" w:rsidTr="0062675C">
        <w:trPr>
          <w:trHeight w:val="741"/>
        </w:trPr>
        <w:tc>
          <w:tcPr>
            <w:tcW w:w="9180" w:type="dxa"/>
            <w:gridSpan w:val="10"/>
            <w:tcBorders>
              <w:top w:val="nil"/>
            </w:tcBorders>
            <w:shd w:val="clear" w:color="auto" w:fill="FFFFFF" w:themeFill="background1"/>
          </w:tcPr>
          <w:p w:rsidR="001C0C07" w:rsidRPr="00AB70E2" w:rsidRDefault="001C0C07" w:rsidP="0062675C">
            <w:pPr>
              <w:jc w:val="both"/>
              <w:rPr>
                <w:rFonts w:ascii="Times New Roman" w:hAnsi="Times New Roman"/>
                <w:sz w:val="24"/>
                <w:szCs w:val="24"/>
              </w:rPr>
            </w:pPr>
            <w:r w:rsidRPr="00AB70E2">
              <w:rPr>
                <w:rFonts w:ascii="Times New Roman" w:hAnsi="Times New Roman"/>
                <w:sz w:val="24"/>
                <w:szCs w:val="24"/>
              </w:rPr>
              <w:t xml:space="preserve">Predloženým návrhom zákona, ktorým sa mení a dopĺňa zákon č. 523/2004 Z. z. o rozpočtových pravidlách verejnej správy a o zmene a doplnení niektorých zákonov v znení neskorších predpisov sa posilňuje transparentnosť pri tvorbe a použití rozpočtových rezerv, a to tým, že sa explicitne vyjadrí, čo tvorí rozpočtové rezervy v štátnom rozpočte, stanovia sa podmienky ich použitia a obsahové náležitosti správy o hospodárení s nimi. Navrhuje sa upraviť podmienky pri poskytovaní návratných finančných výpomocí zo štátnych finančných aktív. Vypúšťa sa možnosť použitia výdavkov štátneho rozpočtu zodpovedajúcim daňovým a odvodovým príjmom štátneho rozpočtu, ktoré neboli obsiahnuté v prognóze Výboru pre daňové prognózy zohľadnenej v návrhu rozpočtu verejnej správy. </w:t>
            </w:r>
          </w:p>
          <w:p w:rsidR="001C0C07" w:rsidRPr="00AB70E2" w:rsidRDefault="001C0C07" w:rsidP="0062675C">
            <w:pPr>
              <w:jc w:val="both"/>
              <w:rPr>
                <w:rFonts w:ascii="Times New Roman" w:hAnsi="Times New Roman"/>
                <w:sz w:val="24"/>
                <w:szCs w:val="24"/>
              </w:rPr>
            </w:pPr>
            <w:r w:rsidRPr="00AB70E2">
              <w:rPr>
                <w:rFonts w:ascii="Times New Roman" w:hAnsi="Times New Roman"/>
                <w:sz w:val="24"/>
                <w:szCs w:val="24"/>
              </w:rPr>
              <w:lastRenderedPageBreak/>
              <w:t xml:space="preserve">V súlade so zásadou právnej istoty sa navrhuje upraviť desaťročnú objektívnu lehotu na  uloženie odvodu, penále a pokuty za porušenie finančnej disciplíny. </w:t>
            </w:r>
          </w:p>
        </w:tc>
      </w:tr>
      <w:tr w:rsidR="001C0C07" w:rsidRPr="00AB70E2" w:rsidTr="0062675C">
        <w:tc>
          <w:tcPr>
            <w:tcW w:w="9180" w:type="dxa"/>
            <w:gridSpan w:val="10"/>
            <w:tcBorders>
              <w:bottom w:val="nil"/>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lastRenderedPageBreak/>
              <w:t>Dotknuté subjekty</w:t>
            </w:r>
          </w:p>
        </w:tc>
      </w:tr>
      <w:tr w:rsidR="001C0C07" w:rsidRPr="00AB70E2" w:rsidTr="0062675C">
        <w:tc>
          <w:tcPr>
            <w:tcW w:w="9180" w:type="dxa"/>
            <w:gridSpan w:val="10"/>
            <w:tcBorders>
              <w:top w:val="nil"/>
            </w:tcBorders>
            <w:shd w:val="clear" w:color="auto" w:fill="FFFFFF" w:themeFill="background1"/>
          </w:tcPr>
          <w:p w:rsidR="001C0C07" w:rsidRPr="00AB70E2" w:rsidRDefault="001C0C07" w:rsidP="001C0C07">
            <w:pPr>
              <w:pStyle w:val="Odsekzoznamu"/>
              <w:numPr>
                <w:ilvl w:val="0"/>
                <w:numId w:val="2"/>
              </w:numPr>
              <w:spacing w:line="276" w:lineRule="auto"/>
              <w:rPr>
                <w:rFonts w:ascii="Times New Roman" w:hAnsi="Times New Roman"/>
                <w:sz w:val="24"/>
                <w:szCs w:val="24"/>
              </w:rPr>
            </w:pPr>
            <w:r w:rsidRPr="00AB70E2">
              <w:rPr>
                <w:rFonts w:ascii="Times New Roman" w:hAnsi="Times New Roman"/>
                <w:sz w:val="24"/>
                <w:szCs w:val="24"/>
              </w:rPr>
              <w:t>subjekty verejnej správy</w:t>
            </w:r>
          </w:p>
          <w:p w:rsidR="001C0C07" w:rsidRPr="00AB70E2" w:rsidRDefault="001C0C07" w:rsidP="001C0C07">
            <w:pPr>
              <w:pStyle w:val="Odsekzoznamu"/>
              <w:numPr>
                <w:ilvl w:val="0"/>
                <w:numId w:val="2"/>
              </w:numPr>
              <w:spacing w:line="276" w:lineRule="auto"/>
              <w:rPr>
                <w:rFonts w:ascii="Times New Roman" w:hAnsi="Times New Roman"/>
                <w:i/>
                <w:sz w:val="24"/>
                <w:szCs w:val="24"/>
              </w:rPr>
            </w:pPr>
            <w:r w:rsidRPr="00AB70E2">
              <w:rPr>
                <w:rFonts w:ascii="Times New Roman" w:hAnsi="Times New Roman"/>
                <w:sz w:val="24"/>
                <w:szCs w:val="24"/>
              </w:rPr>
              <w:t>správcovia kapitol štátneho rozpočtu</w:t>
            </w:r>
          </w:p>
          <w:p w:rsidR="001C0C07" w:rsidRPr="00AB70E2" w:rsidRDefault="001C0C07" w:rsidP="001C0C07">
            <w:pPr>
              <w:pStyle w:val="Odsekzoznamu"/>
              <w:numPr>
                <w:ilvl w:val="0"/>
                <w:numId w:val="2"/>
              </w:numPr>
              <w:spacing w:line="276" w:lineRule="auto"/>
              <w:rPr>
                <w:rFonts w:ascii="Times New Roman" w:hAnsi="Times New Roman"/>
                <w:i/>
                <w:sz w:val="24"/>
                <w:szCs w:val="24"/>
              </w:rPr>
            </w:pPr>
            <w:r w:rsidRPr="00AB70E2">
              <w:rPr>
                <w:rFonts w:ascii="Times New Roman" w:hAnsi="Times New Roman"/>
                <w:sz w:val="24"/>
                <w:szCs w:val="24"/>
              </w:rPr>
              <w:t xml:space="preserve">právnické osoby a fyzické osoby, ktorým sa poskytujú verejné prostriedky </w:t>
            </w:r>
          </w:p>
        </w:tc>
      </w:tr>
      <w:tr w:rsidR="001C0C07" w:rsidRPr="00AB70E2" w:rsidTr="0062675C">
        <w:tc>
          <w:tcPr>
            <w:tcW w:w="9180" w:type="dxa"/>
            <w:gridSpan w:val="10"/>
            <w:tcBorders>
              <w:bottom w:val="nil"/>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Alternatívne riešenia</w:t>
            </w:r>
          </w:p>
        </w:tc>
      </w:tr>
      <w:tr w:rsidR="001C0C07" w:rsidRPr="00AB70E2" w:rsidTr="0062675C">
        <w:trPr>
          <w:trHeight w:val="709"/>
        </w:trPr>
        <w:tc>
          <w:tcPr>
            <w:tcW w:w="9180" w:type="dxa"/>
            <w:gridSpan w:val="10"/>
            <w:tcBorders>
              <w:top w:val="nil"/>
            </w:tcBorders>
            <w:shd w:val="clear" w:color="auto" w:fill="FFFFFF" w:themeFill="background1"/>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Neboli posudzované žiadne alternatívne riešenia.</w:t>
            </w:r>
          </w:p>
        </w:tc>
      </w:tr>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Vykonávacie predpisy</w:t>
            </w:r>
          </w:p>
        </w:tc>
      </w:tr>
      <w:tr w:rsidR="001C0C07" w:rsidRPr="00AB70E2" w:rsidTr="0062675C">
        <w:tc>
          <w:tcPr>
            <w:tcW w:w="6203" w:type="dxa"/>
            <w:gridSpan w:val="6"/>
            <w:tcBorders>
              <w:top w:val="single" w:sz="4" w:space="0" w:color="FFFFFF" w:themeColor="background1"/>
              <w:bottom w:val="nil"/>
              <w:right w:val="nil"/>
            </w:tcBorders>
            <w:shd w:val="clear" w:color="auto" w:fill="FFFFFF" w:themeFill="background1"/>
          </w:tcPr>
          <w:p w:rsidR="001C0C07" w:rsidRPr="00AB70E2" w:rsidRDefault="001C0C07" w:rsidP="0062675C">
            <w:pPr>
              <w:rPr>
                <w:rFonts w:ascii="Times New Roman" w:hAnsi="Times New Roman"/>
                <w:i/>
                <w:sz w:val="24"/>
                <w:szCs w:val="24"/>
              </w:rPr>
            </w:pPr>
            <w:r w:rsidRPr="00AB70E2">
              <w:rPr>
                <w:rFonts w:ascii="Times New Roman" w:hAnsi="Times New Roman"/>
                <w:i/>
                <w:sz w:val="24"/>
                <w:szCs w:val="24"/>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1C0C07" w:rsidRPr="00AB70E2" w:rsidRDefault="001C0C07" w:rsidP="0062675C">
            <w:pPr>
              <w:jc w:val="center"/>
              <w:rPr>
                <w:rFonts w:ascii="Times New Roman" w:hAnsi="Times New Roman"/>
                <w:sz w:val="24"/>
                <w:szCs w:val="24"/>
              </w:rPr>
            </w:pPr>
            <w:r w:rsidRPr="00AB70E2">
              <w:rPr>
                <w:rFonts w:ascii="Segoe UI Symbol" w:eastAsia="MS Gothic" w:hAnsi="Segoe UI Symbol" w:cs="Segoe UI Symbol"/>
                <w:sz w:val="24"/>
                <w:szCs w:val="24"/>
              </w:rPr>
              <w:t>☒</w:t>
            </w:r>
            <w:r w:rsidRPr="00AB70E2">
              <w:rPr>
                <w:rFonts w:ascii="Times New Roman" w:hAnsi="Times New Roman"/>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1C0C07" w:rsidRPr="00AB70E2" w:rsidRDefault="001C0C07" w:rsidP="0062675C">
            <w:pPr>
              <w:jc w:val="center"/>
              <w:rPr>
                <w:rFonts w:ascii="Times New Roman" w:hAnsi="Times New Roman"/>
                <w:sz w:val="24"/>
                <w:szCs w:val="24"/>
              </w:rPr>
            </w:pPr>
            <w:r w:rsidRPr="00AB70E2">
              <w:rPr>
                <w:rFonts w:ascii="Segoe UI Symbol" w:eastAsia="MS Gothic" w:hAnsi="Segoe UI Symbol" w:cs="Segoe UI Symbol"/>
                <w:sz w:val="24"/>
                <w:szCs w:val="24"/>
              </w:rPr>
              <w:t>☐</w:t>
            </w:r>
            <w:r w:rsidRPr="00AB70E2">
              <w:rPr>
                <w:rFonts w:ascii="Times New Roman" w:hAnsi="Times New Roman"/>
                <w:sz w:val="24"/>
                <w:szCs w:val="24"/>
              </w:rPr>
              <w:t xml:space="preserve">  Nie</w:t>
            </w:r>
          </w:p>
        </w:tc>
      </w:tr>
      <w:tr w:rsidR="001C0C07" w:rsidRPr="00AB70E2" w:rsidTr="0062675C">
        <w:tc>
          <w:tcPr>
            <w:tcW w:w="9180" w:type="dxa"/>
            <w:gridSpan w:val="10"/>
            <w:tcBorders>
              <w:top w:val="nil"/>
            </w:tcBorders>
            <w:shd w:val="clear" w:color="auto" w:fill="FFFFFF" w:themeFill="background1"/>
          </w:tcPr>
          <w:p w:rsidR="001C0C07" w:rsidRPr="00AB70E2" w:rsidRDefault="001C0C07" w:rsidP="0062675C">
            <w:pPr>
              <w:rPr>
                <w:rFonts w:ascii="Times New Roman" w:hAnsi="Times New Roman"/>
                <w:i/>
                <w:sz w:val="24"/>
                <w:szCs w:val="24"/>
              </w:rPr>
            </w:pPr>
            <w:r w:rsidRPr="00AB70E2">
              <w:rPr>
                <w:rFonts w:ascii="Times New Roman" w:hAnsi="Times New Roman"/>
                <w:i/>
                <w:sz w:val="24"/>
                <w:szCs w:val="24"/>
              </w:rPr>
              <w:t>Ak áno, uveďte ktoré oblasti budú nimi upravené, resp. ktorých vykonávacích predpisov sa zmena dotkne:</w:t>
            </w:r>
          </w:p>
          <w:p w:rsidR="001C0C07" w:rsidRPr="00AB70E2" w:rsidRDefault="001C0C07" w:rsidP="0062675C">
            <w:pPr>
              <w:rPr>
                <w:rFonts w:ascii="Times New Roman" w:hAnsi="Times New Roman"/>
                <w:sz w:val="24"/>
                <w:szCs w:val="24"/>
              </w:rPr>
            </w:pPr>
            <w:r w:rsidRPr="00AB70E2">
              <w:rPr>
                <w:rFonts w:ascii="Times New Roman" w:hAnsi="Times New Roman"/>
                <w:sz w:val="24"/>
                <w:szCs w:val="24"/>
              </w:rPr>
              <w:t>Zmena sa dotkne nariadenia vlády SR č. 174/2019 Z. z. o podmienkach vypracovania štúdie uskutočniteľnosti investície a štúdie uskutočniteľnosti koncesie</w:t>
            </w:r>
          </w:p>
          <w:p w:rsidR="001C0C07" w:rsidRPr="00AB70E2" w:rsidRDefault="001C0C07" w:rsidP="0062675C">
            <w:pPr>
              <w:rPr>
                <w:rFonts w:ascii="Times New Roman" w:hAnsi="Times New Roman"/>
                <w:sz w:val="24"/>
                <w:szCs w:val="24"/>
              </w:rPr>
            </w:pPr>
          </w:p>
        </w:tc>
      </w:tr>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 xml:space="preserve">Transpozícia práva EÚ </w:t>
            </w:r>
          </w:p>
        </w:tc>
      </w:tr>
      <w:tr w:rsidR="001C0C07" w:rsidRPr="00AB70E2" w:rsidTr="0062675C">
        <w:trPr>
          <w:trHeight w:val="157"/>
        </w:trPr>
        <w:tc>
          <w:tcPr>
            <w:tcW w:w="9180" w:type="dxa"/>
            <w:gridSpan w:val="10"/>
            <w:tcBorders>
              <w:top w:val="nil"/>
              <w:left w:val="single" w:sz="4" w:space="0" w:color="000000" w:themeColor="text1"/>
              <w:bottom w:val="nil"/>
            </w:tcBorders>
            <w:shd w:val="clear" w:color="auto" w:fill="FFFFFF" w:themeFill="background1"/>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Bezpredmetné.</w:t>
            </w:r>
          </w:p>
        </w:tc>
      </w:tr>
      <w:tr w:rsidR="001C0C07" w:rsidRPr="00AB70E2" w:rsidTr="0062675C">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1C0C07" w:rsidRPr="00AB70E2" w:rsidRDefault="001C0C07" w:rsidP="0062675C">
            <w:pPr>
              <w:jc w:val="center"/>
              <w:rPr>
                <w:rFonts w:ascii="Times New Roman" w:hAnsi="Times New Roman"/>
                <w:sz w:val="24"/>
                <w:szCs w:val="24"/>
              </w:rPr>
            </w:pPr>
          </w:p>
        </w:tc>
      </w:tr>
      <w:tr w:rsidR="001C0C07" w:rsidRPr="00AB70E2" w:rsidTr="0062675C">
        <w:tc>
          <w:tcPr>
            <w:tcW w:w="9180" w:type="dxa"/>
            <w:gridSpan w:val="10"/>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Preskúmanie účelnosti**</w:t>
            </w:r>
          </w:p>
        </w:tc>
      </w:tr>
      <w:tr w:rsidR="001C0C07" w:rsidRPr="00AB70E2" w:rsidTr="0062675C">
        <w:tc>
          <w:tcPr>
            <w:tcW w:w="9180" w:type="dxa"/>
            <w:gridSpan w:val="10"/>
            <w:tcBorders>
              <w:top w:val="single" w:sz="4" w:space="0" w:color="FFFFFF" w:themeColor="background1"/>
            </w:tcBorders>
            <w:shd w:val="clear" w:color="auto" w:fill="FFFFFF" w:themeFill="background1"/>
          </w:tcPr>
          <w:p w:rsidR="001C0C07" w:rsidRPr="00AB70E2" w:rsidRDefault="001C0C07" w:rsidP="0062675C">
            <w:pPr>
              <w:rPr>
                <w:rFonts w:ascii="Times New Roman" w:hAnsi="Times New Roman"/>
                <w:i/>
                <w:sz w:val="24"/>
                <w:szCs w:val="24"/>
              </w:rPr>
            </w:pPr>
            <w:r w:rsidRPr="00AB70E2">
              <w:rPr>
                <w:rFonts w:ascii="Times New Roman" w:hAnsi="Times New Roman"/>
                <w:i/>
                <w:sz w:val="24"/>
                <w:szCs w:val="24"/>
              </w:rPr>
              <w:t>Uveďte termín, kedy by malo dôjsť k preskúmaniu účinnosti a účelnosti navrhovaného predpisu.</w:t>
            </w:r>
          </w:p>
          <w:p w:rsidR="001C0C07" w:rsidRPr="00AB70E2" w:rsidRDefault="001C0C07" w:rsidP="0062675C">
            <w:pPr>
              <w:rPr>
                <w:rFonts w:ascii="Times New Roman" w:hAnsi="Times New Roman"/>
                <w:i/>
                <w:sz w:val="24"/>
                <w:szCs w:val="24"/>
              </w:rPr>
            </w:pPr>
            <w:r w:rsidRPr="00AB70E2">
              <w:rPr>
                <w:rFonts w:ascii="Times New Roman" w:hAnsi="Times New Roman"/>
                <w:i/>
                <w:sz w:val="24"/>
                <w:szCs w:val="24"/>
              </w:rPr>
              <w:t>Uveďte kritériá, na základe ktorých bude preskúmanie vykonané.</w:t>
            </w:r>
          </w:p>
          <w:p w:rsidR="001C0C07" w:rsidRPr="00AB70E2" w:rsidRDefault="001C0C07" w:rsidP="0062675C">
            <w:pPr>
              <w:rPr>
                <w:rFonts w:ascii="Times New Roman" w:hAnsi="Times New Roman"/>
                <w:i/>
                <w:sz w:val="24"/>
                <w:szCs w:val="24"/>
              </w:rPr>
            </w:pPr>
          </w:p>
        </w:tc>
      </w:tr>
      <w:tr w:rsidR="001C0C07" w:rsidRPr="00AB70E2" w:rsidTr="0062675C">
        <w:trPr>
          <w:trHeight w:val="715"/>
        </w:trPr>
        <w:tc>
          <w:tcPr>
            <w:tcW w:w="9180" w:type="dxa"/>
            <w:gridSpan w:val="10"/>
            <w:tcBorders>
              <w:left w:val="nil"/>
              <w:bottom w:val="nil"/>
              <w:right w:val="nil"/>
            </w:tcBorders>
            <w:shd w:val="clear" w:color="auto" w:fill="FFFFFF" w:themeFill="background1"/>
          </w:tcPr>
          <w:p w:rsidR="001C0C07" w:rsidRPr="00AB70E2" w:rsidRDefault="001C0C07" w:rsidP="0062675C">
            <w:pPr>
              <w:ind w:left="142" w:hanging="142"/>
              <w:rPr>
                <w:rFonts w:ascii="Times New Roman" w:hAnsi="Times New Roman"/>
                <w:sz w:val="24"/>
                <w:szCs w:val="24"/>
              </w:rPr>
            </w:pPr>
          </w:p>
          <w:p w:rsidR="001C0C07" w:rsidRPr="00AB70E2" w:rsidRDefault="001C0C07" w:rsidP="0062675C">
            <w:pPr>
              <w:ind w:left="142" w:hanging="142"/>
              <w:rPr>
                <w:rFonts w:ascii="Times New Roman" w:hAnsi="Times New Roman"/>
                <w:sz w:val="24"/>
                <w:szCs w:val="24"/>
              </w:rPr>
            </w:pPr>
          </w:p>
          <w:p w:rsidR="001C0C07" w:rsidRPr="00AB70E2" w:rsidRDefault="001C0C07" w:rsidP="0062675C">
            <w:pPr>
              <w:ind w:left="142" w:hanging="142"/>
              <w:rPr>
                <w:rFonts w:ascii="Times New Roman" w:hAnsi="Times New Roman"/>
                <w:sz w:val="24"/>
                <w:szCs w:val="24"/>
              </w:rPr>
            </w:pPr>
            <w:r w:rsidRPr="00AB70E2">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1C0C07" w:rsidRPr="00AB70E2" w:rsidRDefault="001C0C07" w:rsidP="0062675C">
            <w:pPr>
              <w:rPr>
                <w:rFonts w:ascii="Times New Roman" w:hAnsi="Times New Roman"/>
                <w:sz w:val="24"/>
                <w:szCs w:val="24"/>
              </w:rPr>
            </w:pPr>
            <w:r w:rsidRPr="00AB70E2">
              <w:rPr>
                <w:rFonts w:ascii="Times New Roman" w:hAnsi="Times New Roman"/>
                <w:sz w:val="24"/>
                <w:szCs w:val="24"/>
              </w:rPr>
              <w:t>** nepovinné</w:t>
            </w:r>
          </w:p>
        </w:tc>
      </w:tr>
      <w:tr w:rsidR="001C0C07" w:rsidRPr="00AB70E2" w:rsidTr="0062675C">
        <w:tc>
          <w:tcPr>
            <w:tcW w:w="9180" w:type="dxa"/>
            <w:gridSpan w:val="10"/>
            <w:tcBorders>
              <w:top w:val="nil"/>
              <w:left w:val="nil"/>
              <w:right w:val="nil"/>
            </w:tcBorders>
            <w:shd w:val="clear" w:color="auto" w:fill="FFFFFF" w:themeFill="background1"/>
          </w:tcPr>
          <w:p w:rsidR="001C0C07" w:rsidRPr="00AB70E2" w:rsidRDefault="001C0C07" w:rsidP="0062675C">
            <w:pPr>
              <w:rPr>
                <w:rFonts w:ascii="Times New Roman" w:hAnsi="Times New Roman"/>
                <w:b/>
                <w:sz w:val="24"/>
                <w:szCs w:val="24"/>
              </w:rPr>
            </w:pPr>
          </w:p>
        </w:tc>
      </w:tr>
      <w:tr w:rsidR="001C0C07" w:rsidRPr="00AB70E2" w:rsidTr="0062675C">
        <w:trPr>
          <w:trHeight w:val="577"/>
        </w:trPr>
        <w:tc>
          <w:tcPr>
            <w:tcW w:w="9180" w:type="dxa"/>
            <w:gridSpan w:val="10"/>
            <w:tcBorders>
              <w:bottom w:val="single" w:sz="4" w:space="0" w:color="FFFFFF" w:themeColor="background1"/>
            </w:tcBorders>
            <w:shd w:val="clear" w:color="auto" w:fill="E2E2E2"/>
            <w:vAlign w:val="center"/>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Vplyvy navrhovaného materiálu</w:t>
            </w:r>
          </w:p>
        </w:tc>
      </w:tr>
      <w:tr w:rsidR="001C0C07" w:rsidRPr="00AB70E2" w:rsidTr="0062675C">
        <w:tc>
          <w:tcPr>
            <w:tcW w:w="3812" w:type="dxa"/>
            <w:tcBorders>
              <w:bottom w:val="nil"/>
            </w:tcBorders>
            <w:shd w:val="clear" w:color="auto" w:fill="E2E2E2"/>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Vplyvy na rozpočet verejnej správy</w:t>
            </w:r>
          </w:p>
        </w:tc>
        <w:tc>
          <w:tcPr>
            <w:tcW w:w="541" w:type="dxa"/>
            <w:gridSpan w:val="2"/>
            <w:tcBorders>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81" w:type="dxa"/>
            <w:gridSpan w:val="2"/>
            <w:tcBorders>
              <w:left w:val="nil"/>
              <w:right w:val="nil"/>
            </w:tcBorders>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Pozitívne</w:t>
            </w:r>
          </w:p>
        </w:tc>
        <w:tc>
          <w:tcPr>
            <w:tcW w:w="569" w:type="dxa"/>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Gothic" w:hAnsi="Segoe UI Symbol" w:cs="Segoe UI Symbol"/>
                <w:b/>
                <w:sz w:val="24"/>
                <w:szCs w:val="24"/>
              </w:rPr>
              <w:t>☒</w:t>
            </w:r>
          </w:p>
        </w:tc>
        <w:tc>
          <w:tcPr>
            <w:tcW w:w="1133" w:type="dxa"/>
            <w:tcBorders>
              <w:left w:val="nil"/>
              <w:right w:val="nil"/>
            </w:tcBorders>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Žiadne</w:t>
            </w:r>
          </w:p>
        </w:tc>
        <w:tc>
          <w:tcPr>
            <w:tcW w:w="547" w:type="dxa"/>
            <w:gridSpan w:val="2"/>
            <w:tcBorders>
              <w:left w:val="nil"/>
              <w:right w:val="nil"/>
            </w:tcBorders>
          </w:tcPr>
          <w:p w:rsidR="001C0C07" w:rsidRPr="00AB70E2" w:rsidRDefault="001C0C07" w:rsidP="0062675C">
            <w:pPr>
              <w:ind w:left="-107" w:right="-108"/>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97" w:type="dxa"/>
            <w:tcBorders>
              <w:left w:val="nil"/>
            </w:tcBorders>
          </w:tcPr>
          <w:p w:rsidR="001C0C07" w:rsidRPr="00AB70E2" w:rsidRDefault="001C0C07" w:rsidP="0062675C">
            <w:pPr>
              <w:ind w:left="34"/>
              <w:rPr>
                <w:rFonts w:ascii="Times New Roman" w:hAnsi="Times New Roman"/>
                <w:b/>
                <w:sz w:val="24"/>
                <w:szCs w:val="24"/>
              </w:rPr>
            </w:pPr>
            <w:r w:rsidRPr="00AB70E2">
              <w:rPr>
                <w:rFonts w:ascii="Times New Roman" w:hAnsi="Times New Roman"/>
                <w:b/>
                <w:sz w:val="24"/>
                <w:szCs w:val="24"/>
              </w:rPr>
              <w:t>Negatívne</w:t>
            </w:r>
          </w:p>
        </w:tc>
      </w:tr>
      <w:tr w:rsidR="001C0C07" w:rsidRPr="00AB70E2" w:rsidTr="0062675C">
        <w:tc>
          <w:tcPr>
            <w:tcW w:w="3812" w:type="dxa"/>
            <w:tcBorders>
              <w:top w:val="nil"/>
              <w:bottom w:val="single" w:sz="4" w:space="0" w:color="000000" w:themeColor="text1"/>
            </w:tcBorders>
            <w:shd w:val="clear" w:color="auto" w:fill="E2E2E2"/>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 xml:space="preserve">    z toho rozpočtovo zabezpečené vplyvy</w:t>
            </w:r>
          </w:p>
        </w:tc>
        <w:tc>
          <w:tcPr>
            <w:tcW w:w="541" w:type="dxa"/>
            <w:gridSpan w:val="2"/>
            <w:tcBorders>
              <w:right w:val="nil"/>
            </w:tcBorders>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1281" w:type="dxa"/>
            <w:gridSpan w:val="2"/>
            <w:tcBorders>
              <w:left w:val="nil"/>
              <w:right w:val="nil"/>
            </w:tcBorders>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Áno</w:t>
            </w:r>
          </w:p>
        </w:tc>
        <w:tc>
          <w:tcPr>
            <w:tcW w:w="569" w:type="dxa"/>
            <w:tcBorders>
              <w:left w:val="nil"/>
              <w:right w:val="nil"/>
            </w:tcBorders>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1133" w:type="dxa"/>
            <w:tcBorders>
              <w:left w:val="nil"/>
              <w:right w:val="nil"/>
            </w:tcBorders>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Nie</w:t>
            </w:r>
          </w:p>
        </w:tc>
        <w:tc>
          <w:tcPr>
            <w:tcW w:w="547" w:type="dxa"/>
            <w:gridSpan w:val="2"/>
            <w:tcBorders>
              <w:left w:val="nil"/>
              <w:right w:val="nil"/>
            </w:tcBorders>
          </w:tcPr>
          <w:p w:rsidR="001C0C07" w:rsidRPr="00AB70E2" w:rsidRDefault="001C0C07" w:rsidP="0062675C">
            <w:pPr>
              <w:ind w:left="-107" w:right="-108"/>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1297" w:type="dxa"/>
            <w:tcBorders>
              <w:left w:val="nil"/>
            </w:tcBorders>
          </w:tcPr>
          <w:p w:rsidR="001C0C07" w:rsidRPr="00AB70E2" w:rsidRDefault="001C0C07" w:rsidP="0062675C">
            <w:pPr>
              <w:ind w:left="34"/>
              <w:rPr>
                <w:rFonts w:ascii="Times New Roman" w:hAnsi="Times New Roman"/>
                <w:sz w:val="24"/>
                <w:szCs w:val="24"/>
              </w:rPr>
            </w:pPr>
            <w:r w:rsidRPr="00AB70E2">
              <w:rPr>
                <w:rFonts w:ascii="Times New Roman" w:hAnsi="Times New Roman"/>
                <w:sz w:val="24"/>
                <w:szCs w:val="24"/>
              </w:rPr>
              <w:t>Čiastočne</w:t>
            </w:r>
          </w:p>
        </w:tc>
      </w:tr>
      <w:tr w:rsidR="001C0C07" w:rsidRPr="00AB70E2" w:rsidTr="0062675C">
        <w:tc>
          <w:tcPr>
            <w:tcW w:w="3812" w:type="dxa"/>
            <w:tcBorders>
              <w:top w:val="single" w:sz="4" w:space="0" w:color="000000" w:themeColor="text1"/>
              <w:bottom w:val="nil"/>
            </w:tcBorders>
            <w:shd w:val="clear" w:color="auto" w:fill="E2E2E2"/>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Vplyvy na podnikateľské prostredie</w:t>
            </w:r>
          </w:p>
        </w:tc>
        <w:tc>
          <w:tcPr>
            <w:tcW w:w="541" w:type="dxa"/>
            <w:gridSpan w:val="2"/>
            <w:tcBorders>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81" w:type="dxa"/>
            <w:gridSpan w:val="2"/>
            <w:tcBorders>
              <w:left w:val="nil"/>
              <w:right w:val="nil"/>
            </w:tcBorders>
          </w:tcPr>
          <w:p w:rsidR="001C0C07" w:rsidRPr="00AB70E2" w:rsidRDefault="001C0C07" w:rsidP="0062675C">
            <w:pPr>
              <w:ind w:right="-108"/>
              <w:rPr>
                <w:rFonts w:ascii="Times New Roman" w:hAnsi="Times New Roman"/>
                <w:b/>
                <w:sz w:val="24"/>
                <w:szCs w:val="24"/>
              </w:rPr>
            </w:pPr>
            <w:r w:rsidRPr="00AB70E2">
              <w:rPr>
                <w:rFonts w:ascii="Times New Roman" w:hAnsi="Times New Roman"/>
                <w:b/>
                <w:sz w:val="24"/>
                <w:szCs w:val="24"/>
              </w:rPr>
              <w:t>Pozitívne</w:t>
            </w:r>
          </w:p>
        </w:tc>
        <w:tc>
          <w:tcPr>
            <w:tcW w:w="569" w:type="dxa"/>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Gothic" w:hAnsi="Segoe UI Symbol" w:cs="Segoe UI Symbol"/>
                <w:b/>
                <w:sz w:val="24"/>
                <w:szCs w:val="24"/>
              </w:rPr>
              <w:t>☒</w:t>
            </w:r>
          </w:p>
        </w:tc>
        <w:tc>
          <w:tcPr>
            <w:tcW w:w="1133" w:type="dxa"/>
            <w:tcBorders>
              <w:left w:val="nil"/>
              <w:right w:val="nil"/>
            </w:tcBorders>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Žiadne</w:t>
            </w:r>
          </w:p>
        </w:tc>
        <w:tc>
          <w:tcPr>
            <w:tcW w:w="547" w:type="dxa"/>
            <w:gridSpan w:val="2"/>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97" w:type="dxa"/>
            <w:tcBorders>
              <w:left w:val="nil"/>
            </w:tcBorders>
          </w:tcPr>
          <w:p w:rsidR="001C0C07" w:rsidRPr="00AB70E2" w:rsidRDefault="001C0C07" w:rsidP="0062675C">
            <w:pPr>
              <w:ind w:left="54"/>
              <w:rPr>
                <w:rFonts w:ascii="Times New Roman" w:hAnsi="Times New Roman"/>
                <w:b/>
                <w:sz w:val="24"/>
                <w:szCs w:val="24"/>
              </w:rPr>
            </w:pPr>
            <w:r w:rsidRPr="00AB70E2">
              <w:rPr>
                <w:rFonts w:ascii="Times New Roman" w:hAnsi="Times New Roman"/>
                <w:b/>
                <w:sz w:val="24"/>
                <w:szCs w:val="24"/>
              </w:rPr>
              <w:t>Negatívne</w:t>
            </w:r>
          </w:p>
        </w:tc>
      </w:tr>
      <w:tr w:rsidR="001C0C07" w:rsidRPr="00AB70E2" w:rsidTr="0062675C">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 xml:space="preserve">    z toho vplyvy na MSP</w:t>
            </w:r>
          </w:p>
        </w:tc>
        <w:tc>
          <w:tcPr>
            <w:tcW w:w="541" w:type="dxa"/>
            <w:gridSpan w:val="2"/>
            <w:tcBorders>
              <w:left w:val="single" w:sz="4" w:space="0" w:color="000000" w:themeColor="text1"/>
              <w:right w:val="nil"/>
            </w:tcBorders>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1281" w:type="dxa"/>
            <w:gridSpan w:val="2"/>
            <w:tcBorders>
              <w:left w:val="nil"/>
              <w:right w:val="nil"/>
            </w:tcBorders>
          </w:tcPr>
          <w:p w:rsidR="001C0C07" w:rsidRPr="00AB70E2" w:rsidRDefault="001C0C07" w:rsidP="0062675C">
            <w:pPr>
              <w:ind w:right="-108"/>
              <w:rPr>
                <w:rFonts w:ascii="Times New Roman" w:hAnsi="Times New Roman"/>
                <w:sz w:val="24"/>
                <w:szCs w:val="24"/>
              </w:rPr>
            </w:pPr>
            <w:r w:rsidRPr="00AB70E2">
              <w:rPr>
                <w:rFonts w:ascii="Times New Roman" w:hAnsi="Times New Roman"/>
                <w:sz w:val="24"/>
                <w:szCs w:val="24"/>
              </w:rPr>
              <w:t>Pozitívne</w:t>
            </w:r>
          </w:p>
        </w:tc>
        <w:tc>
          <w:tcPr>
            <w:tcW w:w="569" w:type="dxa"/>
            <w:tcBorders>
              <w:left w:val="nil"/>
              <w:right w:val="nil"/>
            </w:tcBorders>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1133" w:type="dxa"/>
            <w:tcBorders>
              <w:left w:val="nil"/>
              <w:right w:val="nil"/>
            </w:tcBorders>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Žiadne</w:t>
            </w:r>
          </w:p>
        </w:tc>
        <w:tc>
          <w:tcPr>
            <w:tcW w:w="547" w:type="dxa"/>
            <w:gridSpan w:val="2"/>
            <w:tcBorders>
              <w:left w:val="nil"/>
              <w:right w:val="nil"/>
            </w:tcBorders>
          </w:tcPr>
          <w:p w:rsidR="001C0C07" w:rsidRPr="00AB70E2" w:rsidRDefault="001C0C07" w:rsidP="0062675C">
            <w:pPr>
              <w:jc w:val="center"/>
              <w:rPr>
                <w:rFonts w:ascii="Times New Roman" w:hAnsi="Times New Roman"/>
                <w:sz w:val="24"/>
                <w:szCs w:val="24"/>
              </w:rPr>
            </w:pPr>
            <w:r w:rsidRPr="00AB70E2">
              <w:rPr>
                <w:rFonts w:ascii="Segoe UI Symbol" w:eastAsia="MS Mincho" w:hAnsi="Segoe UI Symbol" w:cs="Segoe UI Symbol"/>
                <w:sz w:val="24"/>
                <w:szCs w:val="24"/>
              </w:rPr>
              <w:t>☐</w:t>
            </w:r>
          </w:p>
        </w:tc>
        <w:tc>
          <w:tcPr>
            <w:tcW w:w="1297" w:type="dxa"/>
            <w:tcBorders>
              <w:left w:val="nil"/>
            </w:tcBorders>
          </w:tcPr>
          <w:p w:rsidR="001C0C07" w:rsidRPr="00AB70E2" w:rsidRDefault="001C0C07" w:rsidP="0062675C">
            <w:pPr>
              <w:ind w:left="54"/>
              <w:rPr>
                <w:rFonts w:ascii="Times New Roman" w:hAnsi="Times New Roman"/>
                <w:sz w:val="24"/>
                <w:szCs w:val="24"/>
              </w:rPr>
            </w:pPr>
            <w:r w:rsidRPr="00AB70E2">
              <w:rPr>
                <w:rFonts w:ascii="Times New Roman" w:hAnsi="Times New Roman"/>
                <w:sz w:val="24"/>
                <w:szCs w:val="24"/>
              </w:rPr>
              <w:t>Negatívne</w:t>
            </w:r>
          </w:p>
        </w:tc>
      </w:tr>
      <w:tr w:rsidR="001C0C07" w:rsidRPr="00AB70E2" w:rsidTr="0062675C">
        <w:tc>
          <w:tcPr>
            <w:tcW w:w="3812" w:type="dxa"/>
            <w:tcBorders>
              <w:top w:val="single" w:sz="4" w:space="0" w:color="000000" w:themeColor="text1"/>
            </w:tcBorders>
            <w:shd w:val="clear" w:color="auto" w:fill="E2E2E2"/>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Sociálne vplyvy</w:t>
            </w:r>
          </w:p>
        </w:tc>
        <w:tc>
          <w:tcPr>
            <w:tcW w:w="541" w:type="dxa"/>
            <w:gridSpan w:val="2"/>
            <w:tcBorders>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81" w:type="dxa"/>
            <w:gridSpan w:val="2"/>
            <w:tcBorders>
              <w:left w:val="nil"/>
              <w:right w:val="nil"/>
            </w:tcBorders>
          </w:tcPr>
          <w:p w:rsidR="001C0C07" w:rsidRPr="00AB70E2" w:rsidRDefault="001C0C07" w:rsidP="0062675C">
            <w:pPr>
              <w:ind w:right="-108"/>
              <w:rPr>
                <w:rFonts w:ascii="Times New Roman" w:hAnsi="Times New Roman"/>
                <w:b/>
                <w:sz w:val="24"/>
                <w:szCs w:val="24"/>
              </w:rPr>
            </w:pPr>
            <w:r w:rsidRPr="00AB70E2">
              <w:rPr>
                <w:rFonts w:ascii="Times New Roman" w:hAnsi="Times New Roman"/>
                <w:b/>
                <w:sz w:val="24"/>
                <w:szCs w:val="24"/>
              </w:rPr>
              <w:t>Pozitívne</w:t>
            </w:r>
          </w:p>
        </w:tc>
        <w:tc>
          <w:tcPr>
            <w:tcW w:w="569" w:type="dxa"/>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Gothic" w:hAnsi="Segoe UI Symbol" w:cs="Segoe UI Symbol"/>
                <w:b/>
                <w:sz w:val="24"/>
                <w:szCs w:val="24"/>
              </w:rPr>
              <w:t>☒</w:t>
            </w:r>
          </w:p>
        </w:tc>
        <w:tc>
          <w:tcPr>
            <w:tcW w:w="1133" w:type="dxa"/>
            <w:tcBorders>
              <w:left w:val="nil"/>
              <w:right w:val="nil"/>
            </w:tcBorders>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Žiadne</w:t>
            </w:r>
          </w:p>
        </w:tc>
        <w:tc>
          <w:tcPr>
            <w:tcW w:w="547" w:type="dxa"/>
            <w:gridSpan w:val="2"/>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97" w:type="dxa"/>
            <w:tcBorders>
              <w:left w:val="nil"/>
            </w:tcBorders>
          </w:tcPr>
          <w:p w:rsidR="001C0C07" w:rsidRPr="00AB70E2" w:rsidRDefault="001C0C07" w:rsidP="0062675C">
            <w:pPr>
              <w:ind w:left="54"/>
              <w:rPr>
                <w:rFonts w:ascii="Times New Roman" w:hAnsi="Times New Roman"/>
                <w:b/>
                <w:sz w:val="24"/>
                <w:szCs w:val="24"/>
              </w:rPr>
            </w:pPr>
            <w:r w:rsidRPr="00AB70E2">
              <w:rPr>
                <w:rFonts w:ascii="Times New Roman" w:hAnsi="Times New Roman"/>
                <w:b/>
                <w:sz w:val="24"/>
                <w:szCs w:val="24"/>
              </w:rPr>
              <w:t>Negatívne</w:t>
            </w:r>
          </w:p>
        </w:tc>
      </w:tr>
      <w:tr w:rsidR="001C0C07" w:rsidRPr="00AB70E2" w:rsidTr="0062675C">
        <w:tc>
          <w:tcPr>
            <w:tcW w:w="3812" w:type="dxa"/>
            <w:shd w:val="clear" w:color="auto" w:fill="E2E2E2"/>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Vplyvy na životné prostredie</w:t>
            </w:r>
          </w:p>
        </w:tc>
        <w:tc>
          <w:tcPr>
            <w:tcW w:w="541" w:type="dxa"/>
            <w:gridSpan w:val="2"/>
            <w:tcBorders>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81" w:type="dxa"/>
            <w:gridSpan w:val="2"/>
            <w:tcBorders>
              <w:left w:val="nil"/>
              <w:right w:val="nil"/>
            </w:tcBorders>
          </w:tcPr>
          <w:p w:rsidR="001C0C07" w:rsidRPr="00AB70E2" w:rsidRDefault="001C0C07" w:rsidP="0062675C">
            <w:pPr>
              <w:ind w:right="-108"/>
              <w:rPr>
                <w:rFonts w:ascii="Times New Roman" w:hAnsi="Times New Roman"/>
                <w:b/>
                <w:sz w:val="24"/>
                <w:szCs w:val="24"/>
              </w:rPr>
            </w:pPr>
            <w:r w:rsidRPr="00AB70E2">
              <w:rPr>
                <w:rFonts w:ascii="Times New Roman" w:hAnsi="Times New Roman"/>
                <w:b/>
                <w:sz w:val="24"/>
                <w:szCs w:val="24"/>
              </w:rPr>
              <w:t>Pozitívne</w:t>
            </w:r>
          </w:p>
        </w:tc>
        <w:tc>
          <w:tcPr>
            <w:tcW w:w="569" w:type="dxa"/>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Gothic" w:hAnsi="Segoe UI Symbol" w:cs="Segoe UI Symbol"/>
                <w:b/>
                <w:sz w:val="24"/>
                <w:szCs w:val="24"/>
              </w:rPr>
              <w:t>☒</w:t>
            </w:r>
          </w:p>
        </w:tc>
        <w:tc>
          <w:tcPr>
            <w:tcW w:w="1133" w:type="dxa"/>
            <w:tcBorders>
              <w:left w:val="nil"/>
              <w:right w:val="nil"/>
            </w:tcBorders>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Žiadne</w:t>
            </w:r>
          </w:p>
        </w:tc>
        <w:tc>
          <w:tcPr>
            <w:tcW w:w="547" w:type="dxa"/>
            <w:gridSpan w:val="2"/>
            <w:tcBorders>
              <w:left w:val="nil"/>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97" w:type="dxa"/>
            <w:tcBorders>
              <w:left w:val="nil"/>
            </w:tcBorders>
          </w:tcPr>
          <w:p w:rsidR="001C0C07" w:rsidRPr="00AB70E2" w:rsidRDefault="001C0C07" w:rsidP="0062675C">
            <w:pPr>
              <w:ind w:left="54"/>
              <w:rPr>
                <w:rFonts w:ascii="Times New Roman" w:hAnsi="Times New Roman"/>
                <w:b/>
                <w:sz w:val="24"/>
                <w:szCs w:val="24"/>
              </w:rPr>
            </w:pPr>
            <w:r w:rsidRPr="00AB70E2">
              <w:rPr>
                <w:rFonts w:ascii="Times New Roman" w:hAnsi="Times New Roman"/>
                <w:b/>
                <w:sz w:val="24"/>
                <w:szCs w:val="24"/>
              </w:rPr>
              <w:t>Negatívne</w:t>
            </w:r>
          </w:p>
        </w:tc>
      </w:tr>
      <w:tr w:rsidR="001C0C07" w:rsidRPr="00AB70E2" w:rsidTr="0062675C">
        <w:tc>
          <w:tcPr>
            <w:tcW w:w="3812" w:type="dxa"/>
            <w:shd w:val="clear" w:color="auto" w:fill="E2E2E2"/>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Vplyvy na informatizáciu</w:t>
            </w:r>
          </w:p>
        </w:tc>
        <w:tc>
          <w:tcPr>
            <w:tcW w:w="541" w:type="dxa"/>
            <w:gridSpan w:val="2"/>
            <w:tcBorders>
              <w:bottom w:val="single" w:sz="4" w:space="0" w:color="auto"/>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81" w:type="dxa"/>
            <w:gridSpan w:val="2"/>
            <w:tcBorders>
              <w:left w:val="nil"/>
              <w:bottom w:val="single" w:sz="4" w:space="0" w:color="auto"/>
              <w:right w:val="nil"/>
            </w:tcBorders>
          </w:tcPr>
          <w:p w:rsidR="001C0C07" w:rsidRPr="00AB70E2" w:rsidRDefault="001C0C07" w:rsidP="0062675C">
            <w:pPr>
              <w:ind w:right="-108"/>
              <w:rPr>
                <w:rFonts w:ascii="Times New Roman" w:hAnsi="Times New Roman"/>
                <w:b/>
                <w:sz w:val="24"/>
                <w:szCs w:val="24"/>
              </w:rPr>
            </w:pPr>
            <w:r w:rsidRPr="00AB70E2">
              <w:rPr>
                <w:rFonts w:ascii="Times New Roman" w:hAnsi="Times New Roman"/>
                <w:b/>
                <w:sz w:val="24"/>
                <w:szCs w:val="24"/>
              </w:rPr>
              <w:t>Pozitívne</w:t>
            </w:r>
          </w:p>
        </w:tc>
        <w:tc>
          <w:tcPr>
            <w:tcW w:w="569" w:type="dxa"/>
            <w:tcBorders>
              <w:left w:val="nil"/>
              <w:bottom w:val="single" w:sz="4" w:space="0" w:color="auto"/>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Gothic" w:hAnsi="Segoe UI Symbol" w:cs="Segoe UI Symbol"/>
                <w:b/>
                <w:sz w:val="24"/>
                <w:szCs w:val="24"/>
              </w:rPr>
              <w:t>☒</w:t>
            </w:r>
          </w:p>
        </w:tc>
        <w:tc>
          <w:tcPr>
            <w:tcW w:w="1133" w:type="dxa"/>
            <w:tcBorders>
              <w:left w:val="nil"/>
              <w:bottom w:val="single" w:sz="4" w:space="0" w:color="auto"/>
              <w:right w:val="nil"/>
            </w:tcBorders>
          </w:tcPr>
          <w:p w:rsidR="001C0C07" w:rsidRPr="00AB70E2" w:rsidRDefault="001C0C07" w:rsidP="0062675C">
            <w:pPr>
              <w:rPr>
                <w:rFonts w:ascii="Times New Roman" w:hAnsi="Times New Roman"/>
                <w:b/>
                <w:sz w:val="24"/>
                <w:szCs w:val="24"/>
              </w:rPr>
            </w:pPr>
            <w:r w:rsidRPr="00AB70E2">
              <w:rPr>
                <w:rFonts w:ascii="Times New Roman" w:hAnsi="Times New Roman"/>
                <w:b/>
                <w:sz w:val="24"/>
                <w:szCs w:val="24"/>
              </w:rPr>
              <w:t>Žiadne</w:t>
            </w:r>
          </w:p>
        </w:tc>
        <w:tc>
          <w:tcPr>
            <w:tcW w:w="547" w:type="dxa"/>
            <w:gridSpan w:val="2"/>
            <w:tcBorders>
              <w:left w:val="nil"/>
              <w:bottom w:val="single" w:sz="4" w:space="0" w:color="auto"/>
              <w:right w:val="nil"/>
            </w:tcBorders>
          </w:tcPr>
          <w:p w:rsidR="001C0C07" w:rsidRPr="00AB70E2" w:rsidRDefault="001C0C07" w:rsidP="0062675C">
            <w:pPr>
              <w:jc w:val="center"/>
              <w:rPr>
                <w:rFonts w:ascii="Times New Roman" w:hAnsi="Times New Roman"/>
                <w:b/>
                <w:sz w:val="24"/>
                <w:szCs w:val="24"/>
              </w:rPr>
            </w:pPr>
            <w:r w:rsidRPr="00AB70E2">
              <w:rPr>
                <w:rFonts w:ascii="Segoe UI Symbol" w:eastAsia="MS Mincho" w:hAnsi="Segoe UI Symbol" w:cs="Segoe UI Symbol"/>
                <w:b/>
                <w:sz w:val="24"/>
                <w:szCs w:val="24"/>
              </w:rPr>
              <w:t>☐</w:t>
            </w:r>
          </w:p>
        </w:tc>
        <w:tc>
          <w:tcPr>
            <w:tcW w:w="1297" w:type="dxa"/>
            <w:tcBorders>
              <w:left w:val="nil"/>
              <w:bottom w:val="single" w:sz="4" w:space="0" w:color="auto"/>
            </w:tcBorders>
          </w:tcPr>
          <w:p w:rsidR="001C0C07" w:rsidRPr="00AB70E2" w:rsidRDefault="001C0C07" w:rsidP="0062675C">
            <w:pPr>
              <w:ind w:left="54"/>
              <w:rPr>
                <w:rFonts w:ascii="Times New Roman" w:hAnsi="Times New Roman"/>
                <w:b/>
                <w:sz w:val="24"/>
                <w:szCs w:val="24"/>
              </w:rPr>
            </w:pPr>
            <w:r w:rsidRPr="00AB70E2">
              <w:rPr>
                <w:rFonts w:ascii="Times New Roman" w:hAnsi="Times New Roman"/>
                <w:b/>
                <w:sz w:val="24"/>
                <w:szCs w:val="24"/>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1C0C07" w:rsidRPr="00AB70E2" w:rsidTr="0062675C">
        <w:tc>
          <w:tcPr>
            <w:tcW w:w="3812" w:type="dxa"/>
            <w:tcBorders>
              <w:bottom w:val="nil"/>
            </w:tcBorders>
            <w:shd w:val="clear" w:color="auto" w:fill="E2E2E2"/>
          </w:tcPr>
          <w:p w:rsidR="001C0C07" w:rsidRPr="00AB70E2" w:rsidRDefault="001C0C07" w:rsidP="0062675C">
            <w:pPr>
              <w:rPr>
                <w:rFonts w:ascii="Times New Roman" w:hAnsi="Times New Roman" w:cs="Times New Roman"/>
                <w:b/>
                <w:sz w:val="24"/>
                <w:szCs w:val="24"/>
              </w:rPr>
            </w:pPr>
            <w:r w:rsidRPr="00AB70E2">
              <w:rPr>
                <w:rFonts w:ascii="Times New Roman" w:hAnsi="Times New Roman" w:cs="Times New Roman"/>
                <w:b/>
                <w:sz w:val="24"/>
                <w:szCs w:val="24"/>
              </w:rPr>
              <w:t>Vplyvy na služby verejnej správy pre občana, z toho</w:t>
            </w:r>
          </w:p>
        </w:tc>
        <w:tc>
          <w:tcPr>
            <w:tcW w:w="5368" w:type="dxa"/>
            <w:gridSpan w:val="6"/>
            <w:tcBorders>
              <w:bottom w:val="single" w:sz="4" w:space="0" w:color="auto"/>
            </w:tcBorders>
          </w:tcPr>
          <w:p w:rsidR="001C0C07" w:rsidRPr="00AB70E2" w:rsidRDefault="001C0C07" w:rsidP="0062675C">
            <w:pPr>
              <w:ind w:left="54"/>
              <w:rPr>
                <w:rFonts w:ascii="Times New Roman" w:hAnsi="Times New Roman" w:cs="Times New Roman"/>
                <w:b/>
                <w:sz w:val="24"/>
                <w:szCs w:val="24"/>
              </w:rPr>
            </w:pPr>
          </w:p>
        </w:tc>
      </w:tr>
      <w:tr w:rsidR="001C0C07" w:rsidRPr="00AB70E2" w:rsidTr="0062675C">
        <w:tc>
          <w:tcPr>
            <w:tcW w:w="3812" w:type="dxa"/>
            <w:tcBorders>
              <w:top w:val="nil"/>
              <w:bottom w:val="nil"/>
            </w:tcBorders>
            <w:shd w:val="clear" w:color="auto" w:fill="E2E2E2"/>
          </w:tcPr>
          <w:p w:rsidR="001C0C07" w:rsidRPr="00AB70E2" w:rsidRDefault="001C0C07" w:rsidP="0062675C">
            <w:pPr>
              <w:ind w:left="196" w:hanging="196"/>
              <w:rPr>
                <w:rFonts w:ascii="Times New Roman" w:hAnsi="Times New Roman" w:cs="Times New Roman"/>
                <w:b/>
                <w:sz w:val="24"/>
                <w:szCs w:val="24"/>
              </w:rPr>
            </w:pPr>
            <w:r w:rsidRPr="00AB70E2">
              <w:rPr>
                <w:rFonts w:ascii="Times New Roman" w:hAnsi="Times New Roman" w:cs="Times New Roman"/>
                <w:b/>
                <w:sz w:val="24"/>
                <w:szCs w:val="24"/>
              </w:rPr>
              <w:lastRenderedPageBreak/>
              <w:t xml:space="preserve">    vplyvy služieb verejnej správy na občana</w:t>
            </w:r>
          </w:p>
        </w:tc>
        <w:tc>
          <w:tcPr>
            <w:tcW w:w="541" w:type="dxa"/>
            <w:tcBorders>
              <w:top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Mincho" w:hAnsi="Segoe UI Symbol" w:cs="Segoe UI Symbol"/>
                <w:b/>
                <w:sz w:val="24"/>
                <w:szCs w:val="24"/>
              </w:rPr>
              <w:t>☐</w:t>
            </w:r>
          </w:p>
        </w:tc>
        <w:tc>
          <w:tcPr>
            <w:tcW w:w="1281" w:type="dxa"/>
            <w:tcBorders>
              <w:top w:val="single" w:sz="4" w:space="0" w:color="auto"/>
              <w:left w:val="nil"/>
              <w:bottom w:val="single" w:sz="4" w:space="0" w:color="auto"/>
              <w:right w:val="single" w:sz="4" w:space="0" w:color="auto"/>
            </w:tcBorders>
          </w:tcPr>
          <w:p w:rsidR="001C0C07" w:rsidRPr="00AB70E2" w:rsidRDefault="001C0C07" w:rsidP="0062675C">
            <w:pPr>
              <w:ind w:right="-108"/>
              <w:rPr>
                <w:rFonts w:ascii="Times New Roman" w:hAnsi="Times New Roman" w:cs="Times New Roman"/>
                <w:b/>
                <w:sz w:val="24"/>
                <w:szCs w:val="24"/>
              </w:rPr>
            </w:pPr>
            <w:r w:rsidRPr="00AB70E2">
              <w:rPr>
                <w:rFonts w:ascii="Times New Roman" w:hAnsi="Times New Roman" w:cs="Times New Roman"/>
                <w:b/>
                <w:sz w:val="24"/>
                <w:szCs w:val="24"/>
              </w:rPr>
              <w:t>Pozitívne</w:t>
            </w:r>
          </w:p>
        </w:tc>
        <w:tc>
          <w:tcPr>
            <w:tcW w:w="569" w:type="dxa"/>
            <w:tcBorders>
              <w:top w:val="single" w:sz="4" w:space="0" w:color="auto"/>
              <w:left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single" w:sz="4" w:space="0" w:color="auto"/>
            </w:tcBorders>
          </w:tcPr>
          <w:p w:rsidR="001C0C07" w:rsidRPr="00AB70E2" w:rsidRDefault="001C0C07" w:rsidP="0062675C">
            <w:pPr>
              <w:rPr>
                <w:rFonts w:ascii="Times New Roman" w:hAnsi="Times New Roman" w:cs="Times New Roman"/>
                <w:b/>
                <w:sz w:val="24"/>
                <w:szCs w:val="24"/>
              </w:rPr>
            </w:pPr>
            <w:r w:rsidRPr="00AB70E2">
              <w:rPr>
                <w:rFonts w:ascii="Times New Roman" w:hAnsi="Times New Roman" w:cs="Times New Roman"/>
                <w:b/>
                <w:sz w:val="24"/>
                <w:szCs w:val="24"/>
              </w:rPr>
              <w:t>Žiadne</w:t>
            </w:r>
          </w:p>
        </w:tc>
        <w:tc>
          <w:tcPr>
            <w:tcW w:w="547" w:type="dxa"/>
            <w:tcBorders>
              <w:top w:val="single" w:sz="4" w:space="0" w:color="auto"/>
              <w:left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Mincho" w:hAnsi="Segoe UI Symbol" w:cs="Segoe UI Symbol"/>
                <w:b/>
                <w:sz w:val="24"/>
                <w:szCs w:val="24"/>
              </w:rPr>
              <w:t>☐</w:t>
            </w:r>
          </w:p>
        </w:tc>
        <w:tc>
          <w:tcPr>
            <w:tcW w:w="1297" w:type="dxa"/>
            <w:tcBorders>
              <w:top w:val="single" w:sz="4" w:space="0" w:color="auto"/>
              <w:left w:val="nil"/>
              <w:bottom w:val="single" w:sz="4" w:space="0" w:color="auto"/>
            </w:tcBorders>
          </w:tcPr>
          <w:p w:rsidR="001C0C07" w:rsidRPr="00AB70E2" w:rsidRDefault="001C0C07" w:rsidP="0062675C">
            <w:pPr>
              <w:ind w:left="54"/>
              <w:rPr>
                <w:rFonts w:ascii="Times New Roman" w:hAnsi="Times New Roman" w:cs="Times New Roman"/>
                <w:b/>
                <w:sz w:val="24"/>
                <w:szCs w:val="24"/>
              </w:rPr>
            </w:pPr>
            <w:r w:rsidRPr="00AB70E2">
              <w:rPr>
                <w:rFonts w:ascii="Times New Roman" w:hAnsi="Times New Roman" w:cs="Times New Roman"/>
                <w:b/>
                <w:sz w:val="24"/>
                <w:szCs w:val="24"/>
              </w:rPr>
              <w:t>Negatívne</w:t>
            </w:r>
          </w:p>
        </w:tc>
      </w:tr>
      <w:tr w:rsidR="001C0C07" w:rsidRPr="00AB70E2" w:rsidTr="0062675C">
        <w:tc>
          <w:tcPr>
            <w:tcW w:w="3812" w:type="dxa"/>
            <w:tcBorders>
              <w:top w:val="nil"/>
              <w:bottom w:val="single" w:sz="4" w:space="0" w:color="auto"/>
            </w:tcBorders>
            <w:shd w:val="clear" w:color="auto" w:fill="E2E2E2"/>
          </w:tcPr>
          <w:p w:rsidR="001C0C07" w:rsidRPr="00AB70E2" w:rsidRDefault="001C0C07" w:rsidP="0062675C">
            <w:pPr>
              <w:ind w:left="168" w:hanging="168"/>
              <w:rPr>
                <w:rFonts w:ascii="Times New Roman" w:hAnsi="Times New Roman" w:cs="Times New Roman"/>
                <w:b/>
                <w:sz w:val="24"/>
                <w:szCs w:val="24"/>
              </w:rPr>
            </w:pPr>
            <w:r w:rsidRPr="00AB70E2">
              <w:rPr>
                <w:rFonts w:ascii="Times New Roman" w:hAnsi="Times New Roman" w:cs="Times New Roman"/>
                <w:b/>
                <w:sz w:val="24"/>
                <w:szCs w:val="24"/>
              </w:rPr>
              <w:t xml:space="preserve">    vplyvy na procesy služieb vo verejnej správe</w:t>
            </w:r>
          </w:p>
        </w:tc>
        <w:tc>
          <w:tcPr>
            <w:tcW w:w="541" w:type="dxa"/>
            <w:tcBorders>
              <w:top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Mincho" w:hAnsi="Segoe UI Symbol" w:cs="Segoe UI Symbol"/>
                <w:b/>
                <w:sz w:val="24"/>
                <w:szCs w:val="24"/>
              </w:rPr>
              <w:t>☐</w:t>
            </w:r>
          </w:p>
        </w:tc>
        <w:tc>
          <w:tcPr>
            <w:tcW w:w="1281" w:type="dxa"/>
            <w:tcBorders>
              <w:top w:val="single" w:sz="4" w:space="0" w:color="auto"/>
              <w:left w:val="nil"/>
              <w:bottom w:val="single" w:sz="4" w:space="0" w:color="auto"/>
              <w:right w:val="single" w:sz="4" w:space="0" w:color="auto"/>
            </w:tcBorders>
          </w:tcPr>
          <w:p w:rsidR="001C0C07" w:rsidRPr="00AB70E2" w:rsidRDefault="001C0C07" w:rsidP="0062675C">
            <w:pPr>
              <w:ind w:right="-108"/>
              <w:rPr>
                <w:rFonts w:ascii="Times New Roman" w:hAnsi="Times New Roman" w:cs="Times New Roman"/>
                <w:b/>
                <w:sz w:val="24"/>
                <w:szCs w:val="24"/>
              </w:rPr>
            </w:pPr>
            <w:r w:rsidRPr="00AB70E2">
              <w:rPr>
                <w:rFonts w:ascii="Times New Roman" w:hAnsi="Times New Roman" w:cs="Times New Roman"/>
                <w:b/>
                <w:sz w:val="24"/>
                <w:szCs w:val="24"/>
              </w:rPr>
              <w:t>Pozitívne</w:t>
            </w:r>
          </w:p>
        </w:tc>
        <w:tc>
          <w:tcPr>
            <w:tcW w:w="569" w:type="dxa"/>
            <w:tcBorders>
              <w:top w:val="single" w:sz="4" w:space="0" w:color="auto"/>
              <w:left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single" w:sz="4" w:space="0" w:color="auto"/>
            </w:tcBorders>
          </w:tcPr>
          <w:p w:rsidR="001C0C07" w:rsidRPr="00AB70E2" w:rsidRDefault="001C0C07" w:rsidP="0062675C">
            <w:pPr>
              <w:rPr>
                <w:rFonts w:ascii="Times New Roman" w:hAnsi="Times New Roman" w:cs="Times New Roman"/>
                <w:b/>
                <w:sz w:val="24"/>
                <w:szCs w:val="24"/>
              </w:rPr>
            </w:pPr>
            <w:r w:rsidRPr="00AB70E2">
              <w:rPr>
                <w:rFonts w:ascii="Times New Roman" w:hAnsi="Times New Roman" w:cs="Times New Roman"/>
                <w:b/>
                <w:sz w:val="24"/>
                <w:szCs w:val="24"/>
              </w:rPr>
              <w:t>Žiadne</w:t>
            </w:r>
          </w:p>
        </w:tc>
        <w:tc>
          <w:tcPr>
            <w:tcW w:w="547" w:type="dxa"/>
            <w:tcBorders>
              <w:top w:val="single" w:sz="4" w:space="0" w:color="auto"/>
              <w:left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Mincho" w:hAnsi="Segoe UI Symbol" w:cs="Segoe UI Symbol"/>
                <w:b/>
                <w:sz w:val="24"/>
                <w:szCs w:val="24"/>
              </w:rPr>
              <w:t>☐</w:t>
            </w:r>
          </w:p>
        </w:tc>
        <w:tc>
          <w:tcPr>
            <w:tcW w:w="1297" w:type="dxa"/>
            <w:tcBorders>
              <w:top w:val="single" w:sz="4" w:space="0" w:color="auto"/>
              <w:left w:val="nil"/>
              <w:bottom w:val="single" w:sz="4" w:space="0" w:color="auto"/>
            </w:tcBorders>
          </w:tcPr>
          <w:p w:rsidR="001C0C07" w:rsidRPr="00AB70E2" w:rsidRDefault="001C0C07" w:rsidP="0062675C">
            <w:pPr>
              <w:ind w:left="54"/>
              <w:rPr>
                <w:rFonts w:ascii="Times New Roman" w:hAnsi="Times New Roman" w:cs="Times New Roman"/>
                <w:b/>
                <w:sz w:val="24"/>
                <w:szCs w:val="24"/>
              </w:rPr>
            </w:pPr>
            <w:r w:rsidRPr="00AB70E2">
              <w:rPr>
                <w:rFonts w:ascii="Times New Roman" w:hAnsi="Times New Roman" w:cs="Times New Roman"/>
                <w:b/>
                <w:sz w:val="24"/>
                <w:szCs w:val="24"/>
              </w:rPr>
              <w:t>Negatívne</w:t>
            </w:r>
          </w:p>
        </w:tc>
      </w:tr>
      <w:tr w:rsidR="001C0C07" w:rsidRPr="00AB70E2" w:rsidTr="0062675C">
        <w:tc>
          <w:tcPr>
            <w:tcW w:w="3812" w:type="dxa"/>
            <w:tcBorders>
              <w:top w:val="nil"/>
              <w:bottom w:val="single" w:sz="4" w:space="0" w:color="auto"/>
            </w:tcBorders>
            <w:shd w:val="clear" w:color="auto" w:fill="E2E2E2"/>
          </w:tcPr>
          <w:p w:rsidR="001C0C07" w:rsidRPr="00AB70E2" w:rsidRDefault="001C0C07" w:rsidP="0062675C">
            <w:pPr>
              <w:rPr>
                <w:rFonts w:ascii="Times New Roman" w:hAnsi="Times New Roman" w:cs="Times New Roman"/>
                <w:b/>
                <w:sz w:val="24"/>
                <w:szCs w:val="24"/>
              </w:rPr>
            </w:pPr>
            <w:r w:rsidRPr="00AB70E2">
              <w:rPr>
                <w:rFonts w:ascii="Times New Roman" w:hAnsi="Times New Roman" w:cs="Times New Roman"/>
                <w:b/>
                <w:sz w:val="24"/>
                <w:szCs w:val="24"/>
              </w:rPr>
              <w:t>Vplyvy na manželstvo, rodičovstvo a rodinu</w:t>
            </w:r>
          </w:p>
        </w:tc>
        <w:tc>
          <w:tcPr>
            <w:tcW w:w="541" w:type="dxa"/>
            <w:tcBorders>
              <w:top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Mincho" w:hAnsi="Segoe UI Symbol" w:cs="Segoe UI Symbol"/>
                <w:b/>
                <w:sz w:val="24"/>
                <w:szCs w:val="24"/>
              </w:rPr>
              <w:t>☐</w:t>
            </w:r>
          </w:p>
        </w:tc>
        <w:tc>
          <w:tcPr>
            <w:tcW w:w="1281" w:type="dxa"/>
            <w:tcBorders>
              <w:top w:val="single" w:sz="4" w:space="0" w:color="auto"/>
              <w:left w:val="nil"/>
              <w:bottom w:val="single" w:sz="4" w:space="0" w:color="auto"/>
              <w:right w:val="single" w:sz="4" w:space="0" w:color="auto"/>
            </w:tcBorders>
          </w:tcPr>
          <w:p w:rsidR="001C0C07" w:rsidRPr="00AB70E2" w:rsidRDefault="001C0C07" w:rsidP="0062675C">
            <w:pPr>
              <w:ind w:right="-108"/>
              <w:rPr>
                <w:rFonts w:ascii="Times New Roman" w:hAnsi="Times New Roman" w:cs="Times New Roman"/>
                <w:b/>
                <w:sz w:val="24"/>
                <w:szCs w:val="24"/>
              </w:rPr>
            </w:pPr>
            <w:r w:rsidRPr="00AB70E2">
              <w:rPr>
                <w:rFonts w:ascii="Times New Roman" w:hAnsi="Times New Roman" w:cs="Times New Roman"/>
                <w:b/>
                <w:sz w:val="24"/>
                <w:szCs w:val="24"/>
              </w:rPr>
              <w:t>Pozitívne</w:t>
            </w:r>
          </w:p>
        </w:tc>
        <w:tc>
          <w:tcPr>
            <w:tcW w:w="569" w:type="dxa"/>
            <w:tcBorders>
              <w:top w:val="single" w:sz="4" w:space="0" w:color="auto"/>
              <w:left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single" w:sz="4" w:space="0" w:color="auto"/>
            </w:tcBorders>
          </w:tcPr>
          <w:p w:rsidR="001C0C07" w:rsidRPr="00AB70E2" w:rsidRDefault="001C0C07" w:rsidP="0062675C">
            <w:pPr>
              <w:rPr>
                <w:rFonts w:ascii="Times New Roman" w:hAnsi="Times New Roman" w:cs="Times New Roman"/>
                <w:b/>
                <w:sz w:val="24"/>
                <w:szCs w:val="24"/>
              </w:rPr>
            </w:pPr>
            <w:r w:rsidRPr="00AB70E2">
              <w:rPr>
                <w:rFonts w:ascii="Times New Roman" w:hAnsi="Times New Roman" w:cs="Times New Roman"/>
                <w:b/>
                <w:sz w:val="24"/>
                <w:szCs w:val="24"/>
              </w:rPr>
              <w:t>Žiadne</w:t>
            </w:r>
          </w:p>
        </w:tc>
        <w:tc>
          <w:tcPr>
            <w:tcW w:w="547" w:type="dxa"/>
            <w:tcBorders>
              <w:top w:val="single" w:sz="4" w:space="0" w:color="auto"/>
              <w:left w:val="single" w:sz="4" w:space="0" w:color="auto"/>
              <w:bottom w:val="single" w:sz="4" w:space="0" w:color="auto"/>
              <w:right w:val="nil"/>
            </w:tcBorders>
          </w:tcPr>
          <w:p w:rsidR="001C0C07" w:rsidRPr="00AB70E2" w:rsidRDefault="001C0C07" w:rsidP="0062675C">
            <w:pPr>
              <w:jc w:val="center"/>
              <w:rPr>
                <w:rFonts w:ascii="Times New Roman" w:eastAsia="MS Mincho" w:hAnsi="Times New Roman" w:cs="Times New Roman"/>
                <w:b/>
                <w:sz w:val="24"/>
                <w:szCs w:val="24"/>
              </w:rPr>
            </w:pPr>
            <w:r w:rsidRPr="00AB70E2">
              <w:rPr>
                <w:rFonts w:ascii="Segoe UI Symbol" w:eastAsia="MS Mincho" w:hAnsi="Segoe UI Symbol" w:cs="Segoe UI Symbol"/>
                <w:b/>
                <w:sz w:val="24"/>
                <w:szCs w:val="24"/>
              </w:rPr>
              <w:t>☐</w:t>
            </w:r>
          </w:p>
        </w:tc>
        <w:tc>
          <w:tcPr>
            <w:tcW w:w="1297" w:type="dxa"/>
            <w:tcBorders>
              <w:top w:val="single" w:sz="4" w:space="0" w:color="auto"/>
              <w:left w:val="nil"/>
              <w:bottom w:val="single" w:sz="4" w:space="0" w:color="auto"/>
            </w:tcBorders>
          </w:tcPr>
          <w:p w:rsidR="001C0C07" w:rsidRPr="00AB70E2" w:rsidRDefault="001C0C07" w:rsidP="0062675C">
            <w:pPr>
              <w:ind w:left="54"/>
              <w:rPr>
                <w:rFonts w:ascii="Times New Roman" w:hAnsi="Times New Roman" w:cs="Times New Roman"/>
                <w:b/>
                <w:sz w:val="24"/>
                <w:szCs w:val="24"/>
              </w:rPr>
            </w:pPr>
            <w:r w:rsidRPr="00AB70E2">
              <w:rPr>
                <w:rFonts w:ascii="Times New Roman" w:hAnsi="Times New Roman" w:cs="Times New Roman"/>
                <w:b/>
                <w:sz w:val="24"/>
                <w:szCs w:val="24"/>
              </w:rPr>
              <w:t>Negatívne</w:t>
            </w:r>
          </w:p>
        </w:tc>
      </w:tr>
    </w:tbl>
    <w:p w:rsidR="001C0C07" w:rsidRPr="00AB70E2" w:rsidRDefault="001C0C07" w:rsidP="001C0C07">
      <w:pPr>
        <w:ind w:right="141"/>
        <w:rPr>
          <w:rFonts w:ascii="Times New Roman" w:hAnsi="Times New Roman" w:cs="Times New Roman"/>
          <w:b/>
          <w:sz w:val="24"/>
          <w:szCs w:val="24"/>
        </w:rPr>
      </w:pPr>
    </w:p>
    <w:tbl>
      <w:tblPr>
        <w:tblStyle w:val="Mriekatabuky"/>
        <w:tblW w:w="9176" w:type="dxa"/>
        <w:tblLayout w:type="fixed"/>
        <w:tblLook w:val="04A0" w:firstRow="1" w:lastRow="0" w:firstColumn="1" w:lastColumn="0" w:noHBand="0" w:noVBand="1"/>
      </w:tblPr>
      <w:tblGrid>
        <w:gridCol w:w="9176"/>
      </w:tblGrid>
      <w:tr w:rsidR="001C0C07" w:rsidRPr="00AB70E2" w:rsidTr="0062675C">
        <w:tc>
          <w:tcPr>
            <w:tcW w:w="9176" w:type="dxa"/>
            <w:tcBorders>
              <w:bottom w:val="nil"/>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Poznámky</w:t>
            </w:r>
          </w:p>
        </w:tc>
      </w:tr>
      <w:tr w:rsidR="001C0C07" w:rsidRPr="00AB70E2" w:rsidTr="0062675C">
        <w:trPr>
          <w:trHeight w:val="713"/>
        </w:trPr>
        <w:tc>
          <w:tcPr>
            <w:tcW w:w="9176" w:type="dxa"/>
            <w:tcBorders>
              <w:top w:val="nil"/>
              <w:bottom w:val="single" w:sz="4" w:space="0" w:color="FFFFFF" w:themeColor="background1"/>
            </w:tcBorders>
          </w:tcPr>
          <w:p w:rsidR="001C0C07" w:rsidRPr="00AB70E2" w:rsidRDefault="001C0C07" w:rsidP="0062675C">
            <w:pPr>
              <w:jc w:val="both"/>
              <w:rPr>
                <w:rFonts w:ascii="Times New Roman" w:hAnsi="Times New Roman"/>
                <w:sz w:val="24"/>
                <w:szCs w:val="24"/>
              </w:rPr>
            </w:pPr>
            <w:r w:rsidRPr="00AB70E2">
              <w:rPr>
                <w:rFonts w:ascii="Times New Roman" w:hAnsi="Times New Roman"/>
                <w:sz w:val="24"/>
                <w:szCs w:val="24"/>
              </w:rPr>
              <w:t>Prípadný pozitívny vplyv na rozpočet verejnej správy (štátny rozpočet) v súvislosti s návrhom na zvýšenie hornej hranice pokuty, ktorú možno uložiť za nesplnenie povinností uvedených v tomto zákone, sa neuvádza z dôvodu, že nie je isté, či vôbec nastane a nie je možné ho ani kvantifikovať, keďže vopred nie je známe, koľko pokút bude uložených a aká bude ich výška.</w:t>
            </w:r>
          </w:p>
        </w:tc>
      </w:tr>
      <w:tr w:rsidR="001C0C07" w:rsidRPr="00AB70E2" w:rsidTr="0062675C">
        <w:tc>
          <w:tcPr>
            <w:tcW w:w="9176" w:type="dxa"/>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Kontakt na spracovateľa</w:t>
            </w:r>
          </w:p>
        </w:tc>
      </w:tr>
      <w:tr w:rsidR="001C0C07" w:rsidRPr="00AB70E2" w:rsidTr="0062675C">
        <w:trPr>
          <w:trHeight w:val="586"/>
        </w:trPr>
        <w:tc>
          <w:tcPr>
            <w:tcW w:w="9176" w:type="dxa"/>
            <w:tcBorders>
              <w:top w:val="single" w:sz="4" w:space="0" w:color="FFFFFF" w:themeColor="background1"/>
            </w:tcBorders>
            <w:shd w:val="clear" w:color="auto" w:fill="FFFFFF" w:themeFill="background1"/>
          </w:tcPr>
          <w:p w:rsidR="001C0C07" w:rsidRPr="00AB70E2" w:rsidRDefault="001C0C07" w:rsidP="0062675C">
            <w:pPr>
              <w:rPr>
                <w:rFonts w:ascii="Times New Roman" w:hAnsi="Times New Roman"/>
                <w:sz w:val="24"/>
                <w:szCs w:val="24"/>
              </w:rPr>
            </w:pPr>
            <w:r w:rsidRPr="00AB70E2">
              <w:rPr>
                <w:rFonts w:ascii="Times New Roman" w:hAnsi="Times New Roman"/>
                <w:sz w:val="24"/>
                <w:szCs w:val="24"/>
              </w:rPr>
              <w:t>Ministerstvo financií SR, Odbor rozpočtovej regulácie verejnej správy</w:t>
            </w:r>
          </w:p>
          <w:p w:rsidR="001C0C07" w:rsidRPr="00AB70E2" w:rsidRDefault="001C0C07" w:rsidP="0062675C">
            <w:pPr>
              <w:rPr>
                <w:rFonts w:ascii="Times New Roman" w:hAnsi="Times New Roman"/>
                <w:sz w:val="24"/>
                <w:szCs w:val="24"/>
              </w:rPr>
            </w:pPr>
            <w:r w:rsidRPr="00AB70E2">
              <w:rPr>
                <w:rFonts w:ascii="Times New Roman" w:hAnsi="Times New Roman"/>
                <w:sz w:val="24"/>
                <w:szCs w:val="24"/>
              </w:rPr>
              <w:t xml:space="preserve">Mgr. Lenka Gilányi, </w:t>
            </w:r>
            <w:hyperlink r:id="rId7" w:history="1">
              <w:r w:rsidRPr="00AB70E2">
                <w:rPr>
                  <w:rStyle w:val="Hypertextovprepojenie"/>
                  <w:rFonts w:ascii="Times New Roman" w:hAnsi="Times New Roman"/>
                  <w:sz w:val="24"/>
                  <w:szCs w:val="24"/>
                </w:rPr>
                <w:t>lenka.gilanyi@mfsr.sk</w:t>
              </w:r>
            </w:hyperlink>
          </w:p>
          <w:p w:rsidR="001C0C07" w:rsidRPr="00AB70E2" w:rsidRDefault="001C0C07" w:rsidP="0062675C">
            <w:pPr>
              <w:rPr>
                <w:rFonts w:ascii="Times New Roman" w:hAnsi="Times New Roman"/>
                <w:sz w:val="24"/>
                <w:szCs w:val="24"/>
              </w:rPr>
            </w:pPr>
            <w:r w:rsidRPr="00AB70E2">
              <w:rPr>
                <w:rFonts w:ascii="Times New Roman" w:hAnsi="Times New Roman"/>
                <w:sz w:val="24"/>
                <w:szCs w:val="24"/>
              </w:rPr>
              <w:t xml:space="preserve">Ing. Zdenka </w:t>
            </w:r>
            <w:proofErr w:type="spellStart"/>
            <w:r w:rsidRPr="00AB70E2">
              <w:rPr>
                <w:rFonts w:ascii="Times New Roman" w:hAnsi="Times New Roman"/>
                <w:sz w:val="24"/>
                <w:szCs w:val="24"/>
              </w:rPr>
              <w:t>Lakotová</w:t>
            </w:r>
            <w:proofErr w:type="spellEnd"/>
            <w:r w:rsidRPr="00AB70E2">
              <w:rPr>
                <w:rFonts w:ascii="Times New Roman" w:hAnsi="Times New Roman"/>
                <w:sz w:val="24"/>
                <w:szCs w:val="24"/>
              </w:rPr>
              <w:t xml:space="preserve">, </w:t>
            </w:r>
            <w:hyperlink r:id="rId8" w:history="1">
              <w:r w:rsidRPr="00AB70E2">
                <w:rPr>
                  <w:rStyle w:val="Hypertextovprepojenie"/>
                  <w:rFonts w:ascii="Times New Roman" w:hAnsi="Times New Roman"/>
                  <w:sz w:val="24"/>
                  <w:szCs w:val="24"/>
                </w:rPr>
                <w:t>zdenka.lakotova@mfsr.sk</w:t>
              </w:r>
            </w:hyperlink>
          </w:p>
          <w:p w:rsidR="001C0C07" w:rsidRPr="00AB70E2" w:rsidRDefault="001C0C07" w:rsidP="0062675C">
            <w:pPr>
              <w:rPr>
                <w:rFonts w:ascii="Times New Roman" w:hAnsi="Times New Roman"/>
                <w:sz w:val="24"/>
                <w:szCs w:val="24"/>
              </w:rPr>
            </w:pPr>
            <w:r w:rsidRPr="00AB70E2">
              <w:rPr>
                <w:rFonts w:ascii="Times New Roman" w:hAnsi="Times New Roman"/>
                <w:sz w:val="24"/>
                <w:szCs w:val="24"/>
              </w:rPr>
              <w:t>02/5958 2331</w:t>
            </w:r>
          </w:p>
        </w:tc>
      </w:tr>
      <w:tr w:rsidR="001C0C07" w:rsidRPr="00AB70E2" w:rsidTr="0062675C">
        <w:tc>
          <w:tcPr>
            <w:tcW w:w="9176" w:type="dxa"/>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Zdroje</w:t>
            </w:r>
          </w:p>
        </w:tc>
      </w:tr>
      <w:tr w:rsidR="001C0C07" w:rsidRPr="00AB70E2" w:rsidTr="0062675C">
        <w:trPr>
          <w:trHeight w:val="401"/>
        </w:trPr>
        <w:tc>
          <w:tcPr>
            <w:tcW w:w="9176" w:type="dxa"/>
            <w:tcBorders>
              <w:top w:val="single" w:sz="4" w:space="0" w:color="FFFFFF" w:themeColor="background1"/>
            </w:tcBorders>
            <w:shd w:val="clear" w:color="auto" w:fill="FFFFFF" w:themeFill="background1"/>
          </w:tcPr>
          <w:p w:rsidR="001C0C07" w:rsidRPr="00AB70E2" w:rsidRDefault="001C0C07" w:rsidP="0062675C">
            <w:pPr>
              <w:rPr>
                <w:rFonts w:ascii="Times New Roman" w:hAnsi="Times New Roman"/>
                <w:sz w:val="24"/>
                <w:szCs w:val="24"/>
              </w:rPr>
            </w:pPr>
          </w:p>
          <w:p w:rsidR="001C0C07" w:rsidRPr="00AB70E2" w:rsidRDefault="001C0C07" w:rsidP="0062675C">
            <w:pPr>
              <w:rPr>
                <w:rFonts w:ascii="Times New Roman" w:hAnsi="Times New Roman"/>
                <w:i/>
                <w:sz w:val="24"/>
                <w:szCs w:val="24"/>
              </w:rPr>
            </w:pPr>
          </w:p>
          <w:p w:rsidR="001C0C07" w:rsidRPr="00AB70E2" w:rsidRDefault="001C0C07" w:rsidP="0062675C">
            <w:pPr>
              <w:rPr>
                <w:rFonts w:ascii="Times New Roman" w:hAnsi="Times New Roman"/>
                <w:b/>
                <w:sz w:val="24"/>
                <w:szCs w:val="24"/>
              </w:rPr>
            </w:pPr>
          </w:p>
        </w:tc>
      </w:tr>
      <w:tr w:rsidR="001C0C07" w:rsidRPr="00AB70E2" w:rsidTr="0062675C">
        <w:tc>
          <w:tcPr>
            <w:tcW w:w="9176" w:type="dxa"/>
            <w:tcBorders>
              <w:bottom w:val="single" w:sz="4" w:space="0" w:color="FFFFFF" w:themeColor="background1"/>
            </w:tcBorders>
            <w:shd w:val="clear" w:color="auto" w:fill="E2E2E2"/>
          </w:tcPr>
          <w:p w:rsidR="001C0C07" w:rsidRPr="00AB70E2" w:rsidRDefault="001C0C07" w:rsidP="0062675C">
            <w:pPr>
              <w:pStyle w:val="Odsekzoznamu"/>
              <w:numPr>
                <w:ilvl w:val="0"/>
                <w:numId w:val="1"/>
              </w:numPr>
              <w:ind w:left="426"/>
              <w:rPr>
                <w:rFonts w:ascii="Times New Roman" w:hAnsi="Times New Roman"/>
                <w:b/>
                <w:sz w:val="24"/>
                <w:szCs w:val="24"/>
              </w:rPr>
            </w:pPr>
            <w:r w:rsidRPr="00AB70E2">
              <w:rPr>
                <w:rFonts w:ascii="Times New Roman" w:hAnsi="Times New Roman"/>
                <w:b/>
                <w:sz w:val="24"/>
                <w:szCs w:val="24"/>
              </w:rPr>
              <w:t>Stanovisko Komisie pre posudzovanie vybraných vplyvov z PPK</w:t>
            </w:r>
          </w:p>
        </w:tc>
      </w:tr>
      <w:tr w:rsidR="001C0C07" w:rsidRPr="00AB70E2" w:rsidTr="0062675C">
        <w:tc>
          <w:tcPr>
            <w:tcW w:w="9176" w:type="dxa"/>
            <w:tcBorders>
              <w:top w:val="single" w:sz="4" w:space="0" w:color="FFFFFF" w:themeColor="background1"/>
            </w:tcBorders>
            <w:shd w:val="clear" w:color="auto" w:fill="FFFFFF" w:themeFill="background1"/>
          </w:tcPr>
          <w:p w:rsidR="001C0C07" w:rsidRPr="00AB70E2" w:rsidRDefault="001C0C07" w:rsidP="0062675C">
            <w:pPr>
              <w:rPr>
                <w:rFonts w:ascii="Times New Roman" w:hAnsi="Times New Roman"/>
                <w:b/>
                <w:sz w:val="24"/>
                <w:szCs w:val="24"/>
              </w:rPr>
            </w:pPr>
            <w:r w:rsidRPr="00AB70E2">
              <w:rPr>
                <w:rFonts w:ascii="Times New Roman" w:hAnsi="Times New Roman"/>
                <w:sz w:val="24"/>
                <w:szCs w:val="24"/>
              </w:rPr>
              <w:t>Bezpredmetné.</w:t>
            </w:r>
          </w:p>
          <w:p w:rsidR="001C0C07" w:rsidRPr="00AB70E2" w:rsidRDefault="001C0C07" w:rsidP="0062675C">
            <w:pPr>
              <w:rPr>
                <w:rFonts w:ascii="Times New Roman" w:hAnsi="Times New Roman"/>
                <w:b/>
                <w:sz w:val="24"/>
                <w:szCs w:val="24"/>
              </w:rPr>
            </w:pPr>
          </w:p>
          <w:p w:rsidR="001C0C07" w:rsidRPr="00AB70E2" w:rsidRDefault="001C0C07" w:rsidP="0062675C">
            <w:pPr>
              <w:rPr>
                <w:rFonts w:ascii="Times New Roman" w:hAnsi="Times New Roman"/>
                <w:b/>
                <w:sz w:val="24"/>
                <w:szCs w:val="24"/>
              </w:rPr>
            </w:pPr>
          </w:p>
          <w:p w:rsidR="001C0C07" w:rsidRPr="00AB70E2" w:rsidRDefault="001C0C07" w:rsidP="0062675C">
            <w:pPr>
              <w:rPr>
                <w:rFonts w:ascii="Times New Roman" w:hAnsi="Times New Roman"/>
                <w:b/>
                <w:sz w:val="24"/>
                <w:szCs w:val="24"/>
              </w:rPr>
            </w:pPr>
          </w:p>
        </w:tc>
      </w:tr>
    </w:tbl>
    <w:p w:rsidR="001C0C07" w:rsidRDefault="001C0C07" w:rsidP="001C0C07">
      <w:pPr>
        <w:rPr>
          <w:b/>
        </w:rPr>
      </w:pPr>
    </w:p>
    <w:p w:rsidR="001C0C07" w:rsidRDefault="001C0C07">
      <w:pPr>
        <w:rPr>
          <w:b/>
        </w:rPr>
      </w:pPr>
      <w:r>
        <w:rPr>
          <w:b/>
        </w:rPr>
        <w:br w:type="page"/>
      </w:r>
    </w:p>
    <w:p w:rsidR="001C0C07" w:rsidRPr="001C0C07" w:rsidRDefault="001C0C07" w:rsidP="001C0C07">
      <w:pPr>
        <w:pStyle w:val="Nzov"/>
      </w:pPr>
      <w:r w:rsidRPr="001C0C07">
        <w:lastRenderedPageBreak/>
        <w:t>DOLOŽKA ZLUČITEĽNOSTI</w:t>
      </w:r>
    </w:p>
    <w:p w:rsidR="001C0C07" w:rsidRPr="001C0C07" w:rsidRDefault="001C0C07" w:rsidP="001C0C07">
      <w:pPr>
        <w:pBdr>
          <w:bottom w:val="single" w:sz="6" w:space="1" w:color="auto"/>
        </w:pBdr>
        <w:jc w:val="center"/>
        <w:rPr>
          <w:rFonts w:ascii="Times New Roman" w:hAnsi="Times New Roman" w:cs="Times New Roman"/>
          <w:bCs/>
          <w:sz w:val="24"/>
          <w:szCs w:val="24"/>
        </w:rPr>
      </w:pPr>
      <w:r w:rsidRPr="001C0C07">
        <w:rPr>
          <w:rFonts w:ascii="Times New Roman" w:hAnsi="Times New Roman" w:cs="Times New Roman"/>
          <w:sz w:val="24"/>
          <w:szCs w:val="24"/>
        </w:rPr>
        <w:t>návrhu zákona, ktorým sa mení a dopĺňa zákon č. 523/2004 Z. z. o rozpočtových pravidlách verejnej správy a o zmene a doplnení niektorých zákonov v znení neskorších predpisov s </w:t>
      </w:r>
      <w:r w:rsidRPr="001C0C07">
        <w:rPr>
          <w:rFonts w:ascii="Times New Roman" w:hAnsi="Times New Roman" w:cs="Times New Roman"/>
          <w:bCs/>
          <w:sz w:val="24"/>
          <w:szCs w:val="24"/>
        </w:rPr>
        <w:t>právom Európskej únie</w:t>
      </w:r>
    </w:p>
    <w:p w:rsidR="001C0C07" w:rsidRPr="001C0C07" w:rsidRDefault="001C0C07" w:rsidP="001C0C07">
      <w:pPr>
        <w:jc w:val="center"/>
        <w:rPr>
          <w:rFonts w:ascii="Times New Roman" w:hAnsi="Times New Roman" w:cs="Times New Roman"/>
          <w:b/>
          <w:sz w:val="24"/>
          <w:szCs w:val="24"/>
        </w:rPr>
      </w:pPr>
    </w:p>
    <w:p w:rsidR="001C0C07" w:rsidRPr="001C0C07" w:rsidRDefault="001C0C07" w:rsidP="001C0C07">
      <w:pPr>
        <w:numPr>
          <w:ilvl w:val="0"/>
          <w:numId w:val="3"/>
        </w:numPr>
        <w:spacing w:after="120" w:line="240" w:lineRule="auto"/>
        <w:jc w:val="both"/>
        <w:rPr>
          <w:rFonts w:ascii="Times New Roman" w:hAnsi="Times New Roman" w:cs="Times New Roman"/>
          <w:sz w:val="24"/>
          <w:szCs w:val="24"/>
        </w:rPr>
      </w:pPr>
      <w:r w:rsidRPr="001C0C07">
        <w:rPr>
          <w:rFonts w:ascii="Times New Roman" w:hAnsi="Times New Roman" w:cs="Times New Roman"/>
          <w:b/>
          <w:sz w:val="24"/>
          <w:szCs w:val="24"/>
        </w:rPr>
        <w:t>Navrhovateľ zákona:</w:t>
      </w:r>
    </w:p>
    <w:p w:rsidR="001C0C07" w:rsidRPr="001C0C07" w:rsidRDefault="001C0C07" w:rsidP="001C0C07">
      <w:pPr>
        <w:ind w:firstLine="425"/>
        <w:jc w:val="both"/>
        <w:rPr>
          <w:rFonts w:ascii="Times New Roman" w:hAnsi="Times New Roman" w:cs="Times New Roman"/>
          <w:sz w:val="24"/>
          <w:szCs w:val="24"/>
        </w:rPr>
      </w:pPr>
      <w:r w:rsidRPr="001C0C07">
        <w:rPr>
          <w:rFonts w:ascii="Times New Roman" w:hAnsi="Times New Roman" w:cs="Times New Roman"/>
          <w:sz w:val="24"/>
          <w:szCs w:val="24"/>
        </w:rPr>
        <w:t>Vláda Slovenskej republiky.</w:t>
      </w:r>
    </w:p>
    <w:p w:rsidR="001C0C07" w:rsidRPr="001C0C07" w:rsidRDefault="001C0C07" w:rsidP="001C0C07">
      <w:pPr>
        <w:jc w:val="both"/>
        <w:rPr>
          <w:rFonts w:ascii="Times New Roman" w:hAnsi="Times New Roman" w:cs="Times New Roman"/>
          <w:b/>
          <w:sz w:val="24"/>
          <w:szCs w:val="24"/>
        </w:rPr>
      </w:pPr>
    </w:p>
    <w:p w:rsidR="001C0C07" w:rsidRPr="001C0C07" w:rsidRDefault="001C0C07" w:rsidP="001C0C07">
      <w:pPr>
        <w:numPr>
          <w:ilvl w:val="0"/>
          <w:numId w:val="3"/>
        </w:numPr>
        <w:spacing w:after="120" w:line="240" w:lineRule="auto"/>
        <w:jc w:val="both"/>
        <w:rPr>
          <w:rFonts w:ascii="Times New Roman" w:hAnsi="Times New Roman" w:cs="Times New Roman"/>
          <w:b/>
          <w:sz w:val="24"/>
          <w:szCs w:val="24"/>
        </w:rPr>
      </w:pPr>
      <w:r w:rsidRPr="001C0C07">
        <w:rPr>
          <w:rFonts w:ascii="Times New Roman" w:hAnsi="Times New Roman" w:cs="Times New Roman"/>
          <w:b/>
          <w:sz w:val="24"/>
          <w:szCs w:val="24"/>
        </w:rPr>
        <w:t>Názov návrhu zákona:</w:t>
      </w:r>
    </w:p>
    <w:p w:rsidR="001C0C07" w:rsidRPr="001C0C07" w:rsidRDefault="001C0C07" w:rsidP="001C0C07">
      <w:pPr>
        <w:ind w:left="425"/>
        <w:jc w:val="both"/>
        <w:rPr>
          <w:rFonts w:ascii="Times New Roman" w:hAnsi="Times New Roman" w:cs="Times New Roman"/>
          <w:sz w:val="24"/>
          <w:szCs w:val="24"/>
        </w:rPr>
      </w:pPr>
      <w:r w:rsidRPr="001C0C07">
        <w:rPr>
          <w:rFonts w:ascii="Times New Roman" w:hAnsi="Times New Roman" w:cs="Times New Roman"/>
          <w:sz w:val="24"/>
          <w:szCs w:val="24"/>
        </w:rPr>
        <w:t>Návrh zákona, ktorým sa mení a dopĺňa zákon č. 523/2004 Z. z. o rozpočtových pravidlách verejnej správy a o zmene a doplnení niektorých zákonov v znení neskorších predpisov.</w:t>
      </w:r>
    </w:p>
    <w:p w:rsidR="001C0C07" w:rsidRPr="001C0C07" w:rsidRDefault="001C0C07" w:rsidP="001C0C07">
      <w:pPr>
        <w:jc w:val="both"/>
        <w:rPr>
          <w:rFonts w:ascii="Times New Roman" w:hAnsi="Times New Roman" w:cs="Times New Roman"/>
          <w:b/>
          <w:sz w:val="24"/>
          <w:szCs w:val="24"/>
        </w:rPr>
      </w:pPr>
    </w:p>
    <w:p w:rsidR="001C0C07" w:rsidRPr="001C0C07" w:rsidRDefault="001C0C07" w:rsidP="001C0C07">
      <w:pPr>
        <w:numPr>
          <w:ilvl w:val="0"/>
          <w:numId w:val="3"/>
        </w:numPr>
        <w:spacing w:after="120" w:line="240" w:lineRule="auto"/>
        <w:jc w:val="both"/>
        <w:rPr>
          <w:rFonts w:ascii="Times New Roman" w:hAnsi="Times New Roman" w:cs="Times New Roman"/>
          <w:b/>
          <w:sz w:val="24"/>
          <w:szCs w:val="24"/>
        </w:rPr>
      </w:pPr>
      <w:r w:rsidRPr="001C0C07">
        <w:rPr>
          <w:rFonts w:ascii="Times New Roman" w:hAnsi="Times New Roman" w:cs="Times New Roman"/>
          <w:b/>
          <w:sz w:val="24"/>
          <w:szCs w:val="24"/>
        </w:rPr>
        <w:t>Predmet návrhu zákona je upravený v práve Európskej únie</w:t>
      </w:r>
      <w:r w:rsidRPr="001C0C07">
        <w:rPr>
          <w:rFonts w:ascii="Times New Roman" w:hAnsi="Times New Roman" w:cs="Times New Roman"/>
          <w:sz w:val="24"/>
          <w:szCs w:val="24"/>
        </w:rPr>
        <w:t>:</w:t>
      </w:r>
    </w:p>
    <w:p w:rsidR="001C0C07" w:rsidRPr="001C0C07" w:rsidRDefault="001C0C07" w:rsidP="001C0C07">
      <w:pPr>
        <w:pStyle w:val="Zkladntext"/>
        <w:spacing w:before="120"/>
        <w:ind w:left="357"/>
        <w:rPr>
          <w:b/>
        </w:rPr>
      </w:pPr>
      <w:r w:rsidRPr="001C0C07">
        <w:rPr>
          <w:b/>
        </w:rPr>
        <w:t xml:space="preserve">a) Primárne právo: </w:t>
      </w:r>
    </w:p>
    <w:p w:rsidR="001C0C07" w:rsidRPr="001C0C07" w:rsidRDefault="001C0C07" w:rsidP="001C0C07">
      <w:pPr>
        <w:pStyle w:val="Zkladntext"/>
        <w:numPr>
          <w:ilvl w:val="0"/>
          <w:numId w:val="6"/>
        </w:numPr>
        <w:jc w:val="both"/>
      </w:pPr>
      <w:r w:rsidRPr="001C0C07">
        <w:t>čl. 3, 107, 108, 121, 126, čl. 310 až 325 Zmluvy o fungovaní Európskej únie (</w:t>
      </w:r>
      <w:r w:rsidRPr="001C0C07">
        <w:rPr>
          <w:rStyle w:val="awspan1"/>
        </w:rPr>
        <w:t>Ú. v. EÚ C 202, 7.6.2016) v platnom znení</w:t>
      </w:r>
      <w:r w:rsidRPr="001C0C07">
        <w:t>,</w:t>
      </w:r>
    </w:p>
    <w:p w:rsidR="001C0C07" w:rsidRPr="001C0C07" w:rsidRDefault="001C0C07" w:rsidP="001C0C07">
      <w:pPr>
        <w:pStyle w:val="Zkladntext"/>
        <w:numPr>
          <w:ilvl w:val="0"/>
          <w:numId w:val="6"/>
        </w:numPr>
        <w:jc w:val="both"/>
      </w:pPr>
      <w:r w:rsidRPr="001C0C07">
        <w:t>čl. 16 a 17 Zmluvy o Európskej únii (</w:t>
      </w:r>
      <w:r w:rsidRPr="001C0C07">
        <w:rPr>
          <w:rStyle w:val="awspan1"/>
        </w:rPr>
        <w:t>Ú. v. EÚ C 202, 7.6.2016) v platnom znení</w:t>
      </w:r>
      <w:r w:rsidRPr="001C0C07">
        <w:t>,</w:t>
      </w:r>
    </w:p>
    <w:p w:rsidR="001C0C07" w:rsidRPr="001C0C07" w:rsidRDefault="001C0C07" w:rsidP="001C0C07">
      <w:pPr>
        <w:pStyle w:val="Zkladntext"/>
        <w:numPr>
          <w:ilvl w:val="0"/>
          <w:numId w:val="5"/>
        </w:numPr>
        <w:jc w:val="both"/>
      </w:pPr>
      <w:r w:rsidRPr="001C0C07">
        <w:t>Protokol (č.12) o postupe pri nadmernom deficite pripojený k Zmluve o fungovaní Európskej únie a Zmluve o Európskej únii (</w:t>
      </w:r>
      <w:r w:rsidRPr="001C0C07">
        <w:rPr>
          <w:rStyle w:val="awspan1"/>
        </w:rPr>
        <w:t>Ú. v. EÚ C 202, 7.6.2016) v platnom znení</w:t>
      </w:r>
      <w:r w:rsidRPr="001C0C07">
        <w:t>.</w:t>
      </w:r>
    </w:p>
    <w:p w:rsidR="001C0C07" w:rsidRPr="001C0C07" w:rsidRDefault="001C0C07" w:rsidP="001C0C07">
      <w:pPr>
        <w:pStyle w:val="Zarkazkladnhotextu"/>
        <w:spacing w:after="120"/>
        <w:ind w:left="369"/>
      </w:pPr>
      <w:r w:rsidRPr="001C0C07">
        <w:rPr>
          <w:b/>
          <w:bCs w:val="0"/>
          <w:iCs/>
        </w:rPr>
        <w:t>b) Sekundárne právo:</w:t>
      </w:r>
    </w:p>
    <w:p w:rsidR="001C0C07" w:rsidRPr="001C0C07" w:rsidRDefault="001C0C07" w:rsidP="001C0C07">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C0C07">
        <w:rPr>
          <w:rFonts w:ascii="Times New Roman" w:hAnsi="Times New Roman" w:cs="Times New Roman"/>
          <w:sz w:val="24"/>
          <w:szCs w:val="24"/>
          <w:shd w:val="clear" w:color="auto" w:fill="FFFFFF"/>
        </w:rPr>
        <w:t xml:space="preserve">nariadenie Európskeho parlamentu a Rady (EÚ, </w:t>
      </w:r>
      <w:proofErr w:type="spellStart"/>
      <w:r w:rsidRPr="001C0C07">
        <w:rPr>
          <w:rFonts w:ascii="Times New Roman" w:hAnsi="Times New Roman" w:cs="Times New Roman"/>
          <w:sz w:val="24"/>
          <w:szCs w:val="24"/>
          <w:shd w:val="clear" w:color="auto" w:fill="FFFFFF"/>
        </w:rPr>
        <w:t>Euratom</w:t>
      </w:r>
      <w:proofErr w:type="spellEnd"/>
      <w:r w:rsidRPr="001C0C07">
        <w:rPr>
          <w:rFonts w:ascii="Times New Roman" w:hAnsi="Times New Roman" w:cs="Times New Roman"/>
          <w:sz w:val="24"/>
          <w:szCs w:val="24"/>
          <w:shd w:val="clear" w:color="auto" w:fill="FFFFFF"/>
        </w:rPr>
        <w:t xml:space="preserve">) </w:t>
      </w:r>
      <w:r w:rsidRPr="001C0C07">
        <w:rPr>
          <w:rFonts w:ascii="Times New Roman" w:hAnsi="Times New Roman" w:cs="Times New Roman"/>
          <w:sz w:val="24"/>
          <w:szCs w:val="24"/>
          <w:u w:val="single"/>
          <w:shd w:val="clear" w:color="auto" w:fill="FFFFFF"/>
        </w:rPr>
        <w:t>2018/1046</w:t>
      </w:r>
      <w:r w:rsidRPr="001C0C07">
        <w:rPr>
          <w:rFonts w:ascii="Times New Roman" w:hAnsi="Times New Roman" w:cs="Times New Roman"/>
          <w:sz w:val="24"/>
          <w:szCs w:val="24"/>
          <w:shd w:val="clear" w:color="auto" w:fill="FFFFFF"/>
        </w:rPr>
        <w:t xml:space="preserve">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1C0C07">
        <w:rPr>
          <w:rFonts w:ascii="Times New Roman" w:hAnsi="Times New Roman" w:cs="Times New Roman"/>
          <w:sz w:val="24"/>
          <w:szCs w:val="24"/>
          <w:shd w:val="clear" w:color="auto" w:fill="FFFFFF"/>
        </w:rPr>
        <w:t>Euratom</w:t>
      </w:r>
      <w:proofErr w:type="spellEnd"/>
      <w:r w:rsidRPr="001C0C07">
        <w:rPr>
          <w:rFonts w:ascii="Times New Roman" w:hAnsi="Times New Roman" w:cs="Times New Roman"/>
          <w:sz w:val="24"/>
          <w:szCs w:val="24"/>
          <w:shd w:val="clear" w:color="auto" w:fill="FFFFFF"/>
        </w:rPr>
        <w:t>) č. 966/2012 (</w:t>
      </w:r>
      <w:r w:rsidRPr="001C0C07">
        <w:rPr>
          <w:rFonts w:ascii="Times New Roman" w:hAnsi="Times New Roman" w:cs="Times New Roman"/>
          <w:iCs/>
          <w:sz w:val="24"/>
          <w:szCs w:val="24"/>
          <w:shd w:val="clear" w:color="auto" w:fill="FFFFFF"/>
        </w:rPr>
        <w:t>Ú. v. EÚ L 193, 30.7.2018), gestor: MF SR,</w:t>
      </w:r>
    </w:p>
    <w:p w:rsidR="001C0C07" w:rsidRPr="001C0C07" w:rsidRDefault="001C0C07" w:rsidP="001C0C07">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C0C07">
        <w:rPr>
          <w:rStyle w:val="Siln"/>
          <w:rFonts w:ascii="Times New Roman" w:hAnsi="Times New Roman"/>
          <w:sz w:val="24"/>
          <w:szCs w:val="24"/>
          <w:bdr w:val="none" w:sz="0" w:space="0" w:color="auto" w:frame="1"/>
          <w:shd w:val="clear" w:color="auto" w:fill="FFFFFF"/>
        </w:rPr>
        <w:t xml:space="preserve">delegované nariadenie Komisie (EÚ) </w:t>
      </w:r>
      <w:r w:rsidRPr="001C0C07">
        <w:rPr>
          <w:rStyle w:val="Siln"/>
          <w:rFonts w:ascii="Times New Roman" w:hAnsi="Times New Roman"/>
          <w:sz w:val="24"/>
          <w:szCs w:val="24"/>
          <w:u w:val="single"/>
          <w:bdr w:val="none" w:sz="0" w:space="0" w:color="auto" w:frame="1"/>
          <w:shd w:val="clear" w:color="auto" w:fill="FFFFFF"/>
        </w:rPr>
        <w:t>2015/1971</w:t>
      </w:r>
      <w:r w:rsidRPr="001C0C07">
        <w:rPr>
          <w:rStyle w:val="Siln"/>
          <w:rFonts w:ascii="Times New Roman" w:hAnsi="Times New Roman"/>
          <w:sz w:val="24"/>
          <w:szCs w:val="24"/>
          <w:bdr w:val="none" w:sz="0" w:space="0" w:color="auto" w:frame="1"/>
          <w:shd w:val="clear" w:color="auto" w:fill="FFFFFF"/>
        </w:rPr>
        <w:t xml:space="preserve"> z 8. júla 2015, ktorým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w:t>
      </w:r>
      <w:r w:rsidRPr="001C0C07">
        <w:rPr>
          <w:rFonts w:ascii="Times New Roman" w:hAnsi="Times New Roman" w:cs="Times New Roman"/>
          <w:iCs/>
          <w:sz w:val="24"/>
          <w:szCs w:val="24"/>
        </w:rPr>
        <w:t xml:space="preserve">Ú. v. EÚ L 293, 10.11.2015), gestor: </w:t>
      </w:r>
      <w:r w:rsidRPr="001C0C07">
        <w:rPr>
          <w:rFonts w:ascii="Times New Roman" w:hAnsi="Times New Roman" w:cs="Times New Roman"/>
          <w:sz w:val="24"/>
          <w:szCs w:val="24"/>
          <w:lang w:val="cs-CZ"/>
        </w:rPr>
        <w:t>MPRV SR,</w:t>
      </w:r>
    </w:p>
    <w:p w:rsidR="001C0C07" w:rsidRPr="001C0C07" w:rsidRDefault="001C0C07" w:rsidP="001C0C07">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C0C07">
        <w:rPr>
          <w:rFonts w:ascii="Times New Roman" w:hAnsi="Times New Roman" w:cs="Times New Roman"/>
          <w:sz w:val="24"/>
          <w:szCs w:val="24"/>
          <w:shd w:val="clear" w:color="auto" w:fill="FFFFFF"/>
        </w:rPr>
        <w:t xml:space="preserve">nariadenie Komisie (EÚ) č. </w:t>
      </w:r>
      <w:r w:rsidRPr="001C0C07">
        <w:rPr>
          <w:rFonts w:ascii="Times New Roman" w:hAnsi="Times New Roman" w:cs="Times New Roman"/>
          <w:sz w:val="24"/>
          <w:szCs w:val="24"/>
          <w:u w:val="single"/>
          <w:shd w:val="clear" w:color="auto" w:fill="FFFFFF"/>
        </w:rPr>
        <w:t>651/2014</w:t>
      </w:r>
      <w:r w:rsidRPr="001C0C07">
        <w:rPr>
          <w:rFonts w:ascii="Times New Roman" w:hAnsi="Times New Roman" w:cs="Times New Roman"/>
          <w:sz w:val="24"/>
          <w:szCs w:val="24"/>
          <w:shd w:val="clear" w:color="auto" w:fill="FFFFFF"/>
        </w:rPr>
        <w:t xml:space="preserve"> zo 17. júna 2014 o vyhlásení určitých kategórií pomoci za zlučiteľné s vnútorným trhom podľa článkov 107 a 108 zmluvy (</w:t>
      </w:r>
      <w:r w:rsidRPr="001C0C07">
        <w:rPr>
          <w:rFonts w:ascii="Times New Roman" w:hAnsi="Times New Roman" w:cs="Times New Roman"/>
          <w:iCs/>
          <w:sz w:val="24"/>
          <w:szCs w:val="24"/>
          <w:shd w:val="clear" w:color="auto" w:fill="FFFFFF"/>
        </w:rPr>
        <w:t xml:space="preserve">Ú. v. EÚ L 187, 26.6.2014) v platnom znení, gestor: PÚ SR, </w:t>
      </w:r>
      <w:r w:rsidRPr="001C0C07">
        <w:rPr>
          <w:rFonts w:ascii="Times New Roman" w:hAnsi="Times New Roman" w:cs="Times New Roman"/>
          <w:sz w:val="24"/>
          <w:szCs w:val="24"/>
        </w:rPr>
        <w:t>MH SR, MPRV SR, MPSVR SR, MŠVVŠ SR, MŽP SR, MDV SR, MK SR</w:t>
      </w:r>
      <w:r w:rsidRPr="001C0C07">
        <w:rPr>
          <w:rFonts w:ascii="Times New Roman" w:hAnsi="Times New Roman" w:cs="Times New Roman"/>
          <w:iCs/>
          <w:sz w:val="24"/>
          <w:szCs w:val="24"/>
          <w:shd w:val="clear" w:color="auto" w:fill="FFFFFF"/>
        </w:rPr>
        <w:t xml:space="preserve">, </w:t>
      </w:r>
    </w:p>
    <w:p w:rsidR="001C0C07" w:rsidRPr="001C0C07" w:rsidRDefault="001C0C07" w:rsidP="001C0C07">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C0C07">
        <w:rPr>
          <w:rFonts w:ascii="Times New Roman" w:hAnsi="Times New Roman" w:cs="Times New Roman"/>
          <w:bCs/>
          <w:sz w:val="24"/>
          <w:szCs w:val="24"/>
        </w:rPr>
        <w:t xml:space="preserve">nariadenie Rady (EÚ, </w:t>
      </w:r>
      <w:proofErr w:type="spellStart"/>
      <w:r w:rsidRPr="001C0C07">
        <w:rPr>
          <w:rFonts w:ascii="Times New Roman" w:hAnsi="Times New Roman" w:cs="Times New Roman"/>
          <w:bCs/>
          <w:sz w:val="24"/>
          <w:szCs w:val="24"/>
        </w:rPr>
        <w:t>Euratom</w:t>
      </w:r>
      <w:proofErr w:type="spellEnd"/>
      <w:r w:rsidRPr="001C0C07">
        <w:rPr>
          <w:rFonts w:ascii="Times New Roman" w:hAnsi="Times New Roman" w:cs="Times New Roman"/>
          <w:bCs/>
          <w:sz w:val="24"/>
          <w:szCs w:val="24"/>
        </w:rPr>
        <w:t xml:space="preserve">) č. </w:t>
      </w:r>
      <w:r w:rsidRPr="001C0C07">
        <w:rPr>
          <w:rFonts w:ascii="Times New Roman" w:hAnsi="Times New Roman" w:cs="Times New Roman"/>
          <w:bCs/>
          <w:sz w:val="24"/>
          <w:szCs w:val="24"/>
          <w:u w:val="single"/>
        </w:rPr>
        <w:t>608/2014</w:t>
      </w:r>
      <w:r w:rsidRPr="001C0C07">
        <w:rPr>
          <w:rFonts w:ascii="Times New Roman" w:hAnsi="Times New Roman" w:cs="Times New Roman"/>
          <w:bCs/>
          <w:sz w:val="24"/>
          <w:szCs w:val="24"/>
        </w:rPr>
        <w:t xml:space="preserve"> z 26. mája 2014, ktorým sa ustanovujú vykonávacie opatrenia týkajúce sa systému vlastných zdrojov Európskej únie (</w:t>
      </w:r>
      <w:r w:rsidRPr="001C0C07">
        <w:rPr>
          <w:rFonts w:ascii="Times New Roman" w:hAnsi="Times New Roman" w:cs="Times New Roman"/>
          <w:bCs/>
          <w:iCs/>
          <w:sz w:val="24"/>
          <w:szCs w:val="24"/>
        </w:rPr>
        <w:t xml:space="preserve">Ú. v. EÚ L 168, 7.6.2014), gestor: </w:t>
      </w:r>
      <w:r w:rsidRPr="001C0C07">
        <w:rPr>
          <w:rFonts w:ascii="Times New Roman" w:hAnsi="Times New Roman" w:cs="Times New Roman"/>
          <w:iCs/>
          <w:sz w:val="24"/>
          <w:szCs w:val="24"/>
          <w:shd w:val="clear" w:color="auto" w:fill="FFFFFF"/>
        </w:rPr>
        <w:t>MF SR,</w:t>
      </w:r>
    </w:p>
    <w:p w:rsidR="001C0C07" w:rsidRPr="001C0C07" w:rsidRDefault="001C0C07" w:rsidP="001C0C07">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C0C07">
        <w:rPr>
          <w:rFonts w:ascii="Times New Roman" w:hAnsi="Times New Roman" w:cs="Times New Roman"/>
          <w:bCs/>
          <w:sz w:val="24"/>
          <w:szCs w:val="24"/>
        </w:rPr>
        <w:t xml:space="preserve">nariadenie Rady (EÚ, </w:t>
      </w:r>
      <w:proofErr w:type="spellStart"/>
      <w:r w:rsidRPr="001C0C07">
        <w:rPr>
          <w:rFonts w:ascii="Times New Roman" w:hAnsi="Times New Roman" w:cs="Times New Roman"/>
          <w:bCs/>
          <w:sz w:val="24"/>
          <w:szCs w:val="24"/>
        </w:rPr>
        <w:t>Euratom</w:t>
      </w:r>
      <w:proofErr w:type="spellEnd"/>
      <w:r w:rsidRPr="001C0C07">
        <w:rPr>
          <w:rFonts w:ascii="Times New Roman" w:hAnsi="Times New Roman" w:cs="Times New Roman"/>
          <w:bCs/>
          <w:sz w:val="24"/>
          <w:szCs w:val="24"/>
        </w:rPr>
        <w:t xml:space="preserve">) č. </w:t>
      </w:r>
      <w:r w:rsidRPr="001C0C07">
        <w:rPr>
          <w:rFonts w:ascii="Times New Roman" w:hAnsi="Times New Roman" w:cs="Times New Roman"/>
          <w:bCs/>
          <w:sz w:val="24"/>
          <w:szCs w:val="24"/>
          <w:u w:val="single"/>
        </w:rPr>
        <w:t>609/2014</w:t>
      </w:r>
      <w:r w:rsidRPr="001C0C07">
        <w:rPr>
          <w:rFonts w:ascii="Times New Roman" w:hAnsi="Times New Roman" w:cs="Times New Roman"/>
          <w:bCs/>
          <w:sz w:val="24"/>
          <w:szCs w:val="24"/>
        </w:rPr>
        <w:t xml:space="preserve"> z 26. mája 2014 o metódach a postupe sprístupňovania tradičných vlastných zdrojov a vlastného zdroja založeného na DPH </w:t>
      </w:r>
      <w:r w:rsidRPr="001C0C07">
        <w:rPr>
          <w:rFonts w:ascii="Times New Roman" w:hAnsi="Times New Roman" w:cs="Times New Roman"/>
          <w:bCs/>
          <w:sz w:val="24"/>
          <w:szCs w:val="24"/>
        </w:rPr>
        <w:lastRenderedPageBreak/>
        <w:t>a HND a o opatreniach na zabezpečenie požiadaviek na pokladničnú hotovosť (prepracované znenie) (</w:t>
      </w:r>
      <w:r w:rsidRPr="001C0C07">
        <w:rPr>
          <w:rFonts w:ascii="Times New Roman" w:hAnsi="Times New Roman" w:cs="Times New Roman"/>
          <w:bCs/>
          <w:iCs/>
          <w:sz w:val="24"/>
          <w:szCs w:val="24"/>
        </w:rPr>
        <w:t xml:space="preserve">Ú. v. EÚ L 168, 7.6.2014) </w:t>
      </w:r>
      <w:r w:rsidRPr="001C0C07">
        <w:rPr>
          <w:rFonts w:ascii="Times New Roman" w:hAnsi="Times New Roman" w:cs="Times New Roman"/>
          <w:iCs/>
          <w:sz w:val="24"/>
          <w:szCs w:val="24"/>
          <w:shd w:val="clear" w:color="auto" w:fill="FFFFFF"/>
        </w:rPr>
        <w:t>v platnom znení, gestor: MF SR,</w:t>
      </w:r>
    </w:p>
    <w:p w:rsidR="001C0C07" w:rsidRPr="001C0C07" w:rsidRDefault="001C0C07" w:rsidP="001C0C07">
      <w:pPr>
        <w:numPr>
          <w:ilvl w:val="0"/>
          <w:numId w:val="4"/>
        </w:numPr>
        <w:tabs>
          <w:tab w:val="clear" w:pos="900"/>
          <w:tab w:val="num" w:pos="426"/>
        </w:tabs>
        <w:autoSpaceDE w:val="0"/>
        <w:autoSpaceDN w:val="0"/>
        <w:adjustRightInd w:val="0"/>
        <w:spacing w:before="120" w:after="120" w:line="240" w:lineRule="auto"/>
        <w:ind w:left="369" w:hanging="369"/>
        <w:jc w:val="both"/>
        <w:rPr>
          <w:rFonts w:ascii="Times New Roman" w:hAnsi="Times New Roman" w:cs="Times New Roman"/>
          <w:bCs/>
          <w:iCs/>
          <w:sz w:val="24"/>
          <w:szCs w:val="24"/>
        </w:rPr>
      </w:pPr>
      <w:r w:rsidRPr="001C0C07">
        <w:rPr>
          <w:rFonts w:ascii="Times New Roman" w:hAnsi="Times New Roman" w:cs="Times New Roman"/>
          <w:sz w:val="24"/>
          <w:szCs w:val="24"/>
        </w:rPr>
        <w:t xml:space="preserve">nariadenie </w:t>
      </w:r>
      <w:r w:rsidRPr="001C0C07">
        <w:rPr>
          <w:rFonts w:ascii="Times New Roman" w:hAnsi="Times New Roman" w:cs="Times New Roman"/>
          <w:bCs/>
          <w:iCs/>
          <w:sz w:val="24"/>
          <w:szCs w:val="24"/>
        </w:rPr>
        <w:t xml:space="preserve">Európskeho parlamentu a Rady (EÚ) č. </w:t>
      </w:r>
      <w:r w:rsidRPr="001C0C07">
        <w:rPr>
          <w:rFonts w:ascii="Times New Roman" w:hAnsi="Times New Roman" w:cs="Times New Roman"/>
          <w:bCs/>
          <w:iCs/>
          <w:sz w:val="24"/>
          <w:szCs w:val="24"/>
          <w:u w:val="single"/>
        </w:rPr>
        <w:t>472/2013</w:t>
      </w:r>
      <w:r w:rsidRPr="001C0C07">
        <w:rPr>
          <w:rFonts w:ascii="Times New Roman" w:hAnsi="Times New Roman" w:cs="Times New Roman"/>
          <w:bCs/>
          <w:iCs/>
          <w:sz w:val="24"/>
          <w:szCs w:val="24"/>
        </w:rPr>
        <w:t xml:space="preserve"> z 21. mája 2013 o sprísnení hospodárskeho a rozpočtového dohľadu nad členskými štátmi v eurozóne, ktoré majú závažné ťažkosti v súvislosti so svojou finančnou stabilitou, alebo im takéto ťažkosti hrozia (Ú. v. EÚ L 140, 27.5. 2013), </w:t>
      </w:r>
      <w:r w:rsidRPr="001C0C07">
        <w:rPr>
          <w:rFonts w:ascii="Times New Roman" w:hAnsi="Times New Roman" w:cs="Times New Roman"/>
          <w:iCs/>
          <w:sz w:val="24"/>
          <w:szCs w:val="24"/>
          <w:shd w:val="clear" w:color="auto" w:fill="FFFFFF"/>
        </w:rPr>
        <w:t>gestor: MF SR,</w:t>
      </w:r>
    </w:p>
    <w:p w:rsidR="001C0C07" w:rsidRPr="001C0C07" w:rsidRDefault="001C0C07" w:rsidP="001C0C07">
      <w:pPr>
        <w:pStyle w:val="Zkladntext"/>
        <w:numPr>
          <w:ilvl w:val="0"/>
          <w:numId w:val="9"/>
        </w:numPr>
        <w:spacing w:after="240"/>
        <w:ind w:left="340" w:hanging="340"/>
        <w:jc w:val="both"/>
      </w:pPr>
      <w:r w:rsidRPr="001C0C07">
        <w:t xml:space="preserve">nariadenie  Európskeho parlamentu a Rady (EÚ) č. </w:t>
      </w:r>
      <w:r w:rsidRPr="001C0C07">
        <w:rPr>
          <w:u w:val="single"/>
        </w:rPr>
        <w:t>473/2013</w:t>
      </w:r>
      <w:r w:rsidRPr="001C0C07">
        <w:t xml:space="preserve"> z 21. mája 2013 o spoločných ustanoveniach o monitorovaní a posudzovaní návrhov rozpočtových plánov a zabezpečení nápravy nadmerného deficitu členských štátov v eurozóne (</w:t>
      </w:r>
      <w:r w:rsidRPr="001C0C07">
        <w:rPr>
          <w:iCs/>
        </w:rPr>
        <w:t xml:space="preserve">Ú. v. EÚ L 140, 27.5. 2013), </w:t>
      </w:r>
      <w:r w:rsidRPr="001C0C07">
        <w:rPr>
          <w:iCs/>
          <w:shd w:val="clear" w:color="auto" w:fill="FFFFFF"/>
        </w:rPr>
        <w:t>gestor: MF SR,</w:t>
      </w:r>
    </w:p>
    <w:p w:rsidR="001C0C07" w:rsidRPr="001C0C07" w:rsidRDefault="001C0C07" w:rsidP="001C0C07">
      <w:pPr>
        <w:pStyle w:val="Zkladntext"/>
        <w:numPr>
          <w:ilvl w:val="0"/>
          <w:numId w:val="9"/>
        </w:numPr>
        <w:spacing w:after="240"/>
        <w:ind w:left="340" w:hanging="340"/>
        <w:jc w:val="both"/>
      </w:pPr>
      <w:r w:rsidRPr="001C0C07">
        <w:rPr>
          <w:shd w:val="clear" w:color="auto" w:fill="FFFFFF"/>
        </w:rPr>
        <w:t>nariadenie Európskeho parlamentu a Rady (EÚ) č. </w:t>
      </w:r>
      <w:r w:rsidRPr="001C0C07">
        <w:rPr>
          <w:u w:val="single"/>
          <w:shd w:val="clear" w:color="auto" w:fill="FFFFFF"/>
        </w:rPr>
        <w:t>549/2013</w:t>
      </w:r>
      <w:r w:rsidRPr="001C0C07">
        <w:rPr>
          <w:shd w:val="clear" w:color="auto" w:fill="FFFFFF"/>
        </w:rPr>
        <w:t xml:space="preserve"> z  21. mája 2013 o európskom systéme národných a regionálnych účtov v Európskej únii (</w:t>
      </w:r>
      <w:r w:rsidRPr="001C0C07">
        <w:rPr>
          <w:iCs/>
          <w:shd w:val="clear" w:color="auto" w:fill="FFFFFF"/>
          <w:lang w:eastAsia="sk-SK"/>
        </w:rPr>
        <w:t xml:space="preserve">Ú. v. EÚ L 174, 26.6.2013) </w:t>
      </w:r>
      <w:r w:rsidRPr="001C0C07">
        <w:rPr>
          <w:iCs/>
          <w:shd w:val="clear" w:color="auto" w:fill="FFFFFF"/>
        </w:rPr>
        <w:t xml:space="preserve">v platnom znení, gestor: MF SR, </w:t>
      </w:r>
      <w:r w:rsidRPr="001C0C07">
        <w:rPr>
          <w:iCs/>
          <w:shd w:val="clear" w:color="auto" w:fill="FFFFFF"/>
          <w:lang w:eastAsia="sk-SK"/>
        </w:rPr>
        <w:t xml:space="preserve"> </w:t>
      </w:r>
    </w:p>
    <w:p w:rsidR="001C0C07" w:rsidRPr="001C0C07" w:rsidRDefault="001C0C07" w:rsidP="001C0C07">
      <w:pPr>
        <w:pStyle w:val="Zkladntext"/>
        <w:numPr>
          <w:ilvl w:val="0"/>
          <w:numId w:val="9"/>
        </w:numPr>
        <w:spacing w:after="240"/>
        <w:ind w:left="340" w:hanging="340"/>
        <w:jc w:val="both"/>
      </w:pPr>
      <w:r w:rsidRPr="001C0C07">
        <w:rPr>
          <w:bCs/>
          <w:iCs/>
        </w:rPr>
        <w:t>nariadenie Európskeho parlamentu a Rady (EÚ) č. </w:t>
      </w:r>
      <w:r w:rsidRPr="001C0C07">
        <w:rPr>
          <w:bCs/>
          <w:iCs/>
          <w:u w:val="single"/>
        </w:rPr>
        <w:t>1300/2013</w:t>
      </w:r>
      <w:r w:rsidRPr="001C0C07">
        <w:rPr>
          <w:bCs/>
          <w:iCs/>
        </w:rPr>
        <w:t xml:space="preserve"> zo 17. decembra 2013 o Kohéznom fonde, ktorým sa zrušuje nariadenie Rady (ES) č. 1084/2006</w:t>
      </w:r>
      <w:r w:rsidRPr="001C0C07">
        <w:rPr>
          <w:rStyle w:val="Zvraznenie"/>
        </w:rPr>
        <w:t xml:space="preserve"> (</w:t>
      </w:r>
      <w:r w:rsidRPr="001C0C07">
        <w:rPr>
          <w:iCs/>
        </w:rPr>
        <w:t xml:space="preserve">Ú. v. EÚ L 347, 20.12.2013), gestor: </w:t>
      </w:r>
      <w:r w:rsidRPr="001C0C07">
        <w:t>ÚV SR, MDV SR, MŽP SR, MH SR, MF SR,</w:t>
      </w:r>
    </w:p>
    <w:p w:rsidR="001C0C07" w:rsidRPr="001C0C07" w:rsidRDefault="001C0C07" w:rsidP="001C0C07">
      <w:pPr>
        <w:pStyle w:val="Zkladntext"/>
        <w:numPr>
          <w:ilvl w:val="0"/>
          <w:numId w:val="9"/>
        </w:numPr>
        <w:spacing w:after="240"/>
        <w:ind w:left="340" w:hanging="340"/>
        <w:jc w:val="both"/>
      </w:pPr>
      <w:r w:rsidRPr="001C0C07">
        <w:rPr>
          <w:bCs/>
        </w:rPr>
        <w:t>nariadenie Európskeho parlamentu a Rady (EÚ) č. </w:t>
      </w:r>
      <w:r w:rsidRPr="001C0C07">
        <w:rPr>
          <w:bCs/>
          <w:u w:val="single"/>
        </w:rPr>
        <w:t>1301/2013</w:t>
      </w:r>
      <w:r w:rsidRPr="001C0C07">
        <w:rPr>
          <w:bCs/>
        </w:rPr>
        <w:t xml:space="preserve"> zo 17. decembra 2013 o Európskom fonde regionálneho rozvoja a o osobitných ustanoveniach týkajúcich sa cieľa Investovanie do rastu a zamestnanosti, a ktorým sa zrušuje nariadenie (ES) č. 1080/2006 (</w:t>
      </w:r>
      <w:r w:rsidRPr="001C0C07">
        <w:rPr>
          <w:bCs/>
          <w:iCs/>
        </w:rPr>
        <w:t xml:space="preserve">Ú. v. EÚ L 347, 20.12.2013) </w:t>
      </w:r>
      <w:r w:rsidRPr="001C0C07">
        <w:t>v platnom znení, gestor:</w:t>
      </w:r>
      <w:r w:rsidRPr="001C0C07">
        <w:rPr>
          <w:b/>
        </w:rPr>
        <w:t xml:space="preserve"> </w:t>
      </w:r>
      <w:r w:rsidRPr="001C0C07">
        <w:rPr>
          <w:rStyle w:val="Siln"/>
          <w:rFonts w:eastAsiaTheme="majorEastAsia"/>
        </w:rPr>
        <w:t>ÚV SR, MDV SR, MŠVVŠ SR, MZ SR, MV SR, MPSVR SR, MH SR, MŽP SR, MF SR,</w:t>
      </w:r>
    </w:p>
    <w:p w:rsidR="001C0C07" w:rsidRPr="001C0C07" w:rsidRDefault="001C0C07" w:rsidP="001C0C07">
      <w:pPr>
        <w:pStyle w:val="Zkladntext"/>
        <w:numPr>
          <w:ilvl w:val="0"/>
          <w:numId w:val="9"/>
        </w:numPr>
        <w:spacing w:after="240"/>
        <w:ind w:left="340" w:hanging="340"/>
        <w:jc w:val="both"/>
        <w:rPr>
          <w:rStyle w:val="Siln"/>
          <w:bCs w:val="0"/>
        </w:rPr>
      </w:pPr>
      <w:r w:rsidRPr="001C0C07">
        <w:rPr>
          <w:bCs/>
        </w:rPr>
        <w:t>nariadenie Európskeho parlamentu a Rady (EÚ) č. </w:t>
      </w:r>
      <w:r w:rsidRPr="001C0C07">
        <w:rPr>
          <w:bCs/>
          <w:u w:val="single"/>
        </w:rPr>
        <w:t>1303/2013</w:t>
      </w:r>
      <w:r w:rsidRPr="001C0C07">
        <w:rPr>
          <w:bCs/>
        </w:rPr>
        <w:t xml:space="preserve">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r w:rsidRPr="001C0C07">
        <w:rPr>
          <w:bCs/>
          <w:iCs/>
        </w:rPr>
        <w:t xml:space="preserve">Ú. v. EÚ L 347, 20.12.2013) v platnom znení, </w:t>
      </w:r>
      <w:r w:rsidRPr="001C0C07">
        <w:t xml:space="preserve">gestor: </w:t>
      </w:r>
      <w:r w:rsidRPr="001C0C07">
        <w:rPr>
          <w:rStyle w:val="Siln"/>
          <w:rFonts w:eastAsiaTheme="majorEastAsia"/>
        </w:rPr>
        <w:t>ÚV SR, MDV SR, MŠVVŠ SR, MZ SR, MV SR, MPSVR SR, MPRV SR, MH SR, MŽP SR, MF SR,</w:t>
      </w:r>
    </w:p>
    <w:p w:rsidR="001C0C07" w:rsidRPr="001C0C07" w:rsidRDefault="001C0C07" w:rsidP="001C0C07">
      <w:pPr>
        <w:pStyle w:val="Zkladntext"/>
        <w:numPr>
          <w:ilvl w:val="0"/>
          <w:numId w:val="9"/>
        </w:numPr>
        <w:spacing w:after="240"/>
        <w:ind w:left="340" w:hanging="340"/>
        <w:jc w:val="both"/>
        <w:rPr>
          <w:b/>
        </w:rPr>
      </w:pPr>
      <w:r w:rsidRPr="001C0C07">
        <w:rPr>
          <w:bCs/>
        </w:rPr>
        <w:t>nariadenie Európskeho parlamentu a Rady (EÚ) č. </w:t>
      </w:r>
      <w:r w:rsidRPr="001C0C07">
        <w:rPr>
          <w:bCs/>
          <w:u w:val="single"/>
        </w:rPr>
        <w:t>1304/2013</w:t>
      </w:r>
      <w:r w:rsidRPr="001C0C07">
        <w:rPr>
          <w:bCs/>
        </w:rPr>
        <w:t xml:space="preserve"> zo  17. decembra 2013 o Európskom sociálnom fonde a o zrušení nariadenia Rady (ES) č. 1081/2006 (</w:t>
      </w:r>
      <w:r w:rsidRPr="001C0C07">
        <w:rPr>
          <w:bCs/>
          <w:iCs/>
        </w:rPr>
        <w:t>Ú. v. EÚ L 347, 20.12.2013) v platnom znení,</w:t>
      </w:r>
      <w:r w:rsidRPr="001C0C07">
        <w:t xml:space="preserve"> gestor: ÚV SR, MPSVR SR, MŠVVŠ SR, MV SR, MF SR,</w:t>
      </w:r>
    </w:p>
    <w:p w:rsidR="001C0C07" w:rsidRPr="001C0C07" w:rsidRDefault="001C0C07" w:rsidP="001C0C07">
      <w:pPr>
        <w:pStyle w:val="Zkladntext"/>
        <w:numPr>
          <w:ilvl w:val="0"/>
          <w:numId w:val="9"/>
        </w:numPr>
        <w:spacing w:after="240"/>
        <w:ind w:left="340" w:hanging="340"/>
        <w:jc w:val="both"/>
      </w:pPr>
      <w:r w:rsidRPr="001C0C07">
        <w:rPr>
          <w:bCs/>
        </w:rPr>
        <w:t>nariadenie Európskeho parlamentu a Rady (EÚ) č. </w:t>
      </w:r>
      <w:r w:rsidRPr="001C0C07">
        <w:rPr>
          <w:bCs/>
          <w:u w:val="single"/>
        </w:rPr>
        <w:t>1306/2013</w:t>
      </w:r>
      <w:r w:rsidRPr="001C0C07">
        <w:rPr>
          <w:bCs/>
        </w:rPr>
        <w:t xml:space="preserve"> zo 17. decembra 2013 o financovaní, riadení a monitorovaní spoločnej poľnohospodárskej politiky a ktorým sa zrušujú nariadenia Rady (EHS) č. 352/78, (ES) č. 165/94, (ES) č. 2799/98, (ES) č. 814/2000, (ES) č. 1290/2005 a (ES) č. 485/2008 (</w:t>
      </w:r>
      <w:r w:rsidRPr="001C0C07">
        <w:rPr>
          <w:bCs/>
          <w:iCs/>
        </w:rPr>
        <w:t xml:space="preserve">Ú. v. EÚ L 347, 20.12.2013) v platnom znení, </w:t>
      </w:r>
      <w:r w:rsidRPr="001C0C07">
        <w:t>gestor: MPRV SR</w:t>
      </w:r>
      <w:r w:rsidRPr="001C0C07">
        <w:rPr>
          <w:bCs/>
          <w:iCs/>
        </w:rPr>
        <w:t>,</w:t>
      </w:r>
    </w:p>
    <w:p w:rsidR="001C0C07" w:rsidRPr="001C0C07" w:rsidRDefault="001C0C07" w:rsidP="001C0C07">
      <w:pPr>
        <w:pStyle w:val="Zkladntext"/>
        <w:numPr>
          <w:ilvl w:val="0"/>
          <w:numId w:val="9"/>
        </w:numPr>
        <w:spacing w:after="240"/>
        <w:ind w:left="340" w:hanging="340"/>
        <w:jc w:val="both"/>
      </w:pPr>
      <w:r w:rsidRPr="001C0C07">
        <w:t xml:space="preserve">nariadenie Rady (ES) č. </w:t>
      </w:r>
      <w:r w:rsidRPr="001C0C07">
        <w:rPr>
          <w:u w:val="single"/>
        </w:rPr>
        <w:t>479/2009</w:t>
      </w:r>
      <w:r w:rsidRPr="001C0C07">
        <w:t xml:space="preserve"> z 25. mája 2009 o uplatňovaní Protokolu o postupe pri nadmernom schodku, ktorý tvorí prílohu Zmluvy o založení Európskeho spoločenstva (kodifikované znenie) (Ú. v. EÚ L 145, 10.6. 2009) v platnom znení, </w:t>
      </w:r>
      <w:r w:rsidRPr="001C0C07">
        <w:rPr>
          <w:iCs/>
        </w:rPr>
        <w:t>gestor: MF SR, ŠÚ SR,</w:t>
      </w:r>
    </w:p>
    <w:p w:rsidR="001C0C07" w:rsidRPr="001C0C07" w:rsidRDefault="001C0C07" w:rsidP="001C0C07">
      <w:pPr>
        <w:pStyle w:val="Zkladntext"/>
        <w:numPr>
          <w:ilvl w:val="0"/>
          <w:numId w:val="9"/>
        </w:numPr>
        <w:spacing w:after="240"/>
        <w:ind w:left="340" w:hanging="340"/>
        <w:jc w:val="both"/>
      </w:pPr>
      <w:r w:rsidRPr="001C0C07">
        <w:rPr>
          <w:rStyle w:val="Zvraznenie"/>
        </w:rPr>
        <w:lastRenderedPageBreak/>
        <w:t xml:space="preserve">rozhodnutie Rady </w:t>
      </w:r>
      <w:r w:rsidRPr="001C0C07">
        <w:rPr>
          <w:rStyle w:val="Zvraznenie"/>
          <w:u w:val="single"/>
        </w:rPr>
        <w:t>2007/436/ES</w:t>
      </w:r>
      <w:r w:rsidRPr="001C0C07">
        <w:rPr>
          <w:rStyle w:val="Zvraznenie"/>
        </w:rPr>
        <w:t xml:space="preserve"> z 7. júna 2007 </w:t>
      </w:r>
      <w:r w:rsidRPr="001C0C07">
        <w:t>o systéme vlastných zdrojov Európskych spoločenstiev (Ú. v. EÚ L 163, 23.6.2007), gestor: MF SR,</w:t>
      </w:r>
    </w:p>
    <w:p w:rsidR="001C0C07" w:rsidRPr="001C0C07" w:rsidRDefault="001C0C07" w:rsidP="001C0C07">
      <w:pPr>
        <w:pStyle w:val="Zkladntext"/>
        <w:numPr>
          <w:ilvl w:val="0"/>
          <w:numId w:val="9"/>
        </w:numPr>
        <w:spacing w:after="240"/>
        <w:ind w:left="340" w:hanging="340"/>
        <w:jc w:val="both"/>
      </w:pPr>
      <w:r w:rsidRPr="001C0C07">
        <w:t>nariadenie Európskeho Parlamentu a Rady (ES) č. </w:t>
      </w:r>
      <w:r w:rsidRPr="001C0C07">
        <w:rPr>
          <w:u w:val="single"/>
        </w:rPr>
        <w:t>501/2004</w:t>
      </w:r>
      <w:r w:rsidRPr="001C0C07">
        <w:t xml:space="preserve"> z 10. marca 2004 o štvrťročných finančných účtoch verejnej správy (</w:t>
      </w:r>
      <w:r w:rsidRPr="001C0C07">
        <w:rPr>
          <w:iCs/>
        </w:rPr>
        <w:t xml:space="preserve">Ú. v. EÚ L 81, 19.3.2004; </w:t>
      </w:r>
      <w:r w:rsidRPr="001C0C07">
        <w:t>Mimoriadne vydanie Ú. v. EÚ, kap. 10</w:t>
      </w:r>
      <w:r w:rsidRPr="001C0C07">
        <w:rPr>
          <w:rStyle w:val="Zvraznenie"/>
        </w:rPr>
        <w:t>/ zv. 5) v platnom znení, gestor: nebol určený,</w:t>
      </w:r>
    </w:p>
    <w:p w:rsidR="001C0C07" w:rsidRPr="001C0C07" w:rsidRDefault="001C0C07" w:rsidP="001C0C07">
      <w:pPr>
        <w:pStyle w:val="Zkladntext0"/>
        <w:widowControl/>
        <w:numPr>
          <w:ilvl w:val="0"/>
          <w:numId w:val="7"/>
        </w:numPr>
        <w:snapToGrid/>
        <w:spacing w:after="80"/>
        <w:jc w:val="both"/>
        <w:rPr>
          <w:color w:val="auto"/>
          <w:szCs w:val="24"/>
        </w:rPr>
      </w:pPr>
      <w:r w:rsidRPr="001C0C07">
        <w:rPr>
          <w:color w:val="auto"/>
          <w:szCs w:val="24"/>
        </w:rPr>
        <w:t xml:space="preserve">nariadenie Rady (ES) č. </w:t>
      </w:r>
      <w:r w:rsidRPr="001C0C07">
        <w:rPr>
          <w:color w:val="auto"/>
          <w:szCs w:val="24"/>
          <w:u w:val="single"/>
        </w:rPr>
        <w:t>622/98</w:t>
      </w:r>
      <w:r w:rsidRPr="001C0C07">
        <w:rPr>
          <w:color w:val="auto"/>
          <w:szCs w:val="24"/>
        </w:rPr>
        <w:t xml:space="preserve"> zo 16. marca 1998 o pomoci kandidátskym štátom v rámci predvstupovej stratégie, a najmä o založení prístupových partnerstiev (</w:t>
      </w:r>
      <w:r w:rsidRPr="001C0C07">
        <w:rPr>
          <w:iCs/>
          <w:color w:val="auto"/>
          <w:szCs w:val="24"/>
        </w:rPr>
        <w:t xml:space="preserve">Ú. v. ES L 85, 20.3.1998; </w:t>
      </w:r>
      <w:r w:rsidRPr="001C0C07">
        <w:rPr>
          <w:color w:val="auto"/>
          <w:szCs w:val="24"/>
        </w:rPr>
        <w:t>Mimoriadne vydanie Ú. v. EÚ, kap.11/zv. 28),</w:t>
      </w:r>
      <w:r w:rsidRPr="001C0C07">
        <w:rPr>
          <w:rStyle w:val="Zvraznenie"/>
          <w:color w:val="auto"/>
          <w:szCs w:val="24"/>
        </w:rPr>
        <w:t xml:space="preserve"> gestor: nebol určený,</w:t>
      </w:r>
    </w:p>
    <w:p w:rsidR="001C0C07" w:rsidRPr="001C0C07" w:rsidRDefault="001C0C07" w:rsidP="001C0C07">
      <w:pPr>
        <w:pStyle w:val="Zkladntext"/>
        <w:numPr>
          <w:ilvl w:val="0"/>
          <w:numId w:val="7"/>
        </w:numPr>
        <w:jc w:val="both"/>
        <w:rPr>
          <w:rStyle w:val="Zvraznenie"/>
          <w:i w:val="0"/>
          <w:iCs w:val="0"/>
        </w:rPr>
      </w:pPr>
      <w:r w:rsidRPr="001C0C07">
        <w:t>nariadenie Rady (ES) č. </w:t>
      </w:r>
      <w:r w:rsidRPr="001C0C07">
        <w:rPr>
          <w:u w:val="single"/>
        </w:rPr>
        <w:t>1466/97</w:t>
      </w:r>
      <w:r w:rsidRPr="001C0C07">
        <w:t xml:space="preserve"> zo 7. júla 1997 o posilnení dohľadu nad stavmi rozpočtov a o dohľade nad hospodárskymi politikami a ich koordinácii (</w:t>
      </w:r>
      <w:r w:rsidRPr="001C0C07">
        <w:rPr>
          <w:iCs/>
        </w:rPr>
        <w:t xml:space="preserve">Ú. v. ES L 209, 2.8.1997; </w:t>
      </w:r>
      <w:r w:rsidRPr="001C0C07">
        <w:t xml:space="preserve">Mimoriadne vydanie Ú. v. EÚ, kap.10/zv. 1) v platnom znení, </w:t>
      </w:r>
      <w:r w:rsidRPr="001C0C07">
        <w:rPr>
          <w:rStyle w:val="Zvraznenie"/>
        </w:rPr>
        <w:t>gestor: nebol určený,</w:t>
      </w:r>
    </w:p>
    <w:p w:rsidR="001C0C07" w:rsidRPr="001C0C07" w:rsidRDefault="001C0C07" w:rsidP="001C0C07">
      <w:pPr>
        <w:pStyle w:val="Zkladntext0"/>
        <w:widowControl/>
        <w:numPr>
          <w:ilvl w:val="0"/>
          <w:numId w:val="7"/>
        </w:numPr>
        <w:snapToGrid/>
        <w:spacing w:after="80"/>
        <w:jc w:val="both"/>
        <w:rPr>
          <w:color w:val="auto"/>
          <w:szCs w:val="24"/>
        </w:rPr>
      </w:pPr>
      <w:r w:rsidRPr="001C0C07">
        <w:rPr>
          <w:color w:val="auto"/>
          <w:szCs w:val="24"/>
        </w:rPr>
        <w:t xml:space="preserve">nariadenie Rady (ES) č. </w:t>
      </w:r>
      <w:r w:rsidRPr="001C0C07">
        <w:rPr>
          <w:color w:val="auto"/>
          <w:szCs w:val="24"/>
          <w:u w:val="single"/>
        </w:rPr>
        <w:t>1467/97</w:t>
      </w:r>
      <w:r w:rsidRPr="001C0C07">
        <w:rPr>
          <w:color w:val="auto"/>
          <w:szCs w:val="24"/>
        </w:rPr>
        <w:t xml:space="preserve"> zo 7. júla 1997 o urýchľovaní a objasňovaní vykonania postupu pri nadmernom schodku (</w:t>
      </w:r>
      <w:r w:rsidRPr="001C0C07">
        <w:rPr>
          <w:iCs/>
          <w:color w:val="auto"/>
          <w:szCs w:val="24"/>
        </w:rPr>
        <w:t xml:space="preserve">Ú. v. ES L 209, 2.8.1997; </w:t>
      </w:r>
      <w:r w:rsidRPr="001C0C07">
        <w:rPr>
          <w:color w:val="auto"/>
          <w:szCs w:val="24"/>
        </w:rPr>
        <w:t xml:space="preserve">Mimoriadne vydanie Ú. v. EÚ, kap.10/zv. 1) v platnom znení, </w:t>
      </w:r>
      <w:r w:rsidRPr="001C0C07">
        <w:rPr>
          <w:rStyle w:val="Zvraznenie"/>
          <w:color w:val="auto"/>
          <w:szCs w:val="24"/>
        </w:rPr>
        <w:t>gestor: nebol určený,</w:t>
      </w:r>
    </w:p>
    <w:p w:rsidR="001C0C07" w:rsidRPr="001C0C07" w:rsidRDefault="001C0C07" w:rsidP="001C0C07">
      <w:pPr>
        <w:pStyle w:val="Zkladntext"/>
        <w:numPr>
          <w:ilvl w:val="0"/>
          <w:numId w:val="7"/>
        </w:numPr>
        <w:tabs>
          <w:tab w:val="num" w:pos="709"/>
        </w:tabs>
        <w:jc w:val="both"/>
        <w:rPr>
          <w:rStyle w:val="Zvraznenie"/>
          <w:i w:val="0"/>
          <w:iCs w:val="0"/>
        </w:rPr>
      </w:pPr>
      <w:r w:rsidRPr="001C0C07">
        <w:t xml:space="preserve">nariadenie Rady (ES) č. </w:t>
      </w:r>
      <w:r w:rsidRPr="001C0C07">
        <w:rPr>
          <w:u w:val="single"/>
        </w:rPr>
        <w:t>2223/96</w:t>
      </w:r>
      <w:r w:rsidRPr="001C0C07">
        <w:t xml:space="preserve"> z 25. júna 1996 o Európskom systéme národných a regionálnych účtov v spoločenstve (</w:t>
      </w:r>
      <w:r w:rsidRPr="001C0C07">
        <w:rPr>
          <w:iCs/>
        </w:rPr>
        <w:t xml:space="preserve">Ú. v. ES L 310, 30. 11. 1996; </w:t>
      </w:r>
      <w:r w:rsidRPr="001C0C07">
        <w:t>Mimoriadne vydanie Ú. v. EÚ, kap.10</w:t>
      </w:r>
      <w:r w:rsidRPr="001C0C07">
        <w:rPr>
          <w:rStyle w:val="Zvraznenie"/>
        </w:rPr>
        <w:t xml:space="preserve">/ zv. 2) </w:t>
      </w:r>
      <w:r w:rsidRPr="001C0C07">
        <w:t>v platnom znení</w:t>
      </w:r>
      <w:r w:rsidRPr="001C0C07">
        <w:rPr>
          <w:rStyle w:val="Zvraznenie"/>
        </w:rPr>
        <w:t xml:space="preserve">, gestor: nebol určený, </w:t>
      </w:r>
    </w:p>
    <w:p w:rsidR="001C0C07" w:rsidRPr="001C0C07" w:rsidRDefault="001C0C07" w:rsidP="001C0C07">
      <w:pPr>
        <w:pStyle w:val="Normlnywebov8"/>
        <w:numPr>
          <w:ilvl w:val="0"/>
          <w:numId w:val="7"/>
        </w:numPr>
        <w:spacing w:before="0" w:after="80"/>
        <w:ind w:right="70"/>
        <w:jc w:val="both"/>
        <w:rPr>
          <w:sz w:val="24"/>
          <w:szCs w:val="24"/>
        </w:rPr>
      </w:pPr>
      <w:r w:rsidRPr="001C0C07">
        <w:rPr>
          <w:sz w:val="24"/>
          <w:szCs w:val="24"/>
        </w:rPr>
        <w:t xml:space="preserve">nariadenie Rady (ES, </w:t>
      </w:r>
      <w:proofErr w:type="spellStart"/>
      <w:r w:rsidRPr="001C0C07">
        <w:rPr>
          <w:sz w:val="24"/>
          <w:szCs w:val="24"/>
        </w:rPr>
        <w:t>Euratom</w:t>
      </w:r>
      <w:proofErr w:type="spellEnd"/>
      <w:r w:rsidRPr="001C0C07">
        <w:rPr>
          <w:sz w:val="24"/>
          <w:szCs w:val="24"/>
        </w:rPr>
        <w:t>) č. 2988/95 z 18. decembra 1995 o ochrane finančných záujmov Európskych spoločenstiev (Ú. v. ES L 312, 23.12.1995; Mimoriadne vydanie Ú. v. EÚ, kap. 1/zv. 1), gestor: nebol určený,</w:t>
      </w:r>
    </w:p>
    <w:p w:rsidR="001C0C07" w:rsidRPr="001C0C07" w:rsidRDefault="001C0C07" w:rsidP="001C0C07">
      <w:pPr>
        <w:pStyle w:val="Normlnywebov8"/>
        <w:numPr>
          <w:ilvl w:val="0"/>
          <w:numId w:val="7"/>
        </w:numPr>
        <w:spacing w:before="0" w:after="80"/>
        <w:ind w:right="70"/>
        <w:jc w:val="both"/>
        <w:rPr>
          <w:sz w:val="24"/>
          <w:szCs w:val="24"/>
        </w:rPr>
      </w:pPr>
      <w:r w:rsidRPr="001C0C07">
        <w:rPr>
          <w:sz w:val="24"/>
          <w:szCs w:val="24"/>
        </w:rPr>
        <w:t xml:space="preserve">rozhodnutie Komisie </w:t>
      </w:r>
      <w:r w:rsidRPr="001C0C07">
        <w:rPr>
          <w:sz w:val="24"/>
          <w:szCs w:val="24"/>
          <w:u w:val="single"/>
        </w:rPr>
        <w:t>74/55/EHS</w:t>
      </w:r>
      <w:r w:rsidRPr="001C0C07">
        <w:rPr>
          <w:sz w:val="24"/>
          <w:szCs w:val="24"/>
        </w:rPr>
        <w:t xml:space="preserve"> z 22. januára 1974, ktoré udeľuje právomoci na vykonávanie kontrolných opatrení v členských štátoch, pokiaľ ide o príjmy a výdavky spoločenstva (</w:t>
      </w:r>
      <w:r w:rsidRPr="001C0C07">
        <w:rPr>
          <w:iCs/>
          <w:sz w:val="24"/>
          <w:szCs w:val="24"/>
        </w:rPr>
        <w:t xml:space="preserve">Ú. v. ES L 34, 7.2.1974; </w:t>
      </w:r>
      <w:r w:rsidRPr="001C0C07">
        <w:rPr>
          <w:sz w:val="24"/>
          <w:szCs w:val="24"/>
        </w:rPr>
        <w:t>Mimoriadne vydanie Ú. v. EÚ, kap.1/zv. 1), gestor: nebol určený.</w:t>
      </w:r>
    </w:p>
    <w:p w:rsidR="001C0C07" w:rsidRPr="001C0C07" w:rsidRDefault="001C0C07" w:rsidP="001C0C07">
      <w:pPr>
        <w:pStyle w:val="Zkladntext"/>
        <w:spacing w:after="0"/>
        <w:jc w:val="both"/>
      </w:pPr>
    </w:p>
    <w:p w:rsidR="001C0C07" w:rsidRPr="001C0C07" w:rsidRDefault="001C0C07" w:rsidP="001C0C07">
      <w:pPr>
        <w:pStyle w:val="Zkladntext"/>
        <w:numPr>
          <w:ilvl w:val="0"/>
          <w:numId w:val="10"/>
        </w:numPr>
        <w:jc w:val="both"/>
        <w:rPr>
          <w:b/>
        </w:rPr>
      </w:pPr>
      <w:r w:rsidRPr="001C0C07">
        <w:rPr>
          <w:b/>
        </w:rPr>
        <w:t>Judikatúra Súdneho dvora Európskej únie:</w:t>
      </w:r>
    </w:p>
    <w:p w:rsidR="001C0C07" w:rsidRPr="001C0C07" w:rsidRDefault="001C0C07" w:rsidP="001C0C07">
      <w:pPr>
        <w:pStyle w:val="Zkladntext0"/>
        <w:widowControl/>
        <w:numPr>
          <w:ilvl w:val="0"/>
          <w:numId w:val="8"/>
        </w:numPr>
        <w:snapToGrid/>
        <w:spacing w:after="120"/>
        <w:jc w:val="both"/>
        <w:rPr>
          <w:color w:val="auto"/>
          <w:szCs w:val="24"/>
        </w:rPr>
      </w:pPr>
      <w:r w:rsidRPr="001C0C07">
        <w:rPr>
          <w:color w:val="auto"/>
          <w:szCs w:val="24"/>
        </w:rPr>
        <w:t>rozhodnutie Súdneho dvora vo veci C - 27/04, E</w:t>
      </w:r>
      <w:r w:rsidRPr="001C0C07">
        <w:rPr>
          <w:bCs/>
          <w:color w:val="auto"/>
          <w:szCs w:val="24"/>
        </w:rPr>
        <w:t xml:space="preserve">K </w:t>
      </w:r>
      <w:r w:rsidRPr="001C0C07">
        <w:rPr>
          <w:color w:val="auto"/>
          <w:szCs w:val="24"/>
        </w:rPr>
        <w:t xml:space="preserve">v. </w:t>
      </w:r>
      <w:r w:rsidRPr="001C0C07">
        <w:rPr>
          <w:bCs/>
          <w:color w:val="auto"/>
          <w:szCs w:val="24"/>
        </w:rPr>
        <w:t>Rada EÚ</w:t>
      </w:r>
      <w:r w:rsidRPr="001C0C07">
        <w:rPr>
          <w:color w:val="auto"/>
          <w:szCs w:val="24"/>
        </w:rPr>
        <w:t>, [2004].</w:t>
      </w:r>
    </w:p>
    <w:p w:rsidR="001C0C07" w:rsidRPr="001C0C07" w:rsidRDefault="001C0C07" w:rsidP="001C0C07">
      <w:pPr>
        <w:pStyle w:val="Zkladntext0"/>
        <w:widowControl/>
        <w:snapToGrid/>
        <w:spacing w:after="120"/>
        <w:ind w:left="360"/>
        <w:jc w:val="both"/>
        <w:rPr>
          <w:color w:val="auto"/>
          <w:szCs w:val="24"/>
          <w:u w:val="single"/>
        </w:rPr>
      </w:pPr>
      <w:r w:rsidRPr="001C0C07">
        <w:rPr>
          <w:color w:val="auto"/>
          <w:szCs w:val="24"/>
          <w:u w:val="single"/>
        </w:rPr>
        <w:t>Výrok rozhodnutia:</w:t>
      </w:r>
    </w:p>
    <w:p w:rsidR="001C0C07" w:rsidRPr="001C0C07" w:rsidRDefault="001C0C07" w:rsidP="001C0C07">
      <w:pPr>
        <w:pStyle w:val="c08dispositif"/>
        <w:tabs>
          <w:tab w:val="left" w:pos="709"/>
        </w:tabs>
        <w:spacing w:after="240" w:afterAutospacing="0"/>
        <w:ind w:left="426"/>
        <w:jc w:val="both"/>
        <w:rPr>
          <w:bCs/>
          <w:color w:val="000000"/>
        </w:rPr>
      </w:pPr>
      <w:r w:rsidRPr="001C0C07">
        <w:rPr>
          <w:bCs/>
          <w:color w:val="000000"/>
        </w:rPr>
        <w:t>1.      Žaloba Komisie Európskych spoločenstiev v časti, v ktorej sa navrhuje zrušenie neprijatia opatrení v požadovanej forme Radou Európskych spoločenstiev obsiahnutých v odporúčaniach Komisie na základe článku 104 ods. 8 a 9 ES, je neprípustná.</w:t>
      </w:r>
    </w:p>
    <w:p w:rsidR="001C0C07" w:rsidRPr="001C0C07" w:rsidRDefault="001C0C07" w:rsidP="001C0C07">
      <w:pPr>
        <w:pStyle w:val="c08dispositif"/>
        <w:spacing w:after="240" w:afterAutospacing="0"/>
        <w:ind w:left="426"/>
        <w:jc w:val="both"/>
        <w:rPr>
          <w:bCs/>
          <w:color w:val="000000"/>
        </w:rPr>
      </w:pPr>
      <w:r w:rsidRPr="001C0C07">
        <w:rPr>
          <w:bCs/>
          <w:color w:val="000000"/>
        </w:rPr>
        <w:t>2.      Závery Rady z 25. novembra 2003 prijaté voči Francúzskej republike a voči Spolkovej republike Nemecko sú zrušené v časti, v ktorej obsahujú rozhodnutie o prerušení konania o nadmernom deficite, a v časti, v ktorej obsahujú rozhodnutie, ktorým sa menia odporúčania prijaté skôr Radou v súlade s článkom 104 ods. 7 ES.</w:t>
      </w:r>
    </w:p>
    <w:p w:rsidR="001C0C07" w:rsidRPr="001C0C07" w:rsidRDefault="001C0C07" w:rsidP="001C0C07">
      <w:pPr>
        <w:pStyle w:val="Zkladntext"/>
        <w:spacing w:after="0"/>
        <w:ind w:left="425"/>
      </w:pPr>
    </w:p>
    <w:p w:rsidR="001C0C07" w:rsidRPr="001C0C07" w:rsidRDefault="001C0C07" w:rsidP="001C0C07">
      <w:pPr>
        <w:numPr>
          <w:ilvl w:val="0"/>
          <w:numId w:val="3"/>
        </w:numPr>
        <w:spacing w:after="120" w:line="240" w:lineRule="auto"/>
        <w:jc w:val="both"/>
        <w:rPr>
          <w:rFonts w:ascii="Times New Roman" w:hAnsi="Times New Roman" w:cs="Times New Roman"/>
          <w:b/>
          <w:sz w:val="24"/>
          <w:szCs w:val="24"/>
        </w:rPr>
      </w:pPr>
      <w:r w:rsidRPr="001C0C07">
        <w:rPr>
          <w:rFonts w:ascii="Times New Roman" w:hAnsi="Times New Roman" w:cs="Times New Roman"/>
          <w:b/>
          <w:sz w:val="24"/>
          <w:szCs w:val="24"/>
        </w:rPr>
        <w:t>Záväzky Slovenskej republiky vo vzťahu k Európskej únii:</w:t>
      </w:r>
    </w:p>
    <w:p w:rsidR="001C0C07" w:rsidRPr="001C0C07" w:rsidRDefault="001C0C07" w:rsidP="001C0C07">
      <w:pPr>
        <w:pStyle w:val="Zkladntext"/>
        <w:numPr>
          <w:ilvl w:val="1"/>
          <w:numId w:val="3"/>
        </w:numPr>
        <w:tabs>
          <w:tab w:val="clear" w:pos="397"/>
          <w:tab w:val="left" w:pos="360"/>
        </w:tabs>
        <w:ind w:left="426"/>
        <w:jc w:val="both"/>
      </w:pPr>
      <w:r w:rsidRPr="001C0C07">
        <w:t>Lehota na implementáciu nariadenia alebo rozhodnutia: bezpredmetné.</w:t>
      </w:r>
    </w:p>
    <w:p w:rsidR="001C0C07" w:rsidRPr="001C0C07" w:rsidRDefault="001C0C07" w:rsidP="001C0C07">
      <w:pPr>
        <w:numPr>
          <w:ilvl w:val="1"/>
          <w:numId w:val="3"/>
        </w:numPr>
        <w:tabs>
          <w:tab w:val="clear" w:pos="397"/>
          <w:tab w:val="num" w:pos="284"/>
        </w:tabs>
        <w:spacing w:after="120" w:line="240" w:lineRule="auto"/>
        <w:ind w:left="360" w:hanging="360"/>
        <w:jc w:val="both"/>
        <w:rPr>
          <w:rFonts w:ascii="Times New Roman" w:hAnsi="Times New Roman" w:cs="Times New Roman"/>
          <w:sz w:val="24"/>
          <w:szCs w:val="24"/>
        </w:rPr>
      </w:pPr>
      <w:r w:rsidRPr="001C0C07">
        <w:rPr>
          <w:rFonts w:ascii="Times New Roman" w:hAnsi="Times New Roman" w:cs="Times New Roman"/>
          <w:sz w:val="24"/>
          <w:szCs w:val="24"/>
        </w:rPr>
        <w:t xml:space="preserve"> Proti SR nebolo začaté konanie v rámci EÚ Pilot, ani nebol začatý postup Európskej komisie a ani nebolo začaté konanie o porušení Zmluvy o fungovaní Európskej únie podľa čl. 258 až 260.</w:t>
      </w:r>
    </w:p>
    <w:p w:rsidR="001C0C07" w:rsidRPr="001C0C07" w:rsidRDefault="001C0C07" w:rsidP="001C0C07">
      <w:pPr>
        <w:numPr>
          <w:ilvl w:val="1"/>
          <w:numId w:val="3"/>
        </w:numPr>
        <w:tabs>
          <w:tab w:val="clear" w:pos="397"/>
          <w:tab w:val="num" w:pos="284"/>
        </w:tabs>
        <w:spacing w:after="120" w:line="240" w:lineRule="auto"/>
        <w:ind w:left="360" w:hanging="360"/>
        <w:jc w:val="both"/>
        <w:rPr>
          <w:rFonts w:ascii="Times New Roman" w:hAnsi="Times New Roman" w:cs="Times New Roman"/>
          <w:sz w:val="24"/>
          <w:szCs w:val="24"/>
        </w:rPr>
      </w:pPr>
      <w:r w:rsidRPr="001C0C07">
        <w:rPr>
          <w:rFonts w:ascii="Times New Roman" w:hAnsi="Times New Roman" w:cs="Times New Roman"/>
          <w:sz w:val="24"/>
          <w:szCs w:val="24"/>
        </w:rPr>
        <w:lastRenderedPageBreak/>
        <w:t xml:space="preserve"> Bezpredmetné.</w:t>
      </w:r>
    </w:p>
    <w:p w:rsidR="001C0C07" w:rsidRPr="001C0C07" w:rsidRDefault="001C0C07" w:rsidP="001C0C07">
      <w:pPr>
        <w:spacing w:after="120"/>
        <w:jc w:val="both"/>
        <w:rPr>
          <w:rFonts w:ascii="Times New Roman" w:hAnsi="Times New Roman" w:cs="Times New Roman"/>
          <w:sz w:val="24"/>
          <w:szCs w:val="24"/>
        </w:rPr>
      </w:pPr>
    </w:p>
    <w:p w:rsidR="001C0C07" w:rsidRPr="001C0C07" w:rsidRDefault="001C0C07" w:rsidP="001C0C07">
      <w:pPr>
        <w:numPr>
          <w:ilvl w:val="0"/>
          <w:numId w:val="3"/>
        </w:numPr>
        <w:spacing w:after="120" w:line="240" w:lineRule="auto"/>
        <w:jc w:val="both"/>
        <w:rPr>
          <w:rFonts w:ascii="Times New Roman" w:hAnsi="Times New Roman" w:cs="Times New Roman"/>
          <w:b/>
          <w:sz w:val="24"/>
          <w:szCs w:val="24"/>
        </w:rPr>
      </w:pPr>
      <w:r w:rsidRPr="001C0C07">
        <w:rPr>
          <w:rFonts w:ascii="Times New Roman" w:hAnsi="Times New Roman" w:cs="Times New Roman"/>
          <w:b/>
          <w:sz w:val="24"/>
          <w:szCs w:val="24"/>
        </w:rPr>
        <w:t>Návrh zákona je zlučiteľný s právom Európskej únie:</w:t>
      </w:r>
    </w:p>
    <w:p w:rsidR="001C0C07" w:rsidRPr="001C0C07" w:rsidRDefault="001C0C07" w:rsidP="001C0C07">
      <w:pPr>
        <w:spacing w:after="120"/>
        <w:ind w:left="360"/>
        <w:jc w:val="both"/>
        <w:rPr>
          <w:rFonts w:ascii="Times New Roman" w:hAnsi="Times New Roman" w:cs="Times New Roman"/>
          <w:bCs/>
          <w:sz w:val="24"/>
          <w:szCs w:val="24"/>
        </w:rPr>
      </w:pPr>
      <w:r w:rsidRPr="001C0C07">
        <w:rPr>
          <w:rFonts w:ascii="Times New Roman" w:hAnsi="Times New Roman" w:cs="Times New Roman"/>
          <w:bCs/>
          <w:sz w:val="24"/>
          <w:szCs w:val="24"/>
        </w:rPr>
        <w:t xml:space="preserve"> Úplne.</w:t>
      </w:r>
    </w:p>
    <w:p w:rsidR="001C0C07" w:rsidRDefault="001C0C07">
      <w:pPr>
        <w:rPr>
          <w:rFonts w:ascii="Times New Roman" w:hAnsi="Times New Roman" w:cs="Times New Roman"/>
          <w:b/>
          <w:sz w:val="24"/>
          <w:szCs w:val="24"/>
        </w:rPr>
      </w:pPr>
      <w:r>
        <w:rPr>
          <w:rFonts w:ascii="Times New Roman" w:hAnsi="Times New Roman" w:cs="Times New Roman"/>
          <w:b/>
          <w:sz w:val="24"/>
          <w:szCs w:val="24"/>
        </w:rPr>
        <w:br w:type="page"/>
      </w:r>
    </w:p>
    <w:p w:rsidR="001C0C07" w:rsidRPr="004161A4" w:rsidRDefault="001C0C07" w:rsidP="001C0C07">
      <w:pPr>
        <w:spacing w:after="0" w:line="240" w:lineRule="auto"/>
        <w:jc w:val="center"/>
        <w:rPr>
          <w:rFonts w:ascii="Times New Roman" w:hAnsi="Times New Roman" w:cs="Times New Roman"/>
          <w:b/>
          <w:sz w:val="24"/>
          <w:szCs w:val="24"/>
        </w:rPr>
      </w:pPr>
      <w:r w:rsidRPr="004161A4">
        <w:rPr>
          <w:rFonts w:ascii="Times New Roman" w:hAnsi="Times New Roman" w:cs="Times New Roman"/>
          <w:b/>
          <w:sz w:val="24"/>
          <w:szCs w:val="24"/>
        </w:rPr>
        <w:lastRenderedPageBreak/>
        <w:t>Dôvodová správa</w:t>
      </w:r>
    </w:p>
    <w:p w:rsidR="001C0C07" w:rsidRPr="004161A4" w:rsidRDefault="001C0C07" w:rsidP="001C0C07">
      <w:pPr>
        <w:spacing w:after="0" w:line="240" w:lineRule="auto"/>
        <w:jc w:val="center"/>
        <w:rPr>
          <w:rFonts w:ascii="Times New Roman" w:hAnsi="Times New Roman" w:cs="Times New Roman"/>
          <w:b/>
          <w:sz w:val="24"/>
          <w:szCs w:val="24"/>
        </w:rPr>
      </w:pPr>
    </w:p>
    <w:p w:rsidR="001C0C07" w:rsidRPr="004161A4" w:rsidRDefault="001C0C07" w:rsidP="001C0C07">
      <w:pPr>
        <w:spacing w:after="0" w:line="240" w:lineRule="auto"/>
        <w:rPr>
          <w:rFonts w:ascii="Times New Roman" w:hAnsi="Times New Roman" w:cs="Times New Roman"/>
          <w:b/>
          <w:sz w:val="24"/>
          <w:szCs w:val="24"/>
        </w:rPr>
      </w:pPr>
      <w:r w:rsidRPr="004161A4">
        <w:rPr>
          <w:rFonts w:ascii="Times New Roman" w:hAnsi="Times New Roman" w:cs="Times New Roman"/>
          <w:b/>
          <w:sz w:val="24"/>
          <w:szCs w:val="24"/>
        </w:rPr>
        <w:t>Osobitná časť</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čl. I</w:t>
      </w: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1</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Z dôvodu zabezpečenia včasného informovania o údajoch rozpočtu verejnej správy vrátane údajov štátneho rozpočtu navrhuje sa skrátenie lehoty na zverejnenie údajov štátneho rozpočtu a rozpočtu verejnej správy zo 60 dní na 30 dní po nadobudnutí účinnosti zákona o štátnom rozpočte. Zároveň sa navrhuje, aby sa údaje štátneho rozpočtu a rozpočtu verejnej správy zverejnili v </w:t>
      </w:r>
      <w:r w:rsidRPr="004161A4">
        <w:rPr>
          <w:rFonts w:ascii="Times New Roman" w:hAnsi="Times New Roman" w:cs="Times New Roman"/>
          <w:bCs/>
          <w:sz w:val="24"/>
          <w:szCs w:val="24"/>
        </w:rPr>
        <w:t>podobe štruktúrovaných údajov, ktorá umožňuje ich ďalšie automatizované spracovanie.</w:t>
      </w:r>
      <w:r w:rsidRPr="004161A4">
        <w:rPr>
          <w:rFonts w:ascii="Times New Roman" w:hAnsi="Times New Roman" w:cs="Times New Roman"/>
          <w:sz w:val="24"/>
          <w:szCs w:val="24"/>
        </w:rPr>
        <w:t xml:space="preserve"> </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2</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S cieľom zabezpečiť, aby sa do návrhu rozpočtu verejnej správy v plnej miere preberali prognózy Výboru pre daňové prognózy, navrhuje sa vypustiť možnosť, aby návrh rozpočtu verejnej správy obsahoval daňové a odvodové príjmy štátneho rozpočtu, ktoré neboli obsiahnuté v prognóze Výboru pre daňové prognózy.</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3</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Navrhuje sa sprecizovať ustanovenie § 8 ods. 5 vo vzťahu k určeniu časového okamihu poskytnutia bežného transferu po 31. júli rozpočtového roka z dôvodu, aby bolo nespochybniteľné, že možnosť použiť bežné výdavky do 31. marca nasledujúceho rozpočtového roka sa vzťahuje aj na prostriedky poskytnuté 1. augusta rozpočtového roka.</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4</w:t>
      </w:r>
    </w:p>
    <w:p w:rsidR="001C0C07" w:rsidRDefault="001C0C07" w:rsidP="001C0C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sa, aby sa v prípade poskytovania podpory z výdavkov štátneho rozpočtu na riešenie krízových situácií, ktorými sú výnimočný stav, núdzový stav a mimoriadna situácia, nevzťahovala úprava týkajúca sa poskytovania dotácií podľa § 8a zákona. Dotácie sa poskytujú vždy na konkrétny účel na podporu určitej oblasti, pričom ich použitie podlieha  zúčtovaniu. V prípade podpory na riešenie krízových situácií ide o promptné poskytnutie finančných prostriedkov na odstraňovanie následkov krízových situácií, ktoré je potrebné okamžite riešiť na základe osobitnej legislatívy.</w:t>
      </w:r>
    </w:p>
    <w:p w:rsidR="001C0C07" w:rsidRPr="00737B98" w:rsidRDefault="001C0C07" w:rsidP="001C0C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5</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V nadväznosti na navrhovanú úpravu v bode 1 sa skracuje aj lehota na zverejnenie údajov rozpočtu kapitoly, a to na 30 dní po nadobudnutí účinnosti zákona o štátnom rozpočte na príslušný rozpočtový rok. </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 xml:space="preserve">K bodu </w:t>
      </w:r>
      <w:r>
        <w:rPr>
          <w:rFonts w:ascii="Times New Roman" w:hAnsi="Times New Roman" w:cs="Times New Roman"/>
          <w:b/>
          <w:sz w:val="24"/>
          <w:szCs w:val="24"/>
        </w:rPr>
        <w:t>6</w:t>
      </w:r>
      <w:r w:rsidRPr="004161A4">
        <w:rPr>
          <w:rFonts w:ascii="Times New Roman" w:hAnsi="Times New Roman" w:cs="Times New Roman"/>
          <w:b/>
          <w:sz w:val="24"/>
          <w:szCs w:val="24"/>
        </w:rPr>
        <w:t xml:space="preserve"> a </w:t>
      </w:r>
      <w:r>
        <w:rPr>
          <w:rFonts w:ascii="Times New Roman" w:hAnsi="Times New Roman" w:cs="Times New Roman"/>
          <w:b/>
          <w:sz w:val="24"/>
          <w:szCs w:val="24"/>
        </w:rPr>
        <w:t>7</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Navrhovaným znením sa taxatívnym spôsobom vymedzujú druhy rozpočtových rezerv v štátnom rozpočte. Okrem rozpočtovej rezervy vlády, rozpočtovej rezervy predsedu vlády a rezervy na prostriedky Európskej únie a odvody Európskej únii sa tvorí rezerva na riešenie vplyvov nových právnych predpisov, rezerva na riešenie krízových situácií a vykonávanie povodňových prác a</w:t>
      </w:r>
      <w:r>
        <w:rPr>
          <w:rFonts w:ascii="Times New Roman" w:hAnsi="Times New Roman" w:cs="Times New Roman"/>
          <w:sz w:val="24"/>
          <w:szCs w:val="24"/>
        </w:rPr>
        <w:t xml:space="preserve"> iná </w:t>
      </w:r>
      <w:r w:rsidRPr="004161A4">
        <w:rPr>
          <w:rFonts w:ascii="Times New Roman" w:hAnsi="Times New Roman" w:cs="Times New Roman"/>
          <w:sz w:val="24"/>
          <w:szCs w:val="24"/>
        </w:rPr>
        <w:t>rezerva</w:t>
      </w:r>
      <w:r>
        <w:rPr>
          <w:rFonts w:ascii="Times New Roman" w:hAnsi="Times New Roman" w:cs="Times New Roman"/>
          <w:sz w:val="24"/>
          <w:szCs w:val="24"/>
        </w:rPr>
        <w:t xml:space="preserve"> podľa</w:t>
      </w:r>
      <w:r w:rsidRPr="004161A4">
        <w:rPr>
          <w:rFonts w:ascii="Times New Roman" w:hAnsi="Times New Roman" w:cs="Times New Roman"/>
          <w:sz w:val="24"/>
          <w:szCs w:val="24"/>
        </w:rPr>
        <w:t xml:space="preserve"> zákon</w:t>
      </w:r>
      <w:r>
        <w:rPr>
          <w:rFonts w:ascii="Times New Roman" w:hAnsi="Times New Roman" w:cs="Times New Roman"/>
          <w:sz w:val="24"/>
          <w:szCs w:val="24"/>
        </w:rPr>
        <w:t>a</w:t>
      </w:r>
      <w:r w:rsidRPr="004161A4">
        <w:rPr>
          <w:rFonts w:ascii="Times New Roman" w:hAnsi="Times New Roman" w:cs="Times New Roman"/>
          <w:sz w:val="24"/>
          <w:szCs w:val="24"/>
        </w:rPr>
        <w:t xml:space="preserve"> o štátnom rozpočte na príslušný rozpočtový rok.</w:t>
      </w:r>
      <w:r>
        <w:rPr>
          <w:rFonts w:ascii="Times New Roman" w:hAnsi="Times New Roman" w:cs="Times New Roman"/>
          <w:sz w:val="24"/>
          <w:szCs w:val="24"/>
        </w:rPr>
        <w:t xml:space="preserve"> Rezerva na riešenie vplyvov nových právnych predpisov</w:t>
      </w:r>
      <w:r w:rsidRPr="00CE7C0D">
        <w:rPr>
          <w:rFonts w:ascii="Times New Roman" w:hAnsi="Times New Roman" w:cs="Times New Roman"/>
          <w:sz w:val="24"/>
          <w:szCs w:val="24"/>
        </w:rPr>
        <w:t xml:space="preserve"> </w:t>
      </w:r>
      <w:r>
        <w:rPr>
          <w:rFonts w:ascii="Times New Roman" w:hAnsi="Times New Roman" w:cs="Times New Roman"/>
          <w:sz w:val="24"/>
          <w:szCs w:val="24"/>
        </w:rPr>
        <w:t>podľa odseku 2 písm. d) a rezerva podľa zákona o štátnom rozpočte na príslušný rozpočtový rok podľa odseku 2 písm. f)  sa rozpočtuje v štruktúre podľa jej vecného vymedzenia.</w:t>
      </w:r>
      <w:r w:rsidRPr="004161A4">
        <w:rPr>
          <w:rFonts w:ascii="Times New Roman" w:hAnsi="Times New Roman" w:cs="Times New Roman"/>
          <w:sz w:val="24"/>
          <w:szCs w:val="24"/>
        </w:rPr>
        <w:t xml:space="preserve"> Iné ako uvedené rezervy nebude možné </w:t>
      </w:r>
      <w:r w:rsidRPr="004161A4">
        <w:rPr>
          <w:rFonts w:ascii="Times New Roman" w:hAnsi="Times New Roman" w:cs="Times New Roman"/>
          <w:sz w:val="24"/>
          <w:szCs w:val="24"/>
        </w:rPr>
        <w:lastRenderedPageBreak/>
        <w:t xml:space="preserve">v štátnom rozpočte vytvoriť. Výška rozpočtových rezerv je schvaľovaná Národnou radou Slovenskej republiky v zákone o štátnom rozpočte na príslušný rozpočtový rok. </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Rozhodovaciu právomoc pre použitie rezervy vlády má vláda na návrh ministra financií, o použití rezervy predsedu vlády rozhoduje predseda vlády a o použití ostatných rezerv rozhoduje minister financií, s výnimkou rezervy na riešenie krízových situácií a vykonávanie povodňových prác, pri použití ktorej sa postupuje v súlade s platnou právnou úpravou ustanovenou v osobitných predpisoch. Uvedenou úpravou sa posilňuje transparentnosť pri tvorbe a použití rozpočtových rezerv. </w:t>
      </w:r>
    </w:p>
    <w:p w:rsidR="001C0C07" w:rsidRPr="004161A4" w:rsidRDefault="001C0C07" w:rsidP="001C0C07">
      <w:pPr>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Taktiež sa navrhuje  upraviť obsahové náležitosti informácie, ktorú predkladá vláda Slovenskej republiky Národnej rade Slovenskej republiky. Navrhuje sa, aby táto informácia obsahovala prehľad o uvoľnení alebo</w:t>
      </w:r>
      <w:r>
        <w:rPr>
          <w:rFonts w:ascii="Times New Roman" w:hAnsi="Times New Roman" w:cs="Times New Roman"/>
          <w:sz w:val="24"/>
          <w:szCs w:val="24"/>
        </w:rPr>
        <w:t xml:space="preserve"> o</w:t>
      </w:r>
      <w:r w:rsidRPr="004161A4">
        <w:rPr>
          <w:rFonts w:ascii="Times New Roman" w:hAnsi="Times New Roman" w:cs="Times New Roman"/>
          <w:sz w:val="24"/>
          <w:szCs w:val="24"/>
        </w:rPr>
        <w:t xml:space="preserve"> použití prostriedkov z rozpočtových rezerv v členení podľa  správcov kapitol alebo </w:t>
      </w:r>
      <w:r>
        <w:rPr>
          <w:rFonts w:ascii="Times New Roman" w:hAnsi="Times New Roman" w:cs="Times New Roman"/>
          <w:sz w:val="24"/>
          <w:szCs w:val="24"/>
        </w:rPr>
        <w:t xml:space="preserve">podľa </w:t>
      </w:r>
      <w:r w:rsidRPr="004161A4">
        <w:rPr>
          <w:rFonts w:ascii="Times New Roman" w:hAnsi="Times New Roman" w:cs="Times New Roman"/>
          <w:sz w:val="24"/>
          <w:szCs w:val="24"/>
        </w:rPr>
        <w:t>prijímateľov prostriedkov, podľa účelu a výšky ich čerpania.</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 xml:space="preserve">K bodu </w:t>
      </w:r>
      <w:r>
        <w:rPr>
          <w:rFonts w:ascii="Times New Roman" w:hAnsi="Times New Roman" w:cs="Times New Roman"/>
          <w:b/>
          <w:sz w:val="24"/>
          <w:szCs w:val="24"/>
        </w:rPr>
        <w:t>8</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V súlade so  zaužívaným výkladom sa precizuje znenie § 13 ods. 2 tak, že správu prostriedkov na bežných účtoch štátnych rozpočtových organizácií a štátnych príspevkových organizácií vykonávajú jednotlivé štátne rozpočtové organizácie a štátne príspevkové organizácie.</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 xml:space="preserve">K bodu </w:t>
      </w:r>
      <w:r>
        <w:rPr>
          <w:rFonts w:ascii="Times New Roman" w:hAnsi="Times New Roman" w:cs="Times New Roman"/>
          <w:b/>
          <w:sz w:val="24"/>
          <w:szCs w:val="24"/>
        </w:rPr>
        <w:t>9</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Navrhovaným znením sa upravujú jednotné pravidlá a podmienky poskytovania návratnej finančnej výpomoci zo štátnych finančných aktív. Návratnú finančnú výpomoc zo štátnych finančných aktív možno poskytnúť obciam, vyšším územným celkom a</w:t>
      </w:r>
      <w:r>
        <w:rPr>
          <w:rFonts w:ascii="Times New Roman" w:hAnsi="Times New Roman" w:cs="Times New Roman"/>
          <w:sz w:val="24"/>
          <w:szCs w:val="24"/>
        </w:rPr>
        <w:t> iným právnickým osobám</w:t>
      </w:r>
      <w:r w:rsidRPr="004161A4">
        <w:rPr>
          <w:rFonts w:ascii="Times New Roman" w:hAnsi="Times New Roman" w:cs="Times New Roman"/>
          <w:sz w:val="24"/>
          <w:szCs w:val="24"/>
        </w:rPr>
        <w:t>, a to len po predchádzajúcom súhlase vlády Slovenskej republiky, na určený účel schválený vládou. Zmluva o poskytnutí návratnej finančnej výpomoci musí mať písomnú formu. Pri poskytovaní návratnej finančnej výpomoci obciam a vyšším územným celkom platí, že táto výpomoc nemôže byť poskytnutá za účelom zabezpečenia ich platobnej schopnosti. Predchádzajúci súhlas vlády Slovenskej republiky na poskytnutie návratnej finančnej výpomoci sa nevyžaduje, ak sa návratná finančná výpomoc poskytuje na účely, na ktoré vláda prevzala úver. Pri  poskytovaní návratnej finančnej výpomoci zo štátnych finančných aktív na základe osobitných predpisov a pri poskytovaní návratnej finančnej výpomoci príspevkovej organizácii, ktorá je zdravotníckym zariadením, sa postupuje v súlade s platnou právnou úpravou ustanovenou v osobitných predpisoch.</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 xml:space="preserve">K bodu </w:t>
      </w:r>
      <w:r>
        <w:rPr>
          <w:rFonts w:ascii="Times New Roman" w:hAnsi="Times New Roman" w:cs="Times New Roman"/>
          <w:b/>
          <w:sz w:val="24"/>
          <w:szCs w:val="24"/>
        </w:rPr>
        <w:t>10</w:t>
      </w:r>
    </w:p>
    <w:p w:rsidR="001C0C07" w:rsidRDefault="001C0C07" w:rsidP="001C0C07">
      <w:pPr>
        <w:spacing w:after="0" w:line="240" w:lineRule="auto"/>
        <w:jc w:val="both"/>
        <w:rPr>
          <w:rFonts w:ascii="Times New Roman" w:hAnsi="Times New Roman" w:cs="Times New Roman"/>
          <w:sz w:val="24"/>
          <w:szCs w:val="24"/>
        </w:rPr>
      </w:pPr>
      <w:r w:rsidRPr="00580A13">
        <w:rPr>
          <w:rFonts w:ascii="Times New Roman" w:hAnsi="Times New Roman" w:cs="Times New Roman"/>
          <w:sz w:val="24"/>
          <w:szCs w:val="24"/>
        </w:rPr>
        <w:t xml:space="preserve">Navrhovaným znením sa v súlade s doterajším výkladom precizuje ustanovenie § 14 ods. 3 vo vzťahu k určeniu časového okamihu na predloženie hodnotenia plnenia opatrení navrhnutých v revízii výdavkov. Hodnotenie plnenia opatrení navrhnutých v revízii výdavkov sa predkladá v rovnakom čase ako návrh rozpočtu verejnej správy. Hodnotenie plnenia opatrení navrhnutých v revízii výdavkov vypracúva Implementačná jednotka Úradu vlády SR a prekladá ju  Ministerstvo financií SR ako samostatný dokument súčasne s návrhom rozpočtu verejnej správy. </w:t>
      </w:r>
    </w:p>
    <w:p w:rsidR="001C0C07" w:rsidRPr="00BC4AAC" w:rsidRDefault="001C0C07" w:rsidP="001C0C07">
      <w:pPr>
        <w:spacing w:after="0" w:line="240" w:lineRule="auto"/>
        <w:jc w:val="both"/>
        <w:rPr>
          <w:rFonts w:ascii="Times New Roman" w:hAnsi="Times New Roman" w:cs="Times New Roman"/>
          <w:bCs/>
          <w:sz w:val="24"/>
          <w:szCs w:val="24"/>
        </w:rPr>
      </w:pPr>
      <w:r w:rsidRPr="00BC4AAC">
        <w:rPr>
          <w:rFonts w:ascii="Times New Roman" w:hAnsi="Times New Roman" w:cs="Times New Roman"/>
          <w:sz w:val="24"/>
          <w:szCs w:val="24"/>
        </w:rPr>
        <w:t>Z dôvodu zvýšenia transparentnosti v</w:t>
      </w:r>
      <w:r>
        <w:rPr>
          <w:rFonts w:ascii="Times New Roman" w:hAnsi="Times New Roman" w:cs="Times New Roman"/>
          <w:sz w:val="24"/>
          <w:szCs w:val="24"/>
        </w:rPr>
        <w:t xml:space="preserve"> procese schvaľovania rozpočtu verejnej správy </w:t>
      </w:r>
      <w:r w:rsidRPr="00BC4AAC">
        <w:rPr>
          <w:rFonts w:ascii="Times New Roman" w:hAnsi="Times New Roman" w:cs="Times New Roman"/>
          <w:sz w:val="24"/>
          <w:szCs w:val="24"/>
        </w:rPr>
        <w:t>sa navrhuje, aby minister financií informoval pri prerokovaní návrhu rozpočtu verejnej správy Národnú radu Slovenskej republiky o aktualizácii prognózy Výboru pre daňové prognózy vypracovan</w:t>
      </w:r>
      <w:r>
        <w:rPr>
          <w:rFonts w:ascii="Times New Roman" w:hAnsi="Times New Roman" w:cs="Times New Roman"/>
          <w:sz w:val="24"/>
          <w:szCs w:val="24"/>
        </w:rPr>
        <w:t>ej</w:t>
      </w:r>
      <w:r w:rsidRPr="00BC4AAC">
        <w:rPr>
          <w:rFonts w:ascii="Times New Roman" w:hAnsi="Times New Roman" w:cs="Times New Roman"/>
          <w:sz w:val="24"/>
          <w:szCs w:val="24"/>
        </w:rPr>
        <w:t xml:space="preserve"> po 15. októbri bežného roka. </w:t>
      </w:r>
      <w:r>
        <w:rPr>
          <w:rFonts w:ascii="Times New Roman" w:hAnsi="Times New Roman" w:cs="Times New Roman"/>
          <w:sz w:val="24"/>
          <w:szCs w:val="24"/>
        </w:rPr>
        <w:t>Vytvára sa tak priestor na zohľadnenie najaktuálnejšej prognózy</w:t>
      </w:r>
      <w:r w:rsidRPr="00BC4AAC">
        <w:rPr>
          <w:rFonts w:ascii="Times New Roman" w:hAnsi="Times New Roman" w:cs="Times New Roman"/>
          <w:sz w:val="24"/>
          <w:szCs w:val="24"/>
        </w:rPr>
        <w:t xml:space="preserve"> Výboru pre daňové prognózy</w:t>
      </w:r>
      <w:r>
        <w:rPr>
          <w:rFonts w:ascii="Times New Roman" w:hAnsi="Times New Roman" w:cs="Times New Roman"/>
          <w:sz w:val="24"/>
          <w:szCs w:val="24"/>
        </w:rPr>
        <w:t xml:space="preserve"> v rozpočte verejnej správy.</w:t>
      </w:r>
    </w:p>
    <w:p w:rsidR="001C0C07" w:rsidRDefault="001C0C07" w:rsidP="001C0C07">
      <w:pPr>
        <w:shd w:val="clear" w:color="auto" w:fill="FFFFFF"/>
        <w:spacing w:after="0" w:line="240" w:lineRule="auto"/>
        <w:jc w:val="both"/>
        <w:rPr>
          <w:rFonts w:ascii="Times New Roman" w:hAnsi="Times New Roman" w:cs="Times New Roman"/>
          <w:sz w:val="24"/>
          <w:szCs w:val="24"/>
        </w:rPr>
      </w:pPr>
    </w:p>
    <w:p w:rsidR="001C0C07"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lastRenderedPageBreak/>
        <w:t>K bodu 1</w:t>
      </w:r>
      <w:r>
        <w:rPr>
          <w:rFonts w:ascii="Times New Roman" w:hAnsi="Times New Roman" w:cs="Times New Roman"/>
          <w:b/>
          <w:sz w:val="24"/>
          <w:szCs w:val="24"/>
        </w:rPr>
        <w:t>1</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Navrhuje sa upraviť oprávnenie subjektu verejnej správy uhrádzať svoje výdavky aj prostredníctvom kreditnej karty, ak ide o spôsob zabezpečenia úhrady výdavku v platobnom styku v prípade, ak si to charakter výdavku vyžaduje, pričom prostriedkami vo výške úhrady prostredníctvom kreditnej karty subjekt verejnej správy disponuje na svojom účte</w:t>
      </w:r>
      <w:r>
        <w:rPr>
          <w:rFonts w:ascii="Times New Roman" w:hAnsi="Times New Roman" w:cs="Times New Roman"/>
          <w:sz w:val="24"/>
          <w:szCs w:val="24"/>
        </w:rPr>
        <w:t>,</w:t>
      </w:r>
      <w:r w:rsidRPr="004161A4">
        <w:rPr>
          <w:rFonts w:ascii="Times New Roman" w:hAnsi="Times New Roman" w:cs="Times New Roman"/>
          <w:sz w:val="24"/>
          <w:szCs w:val="24"/>
        </w:rPr>
        <w:t xml:space="preserve"> resp. má ich zabezpečené vo svojom rozpočte. Uvedeným sa reaguje na potreby subjektov verejnej správy realizovať platby v prípadoch, kedy je to nevyhnutné, napr. pri úhrade výdavkov na ubytovanie, nájom automobilu v zahraničí za dodržania stanovených podmienok.</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1</w:t>
      </w:r>
      <w:r>
        <w:rPr>
          <w:rFonts w:ascii="Times New Roman" w:hAnsi="Times New Roman" w:cs="Times New Roman"/>
          <w:b/>
          <w:sz w:val="24"/>
          <w:szCs w:val="24"/>
        </w:rPr>
        <w:t>2</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Predkladaný návrh zmien v legislatívnom znení reflektuje na aplikačnú prax pri investíciách a koncesiách a aplikuje niekoľko legislatívno-technických zmien. Definuje sa pojem príprava investície alebo koncesie, ktorý je nevyhnutný na určenie času, do ktorého je subjekt verejnej správy povinný vypracovať štúdiu uskutočniteľnosti. Legislatívna úprava jasne vymedzuje konkrétne právne úkony nevyhnutné na realizáciu investície. Tým sa legislatívne presne vymedzí pojem príprava investície, čím sa zabraňuje rôznemu právnemu výkladu okamihu vypracovania štúdie uskutočniteľnosti. </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Zavádza sa povinnosť subjektov verejnej správy aktualizovať štúdiu uskutočniteľnosti aspoň 30 dní pred významnými právnymi úkonmi subjektu verejnej správy v procese realizácie investície alebo koncesie. Prvá vypracovaná štúdia uskutočniteľnosti, ako aj aktualizované štúdie uskutočniteľnosti, sú hodnotené ministerstvom financií v rovnakej lehote, akú malo ministerstvo v pôvodnom znení zákona. </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Definícia investície sa rozširuje o opciu, rámcovú dohodu, ako aj nadobudnutie alebo navýšenie majetkového podielu v inej právnickej osobe. Rozširovanie definície investície má zabezpečiť vypracovanie štúdie uskutočniteľnosti aj takých investícií, ktorých súčasťou je rámec na budúce výdavky, ako napríklad rámec na rozvoj informačných systémov.  </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Návrh upravuje aj situáciu ukončenia investície bez jej realizácie, pričom upravuje práva a povinnosti subjektov verejnej správy, ako aj ministerstva financií. </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Návrhom vzniká právo ministerstva financií pri investičných projektoch, ktorých štúdie uskutočniteľnosti hodnotilo, vyžiadať si akékoľvek súvisiace dokumenty. Na druhej strane dáva návrh povinnosť subjektom verejnej správy tieto dokumenty v primeranej lehote poskytnúť. </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Návrh zákona rozširuje okruh subjektov, ktoré sú povinné postupovať podľa §19a o tie subjekty, ktoré realizujú investíciu alebo koncesiu a aspoň polovica výdavkov je financovaná zo štátneho rozpočtu.</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1</w:t>
      </w:r>
      <w:r>
        <w:rPr>
          <w:rFonts w:ascii="Times New Roman" w:hAnsi="Times New Roman" w:cs="Times New Roman"/>
          <w:b/>
          <w:sz w:val="24"/>
          <w:szCs w:val="24"/>
        </w:rPr>
        <w:t>3</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Navrhuje sa explicitne vyjadriť skutočnosť, že rozpočtová organizácia a príspevková organizácia môže mať len jedného zriaďovateľa. Uvedeným sa reaguje na podnet z aplikačnej praxe, ktorý bol v rozpore so zaužívaným výkladom aj v kontexte iných ustanovení zákona č. 523/2004 Z. z. o rozpočtových pravidlách verejnej správy a o zmene a doplnení niektorých zákonov v znení neskorších predpisov. Navrhovaným znením sa tak predchádza problémom pri zrušení rozpočtovej organizácie a príspevkovej organizácie bez právneho nástupcu, kedy majú práva a povinnosti zrušenej organizácie prejsť na zriaďovateľa, aby bolo zrejmé, kto je právnym nástupcom a voči komu sa majú uplatniť prípadné pohľadávky voči zrušenej organizácii.</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1</w:t>
      </w:r>
      <w:r>
        <w:rPr>
          <w:rFonts w:ascii="Times New Roman" w:hAnsi="Times New Roman" w:cs="Times New Roman"/>
          <w:b/>
          <w:sz w:val="24"/>
          <w:szCs w:val="24"/>
        </w:rPr>
        <w:t>4</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Predmetným návrhom sa umožní okrem ministerstiev aj Úradu vlády Slovenskej republiky zakladať iné právnické osoby. </w:t>
      </w:r>
    </w:p>
    <w:p w:rsidR="001C0C07" w:rsidRDefault="001C0C07" w:rsidP="001C0C07">
      <w:pPr>
        <w:shd w:val="clear" w:color="auto" w:fill="FFFFFF"/>
        <w:spacing w:after="0" w:line="240" w:lineRule="auto"/>
        <w:jc w:val="both"/>
        <w:rPr>
          <w:rFonts w:ascii="Times New Roman" w:hAnsi="Times New Roman" w:cs="Times New Roman"/>
          <w:b/>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lastRenderedPageBreak/>
        <w:t>K bodu 1</w:t>
      </w:r>
      <w:r>
        <w:rPr>
          <w:rFonts w:ascii="Times New Roman" w:hAnsi="Times New Roman" w:cs="Times New Roman"/>
          <w:b/>
          <w:sz w:val="24"/>
          <w:szCs w:val="24"/>
        </w:rPr>
        <w:t>5</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Cieľom úpravy je zjednotiť spôsob zúčtovania účtovného výsledku hospodárenia v rozpočtových organizáciách a príspevkových organizáciách, nakoľko princíp zúčtovania účtovného výsledku hospodárenia je u oboch typov organizácií rovnorodý. Existencia samostatného účtovného fondu pre zúčtovanie výsledku hospodárenia len v príspevkových organizáciách nemá opodstatnenie, nakoľko obdobne ako v prípade rozpočtových organizácií ide len o účtovnú veličinu, bez jej reálneho finančného krytia v podobe povinného odvodu finančných prostriedkov na samostatný bankový účet. Taktiež nedochádza k schvaľovaniu výsledku hospodárenia príspevkových organizácií a jeho následnému prerozdeleniu, z čoho je zrejmé, že obdobne ako v prípade rozpočtových organizácií, výsledok hospodárenia dosiahnutý za bežné účtovné obdobie v nasledujúcom účtovnom období svojím obsahom de </w:t>
      </w:r>
      <w:proofErr w:type="spellStart"/>
      <w:r w:rsidRPr="004161A4">
        <w:rPr>
          <w:rFonts w:ascii="Times New Roman" w:hAnsi="Times New Roman" w:cs="Times New Roman"/>
          <w:sz w:val="24"/>
          <w:szCs w:val="24"/>
        </w:rPr>
        <w:t>fakto</w:t>
      </w:r>
      <w:proofErr w:type="spellEnd"/>
      <w:r w:rsidRPr="004161A4">
        <w:rPr>
          <w:rFonts w:ascii="Times New Roman" w:hAnsi="Times New Roman" w:cs="Times New Roman"/>
          <w:sz w:val="24"/>
          <w:szCs w:val="24"/>
        </w:rPr>
        <w:t xml:space="preserve"> tvorí výsledok hospodárenia minulých účtovných období. Zároveň rovnaký názov (rezervný fond) sa používa aj na označenie peňažného fondu, ktorý vzniká z prebytku hospodárenia obcí, ktorý je krytý peňažnými prostriedkami v banke. Rezervný fond </w:t>
      </w:r>
      <w:r>
        <w:rPr>
          <w:rFonts w:ascii="Times New Roman" w:hAnsi="Times New Roman" w:cs="Times New Roman"/>
          <w:sz w:val="24"/>
          <w:szCs w:val="24"/>
        </w:rPr>
        <w:t>v</w:t>
      </w:r>
      <w:r w:rsidRPr="004161A4">
        <w:rPr>
          <w:rFonts w:ascii="Times New Roman" w:hAnsi="Times New Roman" w:cs="Times New Roman"/>
          <w:sz w:val="24"/>
          <w:szCs w:val="24"/>
        </w:rPr>
        <w:t> príspevkovej organizácie</w:t>
      </w:r>
      <w:r>
        <w:rPr>
          <w:rFonts w:ascii="Times New Roman" w:hAnsi="Times New Roman" w:cs="Times New Roman"/>
          <w:sz w:val="24"/>
          <w:szCs w:val="24"/>
        </w:rPr>
        <w:t xml:space="preserve"> </w:t>
      </w:r>
      <w:r w:rsidRPr="004161A4">
        <w:rPr>
          <w:rFonts w:ascii="Times New Roman" w:hAnsi="Times New Roman" w:cs="Times New Roman"/>
          <w:sz w:val="24"/>
          <w:szCs w:val="24"/>
        </w:rPr>
        <w:t>spôsobuje problémy v aplikačnej praxi, keď niektoré príspevkové organizácie vo výške účtovného rezervného fondu pristupujú aj k sústredeniu finančných prostriedkov na samostatnom bankovom účte. Za účelom sprehľadnenia a zjednodušenia výkazníctva sa navrhuje tento paragraf vypustiť.</w:t>
      </w: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p>
    <w:p w:rsidR="001C0C07"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1</w:t>
      </w:r>
      <w:r>
        <w:rPr>
          <w:rFonts w:ascii="Times New Roman" w:hAnsi="Times New Roman" w:cs="Times New Roman"/>
          <w:b/>
          <w:sz w:val="24"/>
          <w:szCs w:val="24"/>
        </w:rPr>
        <w:t>6</w:t>
      </w:r>
    </w:p>
    <w:p w:rsidR="001C0C07" w:rsidRDefault="001C0C07" w:rsidP="001C0C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 v súvislosti s bodom 15.</w:t>
      </w:r>
    </w:p>
    <w:p w:rsidR="001C0C07" w:rsidRPr="0065272A" w:rsidRDefault="001C0C07" w:rsidP="001C0C07">
      <w:pPr>
        <w:shd w:val="clear" w:color="auto" w:fill="FFFFFF"/>
        <w:spacing w:after="0" w:line="240" w:lineRule="auto"/>
        <w:jc w:val="both"/>
        <w:rPr>
          <w:rFonts w:ascii="Times New Roman" w:hAnsi="Times New Roman" w:cs="Times New Roman"/>
          <w:sz w:val="24"/>
          <w:szCs w:val="24"/>
        </w:rPr>
      </w:pPr>
    </w:p>
    <w:p w:rsidR="001C0C07" w:rsidRDefault="001C0C07" w:rsidP="001C0C07">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17</w:t>
      </w:r>
    </w:p>
    <w:p w:rsidR="001C0C07" w:rsidRDefault="001C0C07" w:rsidP="001C0C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umožniť rozpočtovej organizácii použitie prostriedkov z podnikateľskej činnosti získaných z rozdielu medzi výnosmi a nákladmi po zdanení aj na zabezpečenie jej prevádzky. </w:t>
      </w:r>
    </w:p>
    <w:p w:rsidR="001C0C07" w:rsidRPr="008D34E9"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18</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Návrhom sa precizuje znenie § 28 ods. 2 vo vzťahu k podnikateľskej činnosti príspevkovej organizácie tak, že prostriedky získané z rozdielu medzi výnosmi a nákladmi po zdanení zostávajú v plnom rozsahu ako doplnkový zdroj </w:t>
      </w:r>
      <w:r>
        <w:rPr>
          <w:rFonts w:ascii="Times New Roman" w:hAnsi="Times New Roman" w:cs="Times New Roman"/>
          <w:sz w:val="24"/>
          <w:szCs w:val="24"/>
        </w:rPr>
        <w:t xml:space="preserve">na zabezpečenie prevádzky, </w:t>
      </w:r>
      <w:r w:rsidRPr="004161A4">
        <w:rPr>
          <w:rFonts w:ascii="Times New Roman" w:hAnsi="Times New Roman" w:cs="Times New Roman"/>
          <w:sz w:val="24"/>
          <w:szCs w:val="24"/>
        </w:rPr>
        <w:t>ďalšieho rozvoja a skvalitňovania činnosti príspevkovej organizácie. Rovnaká úprava je v zákone č. 523/2004 Z. z. o rozpočtových pravidlách verejnej správy a o zmene a doplnení niektorých zákonov v znení neskorších predpisov ustanovená vo vzťahu k podnikateľskej činnosti rozpočtovej organizácie.</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bodu 1</w:t>
      </w:r>
      <w:r>
        <w:rPr>
          <w:rFonts w:ascii="Times New Roman" w:hAnsi="Times New Roman" w:cs="Times New Roman"/>
          <w:b/>
          <w:sz w:val="24"/>
          <w:szCs w:val="24"/>
        </w:rPr>
        <w:t>9</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S cieľom posilniť informovanosť a transparentnosť vo vzťahu k vývoju plnenia rozpočtu verejnej správy počas bežného rozpočtového roka navrhuje sa stanoviť ministerstvu financií povinnosť zverejňovať očakávan</w:t>
      </w:r>
      <w:r>
        <w:rPr>
          <w:rFonts w:ascii="Times New Roman" w:hAnsi="Times New Roman" w:cs="Times New Roman"/>
          <w:sz w:val="24"/>
          <w:szCs w:val="24"/>
        </w:rPr>
        <w:t>ú</w:t>
      </w:r>
      <w:r w:rsidRPr="004161A4">
        <w:rPr>
          <w:rFonts w:ascii="Times New Roman" w:hAnsi="Times New Roman" w:cs="Times New Roman"/>
          <w:sz w:val="24"/>
          <w:szCs w:val="24"/>
        </w:rPr>
        <w:t xml:space="preserve"> skutočnosť bežného rozpočtového roka v porovnaní so schváleným rozpočtom verejnej správy na bežný rozpočtový rok na základe dostupných údajov k 30. júnu bežného rozpočtového roka, a to najneskôr do </w:t>
      </w:r>
      <w:r>
        <w:rPr>
          <w:rFonts w:ascii="Times New Roman" w:hAnsi="Times New Roman" w:cs="Times New Roman"/>
          <w:sz w:val="24"/>
          <w:szCs w:val="24"/>
        </w:rPr>
        <w:t>15</w:t>
      </w:r>
      <w:r w:rsidRPr="004161A4">
        <w:rPr>
          <w:rFonts w:ascii="Times New Roman" w:hAnsi="Times New Roman" w:cs="Times New Roman"/>
          <w:sz w:val="24"/>
          <w:szCs w:val="24"/>
        </w:rPr>
        <w:t>. augusta bežného roka.</w:t>
      </w:r>
    </w:p>
    <w:p w:rsidR="001C0C07" w:rsidRDefault="001C0C07" w:rsidP="001C0C07">
      <w:pPr>
        <w:shd w:val="clear" w:color="auto" w:fill="FFFFFF"/>
        <w:spacing w:after="0" w:line="240" w:lineRule="auto"/>
        <w:jc w:val="both"/>
        <w:rPr>
          <w:rFonts w:ascii="Times New Roman" w:hAnsi="Times New Roman" w:cs="Times New Roman"/>
          <w:b/>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 xml:space="preserve">K bodu </w:t>
      </w:r>
      <w:r>
        <w:rPr>
          <w:rFonts w:ascii="Times New Roman" w:hAnsi="Times New Roman" w:cs="Times New Roman"/>
          <w:b/>
          <w:sz w:val="24"/>
          <w:szCs w:val="24"/>
        </w:rPr>
        <w:t>20</w:t>
      </w:r>
      <w:r w:rsidRPr="004161A4">
        <w:rPr>
          <w:rFonts w:ascii="Times New Roman" w:hAnsi="Times New Roman" w:cs="Times New Roman"/>
          <w:b/>
          <w:sz w:val="24"/>
          <w:szCs w:val="24"/>
        </w:rPr>
        <w:t xml:space="preserve"> </w:t>
      </w:r>
    </w:p>
    <w:p w:rsidR="001C0C07" w:rsidRPr="004161A4" w:rsidRDefault="001C0C07" w:rsidP="001C0C07">
      <w:pPr>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V súlade so zásadou právnej istoty sa navrhuje doplniť objektívna lehota na uloženie odvodu, penále a pokuty za porušenie finančnej disciplíny, ktorá začína plynúť od 1. januára roku nasledujúceho po roku, v ktorom došlo k porušeniu finančnej disciplíny. V rámci navrhovanej objektívnej lehoty plynie subjektívna lehota, podľa ktorej odvod, penále a pokutu za porušenie finančnej disciplíny možno uložiť do piatich rokov odo dňa preukázaného zistenia porušenia finančnej disciplíny. Navrhovaná desaťročná lehota sa považuje za dostatočne dlhú aj vzhľadom na lehoty uloženia účtovných záznamov v zmysle zákona č. 431/2002 Z. z. o účtovníctve v znení neskorších predpisov.</w:t>
      </w:r>
    </w:p>
    <w:p w:rsidR="001C0C07" w:rsidRDefault="001C0C07" w:rsidP="001C0C07">
      <w:pPr>
        <w:shd w:val="clear" w:color="auto" w:fill="FFFFFF"/>
        <w:spacing w:after="0" w:line="240" w:lineRule="auto"/>
        <w:jc w:val="both"/>
        <w:rPr>
          <w:rFonts w:ascii="Times New Roman" w:hAnsi="Times New Roman" w:cs="Times New Roman"/>
          <w:sz w:val="24"/>
          <w:szCs w:val="24"/>
        </w:rPr>
      </w:pPr>
    </w:p>
    <w:p w:rsidR="001C0C07"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 xml:space="preserve">K bodu </w:t>
      </w:r>
      <w:r>
        <w:rPr>
          <w:rFonts w:ascii="Times New Roman" w:hAnsi="Times New Roman" w:cs="Times New Roman"/>
          <w:b/>
          <w:sz w:val="24"/>
          <w:szCs w:val="24"/>
        </w:rPr>
        <w:t>21</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Navrhuje sa úprava maximálnej výšky pokuty za nesplnenie povinností vyplývajúcich z tohto zákona z dôvodu, že súčasná maximálna výška pokuty, ktorá nemôže presiahnuť  40 000 eur, je neprimerane nízka v porovnaní so závažnosťou, následkom, rozsahom a dobou trvania porušenia povinností vyplývajúcich zo zákona, čím nie je zabezpečený preventívno-represívny účel pokuty.  Návrhom sa preto umožňuje uložiť pokutu až do výšky 500 000 eur</w:t>
      </w:r>
      <w:r>
        <w:rPr>
          <w:rFonts w:ascii="Times New Roman" w:hAnsi="Times New Roman" w:cs="Times New Roman"/>
          <w:sz w:val="24"/>
          <w:szCs w:val="24"/>
        </w:rPr>
        <w:t>, a to v závislosti od závažnosti porušenia povinnosti podľa zákona a dĺžky trvania protiprávneho stavu</w:t>
      </w:r>
      <w:r w:rsidRPr="004161A4">
        <w:rPr>
          <w:rFonts w:ascii="Times New Roman" w:hAnsi="Times New Roman" w:cs="Times New Roman"/>
          <w:sz w:val="24"/>
          <w:szCs w:val="24"/>
        </w:rPr>
        <w:t xml:space="preserve">.  </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bodu 22</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Prechodnými ustanoveniami sa zabezpečuje, že na návratnú finančnú výpomoc poskytnutú do konca roka 2020 sa vzťahuje doterajšia právna úprava. Zároveň sa upravuje hodnotenie štúdie uskutočniteľnosti pri investičných projektoch, ktoré sú už v určitej fáze prípravy projektu.</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p>
    <w:p w:rsidR="001C0C07" w:rsidRPr="004161A4" w:rsidRDefault="001C0C07" w:rsidP="001C0C07">
      <w:pPr>
        <w:shd w:val="clear" w:color="auto" w:fill="FFFFFF"/>
        <w:spacing w:after="0" w:line="240" w:lineRule="auto"/>
        <w:jc w:val="both"/>
        <w:rPr>
          <w:rFonts w:ascii="Times New Roman" w:hAnsi="Times New Roman" w:cs="Times New Roman"/>
          <w:b/>
          <w:sz w:val="24"/>
          <w:szCs w:val="24"/>
        </w:rPr>
      </w:pPr>
      <w:r w:rsidRPr="004161A4">
        <w:rPr>
          <w:rFonts w:ascii="Times New Roman" w:hAnsi="Times New Roman" w:cs="Times New Roman"/>
          <w:b/>
          <w:sz w:val="24"/>
          <w:szCs w:val="24"/>
        </w:rPr>
        <w:t>K čl. II</w:t>
      </w:r>
    </w:p>
    <w:p w:rsidR="001C0C07" w:rsidRPr="004161A4" w:rsidRDefault="001C0C07" w:rsidP="001C0C07">
      <w:pPr>
        <w:shd w:val="clear" w:color="auto" w:fill="FFFFFF"/>
        <w:spacing w:after="0" w:line="240" w:lineRule="auto"/>
        <w:jc w:val="both"/>
        <w:rPr>
          <w:rFonts w:ascii="Times New Roman" w:hAnsi="Times New Roman" w:cs="Times New Roman"/>
          <w:sz w:val="24"/>
          <w:szCs w:val="24"/>
        </w:rPr>
      </w:pPr>
      <w:r w:rsidRPr="004161A4">
        <w:rPr>
          <w:rFonts w:ascii="Times New Roman" w:hAnsi="Times New Roman" w:cs="Times New Roman"/>
          <w:sz w:val="24"/>
          <w:szCs w:val="24"/>
        </w:rPr>
        <w:t xml:space="preserve">Účinnosť návrhu zákona sa navrhuje 1. januára 2021. </w:t>
      </w:r>
    </w:p>
    <w:p w:rsidR="001C0C07" w:rsidRPr="001C0C07" w:rsidRDefault="001C0C07" w:rsidP="001C0C07">
      <w:pPr>
        <w:spacing w:after="0" w:line="240" w:lineRule="auto"/>
        <w:rPr>
          <w:rFonts w:ascii="Times New Roman" w:hAnsi="Times New Roman" w:cs="Times New Roman"/>
        </w:rPr>
      </w:pPr>
    </w:p>
    <w:p w:rsidR="001C0C07" w:rsidRDefault="001C0C07" w:rsidP="001C0C07">
      <w:pPr>
        <w:spacing w:after="0" w:line="240" w:lineRule="auto"/>
        <w:rPr>
          <w:rFonts w:ascii="Times New Roman" w:hAnsi="Times New Roman" w:cs="Times New Roman"/>
        </w:rPr>
      </w:pPr>
    </w:p>
    <w:p w:rsidR="001C0C07" w:rsidRDefault="001C0C07" w:rsidP="001C0C07">
      <w:pPr>
        <w:spacing w:after="0" w:line="240" w:lineRule="auto"/>
        <w:rPr>
          <w:rFonts w:ascii="Times New Roman" w:hAnsi="Times New Roman" w:cs="Times New Roman"/>
        </w:rPr>
      </w:pPr>
    </w:p>
    <w:p w:rsidR="001C0C07" w:rsidRPr="001C0C07" w:rsidRDefault="001C0C07" w:rsidP="001C0C07">
      <w:pPr>
        <w:spacing w:after="0" w:line="240" w:lineRule="auto"/>
        <w:rPr>
          <w:rFonts w:ascii="Times New Roman" w:hAnsi="Times New Roman" w:cs="Times New Roman"/>
        </w:rPr>
      </w:pPr>
    </w:p>
    <w:p w:rsidR="001C0C07" w:rsidRPr="001C0C07" w:rsidRDefault="001C0C07" w:rsidP="001C0C07">
      <w:pPr>
        <w:spacing w:after="0" w:line="240" w:lineRule="auto"/>
        <w:rPr>
          <w:rFonts w:ascii="Times New Roman" w:hAnsi="Times New Roman" w:cs="Times New Roman"/>
          <w:sz w:val="24"/>
          <w:szCs w:val="24"/>
        </w:rPr>
      </w:pPr>
      <w:r w:rsidRPr="001C0C07">
        <w:rPr>
          <w:rFonts w:ascii="Times New Roman" w:hAnsi="Times New Roman" w:cs="Times New Roman"/>
          <w:sz w:val="24"/>
          <w:szCs w:val="24"/>
        </w:rPr>
        <w:t>Schválené na rokovaní vlády Slovenskej republiky dňa 30. septembra 2020.</w:t>
      </w:r>
    </w:p>
    <w:p w:rsid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b/>
          <w:sz w:val="24"/>
          <w:szCs w:val="24"/>
        </w:rPr>
      </w:pPr>
      <w:r w:rsidRPr="001C0C07">
        <w:rPr>
          <w:rFonts w:ascii="Times New Roman" w:hAnsi="Times New Roman" w:cs="Times New Roman"/>
          <w:b/>
          <w:sz w:val="24"/>
          <w:szCs w:val="24"/>
        </w:rPr>
        <w:t>Igor Matovič v. r.</w:t>
      </w:r>
    </w:p>
    <w:p w:rsidR="001C0C07" w:rsidRPr="001C0C07" w:rsidRDefault="001C0C07" w:rsidP="001C0C07">
      <w:pPr>
        <w:spacing w:after="0" w:line="240" w:lineRule="auto"/>
        <w:jc w:val="center"/>
        <w:rPr>
          <w:rFonts w:ascii="Times New Roman" w:hAnsi="Times New Roman" w:cs="Times New Roman"/>
          <w:b/>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r w:rsidRPr="001C0C07">
        <w:rPr>
          <w:rFonts w:ascii="Times New Roman" w:hAnsi="Times New Roman" w:cs="Times New Roman"/>
          <w:sz w:val="24"/>
          <w:szCs w:val="24"/>
        </w:rPr>
        <w:t>predseda vlády Slovenskej republiky</w:t>
      </w: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b/>
          <w:sz w:val="24"/>
          <w:szCs w:val="24"/>
        </w:rPr>
      </w:pPr>
      <w:r w:rsidRPr="001C0C07">
        <w:rPr>
          <w:rFonts w:ascii="Times New Roman" w:hAnsi="Times New Roman" w:cs="Times New Roman"/>
          <w:b/>
          <w:sz w:val="24"/>
          <w:szCs w:val="24"/>
        </w:rPr>
        <w:t xml:space="preserve">Eduard </w:t>
      </w:r>
      <w:proofErr w:type="spellStart"/>
      <w:r w:rsidRPr="001C0C07">
        <w:rPr>
          <w:rFonts w:ascii="Times New Roman" w:hAnsi="Times New Roman" w:cs="Times New Roman"/>
          <w:b/>
          <w:sz w:val="24"/>
          <w:szCs w:val="24"/>
        </w:rPr>
        <w:t>Heger</w:t>
      </w:r>
      <w:proofErr w:type="spellEnd"/>
      <w:r w:rsidRPr="001C0C07">
        <w:rPr>
          <w:rFonts w:ascii="Times New Roman" w:hAnsi="Times New Roman" w:cs="Times New Roman"/>
          <w:b/>
          <w:sz w:val="24"/>
          <w:szCs w:val="24"/>
        </w:rPr>
        <w:t xml:space="preserve"> v. r.</w:t>
      </w:r>
    </w:p>
    <w:p w:rsidR="001C0C07" w:rsidRPr="001C0C07" w:rsidRDefault="001C0C07" w:rsidP="001C0C07">
      <w:pPr>
        <w:spacing w:after="0" w:line="240" w:lineRule="auto"/>
        <w:jc w:val="center"/>
        <w:rPr>
          <w:rFonts w:ascii="Times New Roman" w:hAnsi="Times New Roman" w:cs="Times New Roman"/>
          <w:sz w:val="24"/>
          <w:szCs w:val="24"/>
        </w:rPr>
      </w:pPr>
    </w:p>
    <w:p w:rsidR="001C0C07" w:rsidRPr="001C0C07" w:rsidRDefault="001C0C07" w:rsidP="001C0C07">
      <w:pPr>
        <w:spacing w:after="0" w:line="240" w:lineRule="auto"/>
        <w:jc w:val="center"/>
        <w:rPr>
          <w:rFonts w:ascii="Times New Roman" w:hAnsi="Times New Roman" w:cs="Times New Roman"/>
          <w:sz w:val="24"/>
          <w:szCs w:val="24"/>
        </w:rPr>
      </w:pPr>
      <w:r w:rsidRPr="001C0C07">
        <w:rPr>
          <w:rFonts w:ascii="Times New Roman" w:hAnsi="Times New Roman" w:cs="Times New Roman"/>
          <w:sz w:val="24"/>
          <w:szCs w:val="24"/>
        </w:rPr>
        <w:t>minister financií Slovenskej republiky</w:t>
      </w:r>
    </w:p>
    <w:p w:rsidR="001C0C07" w:rsidRPr="001C0C07" w:rsidRDefault="001C0C07" w:rsidP="001C0C07">
      <w:pPr>
        <w:spacing w:after="0" w:line="240" w:lineRule="auto"/>
        <w:rPr>
          <w:rFonts w:ascii="Times New Roman" w:hAnsi="Times New Roman" w:cs="Times New Roman"/>
        </w:rPr>
      </w:pPr>
    </w:p>
    <w:sectPr w:rsidR="001C0C07" w:rsidRPr="001C0C0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F2" w:rsidRDefault="00DF26F2" w:rsidP="001C0C07">
      <w:pPr>
        <w:spacing w:after="0" w:line="240" w:lineRule="auto"/>
      </w:pPr>
      <w:r>
        <w:separator/>
      </w:r>
    </w:p>
  </w:endnote>
  <w:endnote w:type="continuationSeparator" w:id="0">
    <w:p w:rsidR="00DF26F2" w:rsidRDefault="00DF26F2" w:rsidP="001C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1" w:rsidRDefault="00CA569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626877"/>
      <w:docPartObj>
        <w:docPartGallery w:val="Page Numbers (Bottom of Page)"/>
        <w:docPartUnique/>
      </w:docPartObj>
    </w:sdtPr>
    <w:sdtEndPr>
      <w:rPr>
        <w:rFonts w:ascii="Times New Roman" w:hAnsi="Times New Roman" w:cs="Times New Roman"/>
        <w:sz w:val="24"/>
        <w:szCs w:val="24"/>
      </w:rPr>
    </w:sdtEndPr>
    <w:sdtContent>
      <w:bookmarkStart w:id="0" w:name="_GoBack" w:displacedByCustomXml="prev"/>
      <w:p w:rsidR="00CA5691" w:rsidRPr="00CA5691" w:rsidRDefault="00CA5691">
        <w:pPr>
          <w:pStyle w:val="Pta"/>
          <w:jc w:val="center"/>
          <w:rPr>
            <w:rFonts w:ascii="Times New Roman" w:hAnsi="Times New Roman" w:cs="Times New Roman"/>
            <w:sz w:val="24"/>
            <w:szCs w:val="24"/>
          </w:rPr>
        </w:pPr>
        <w:r w:rsidRPr="00CA5691">
          <w:rPr>
            <w:rFonts w:ascii="Times New Roman" w:hAnsi="Times New Roman" w:cs="Times New Roman"/>
            <w:sz w:val="24"/>
            <w:szCs w:val="24"/>
          </w:rPr>
          <w:fldChar w:fldCharType="begin"/>
        </w:r>
        <w:r w:rsidRPr="00CA5691">
          <w:rPr>
            <w:rFonts w:ascii="Times New Roman" w:hAnsi="Times New Roman" w:cs="Times New Roman"/>
            <w:sz w:val="24"/>
            <w:szCs w:val="24"/>
          </w:rPr>
          <w:instrText>PAGE   \* MERGEFORMAT</w:instrText>
        </w:r>
        <w:r w:rsidRPr="00CA5691">
          <w:rPr>
            <w:rFonts w:ascii="Times New Roman" w:hAnsi="Times New Roman" w:cs="Times New Roman"/>
            <w:sz w:val="24"/>
            <w:szCs w:val="24"/>
          </w:rPr>
          <w:fldChar w:fldCharType="separate"/>
        </w:r>
        <w:r>
          <w:rPr>
            <w:rFonts w:ascii="Times New Roman" w:hAnsi="Times New Roman" w:cs="Times New Roman"/>
            <w:noProof/>
            <w:sz w:val="24"/>
            <w:szCs w:val="24"/>
          </w:rPr>
          <w:t>1</w:t>
        </w:r>
        <w:r w:rsidRPr="00CA5691">
          <w:rPr>
            <w:rFonts w:ascii="Times New Roman" w:hAnsi="Times New Roman" w:cs="Times New Roman"/>
            <w:sz w:val="24"/>
            <w:szCs w:val="24"/>
          </w:rPr>
          <w:fldChar w:fldCharType="end"/>
        </w:r>
      </w:p>
    </w:sdtContent>
  </w:sdt>
  <w:bookmarkEnd w:id="0"/>
  <w:p w:rsidR="001C0C07" w:rsidRDefault="001C0C0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1" w:rsidRDefault="00CA56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F2" w:rsidRDefault="00DF26F2" w:rsidP="001C0C07">
      <w:pPr>
        <w:spacing w:after="0" w:line="240" w:lineRule="auto"/>
      </w:pPr>
      <w:r>
        <w:separator/>
      </w:r>
    </w:p>
  </w:footnote>
  <w:footnote w:type="continuationSeparator" w:id="0">
    <w:p w:rsidR="00DF26F2" w:rsidRDefault="00DF26F2" w:rsidP="001C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1" w:rsidRDefault="00CA569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1" w:rsidRDefault="00CA569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91" w:rsidRDefault="00CA569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752E6"/>
    <w:multiLevelType w:val="hybridMultilevel"/>
    <w:tmpl w:val="24123060"/>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F2D1F"/>
    <w:multiLevelType w:val="hybridMultilevel"/>
    <w:tmpl w:val="A56A78AC"/>
    <w:lvl w:ilvl="0" w:tplc="041B0005">
      <w:start w:val="1"/>
      <w:numFmt w:val="bullet"/>
      <w:lvlText w:val=""/>
      <w:lvlJc w:val="left"/>
      <w:pPr>
        <w:tabs>
          <w:tab w:val="num" w:pos="900"/>
        </w:tabs>
        <w:ind w:left="90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73DEB"/>
    <w:multiLevelType w:val="hybridMultilevel"/>
    <w:tmpl w:val="4BF68AAA"/>
    <w:lvl w:ilvl="0" w:tplc="041B0005">
      <w:start w:val="1"/>
      <w:numFmt w:val="bullet"/>
      <w:lvlText w:val=""/>
      <w:lvlJc w:val="left"/>
      <w:pPr>
        <w:ind w:left="786" w:hanging="360"/>
      </w:pPr>
      <w:rPr>
        <w:rFonts w:ascii="Wingdings" w:hAnsi="Wingdings" w:hint="default"/>
      </w:rPr>
    </w:lvl>
    <w:lvl w:ilvl="1" w:tplc="041B0019" w:tentative="1">
      <w:start w:val="1"/>
      <w:numFmt w:val="lowerLetter"/>
      <w:lvlText w:val="%2."/>
      <w:lvlJc w:val="left"/>
      <w:pPr>
        <w:ind w:left="966" w:hanging="360"/>
      </w:pPr>
      <w:rPr>
        <w:rFonts w:cs="Times New Roman"/>
      </w:rPr>
    </w:lvl>
    <w:lvl w:ilvl="2" w:tplc="041B001B" w:tentative="1">
      <w:start w:val="1"/>
      <w:numFmt w:val="lowerRoman"/>
      <w:lvlText w:val="%3."/>
      <w:lvlJc w:val="right"/>
      <w:pPr>
        <w:ind w:left="1686" w:hanging="180"/>
      </w:pPr>
      <w:rPr>
        <w:rFonts w:cs="Times New Roman"/>
      </w:rPr>
    </w:lvl>
    <w:lvl w:ilvl="3" w:tplc="041B000F" w:tentative="1">
      <w:start w:val="1"/>
      <w:numFmt w:val="decimal"/>
      <w:lvlText w:val="%4."/>
      <w:lvlJc w:val="left"/>
      <w:pPr>
        <w:ind w:left="2406" w:hanging="360"/>
      </w:pPr>
      <w:rPr>
        <w:rFonts w:cs="Times New Roman"/>
      </w:rPr>
    </w:lvl>
    <w:lvl w:ilvl="4" w:tplc="041B0019" w:tentative="1">
      <w:start w:val="1"/>
      <w:numFmt w:val="lowerLetter"/>
      <w:lvlText w:val="%5."/>
      <w:lvlJc w:val="left"/>
      <w:pPr>
        <w:ind w:left="3126" w:hanging="360"/>
      </w:pPr>
      <w:rPr>
        <w:rFonts w:cs="Times New Roman"/>
      </w:rPr>
    </w:lvl>
    <w:lvl w:ilvl="5" w:tplc="041B001B" w:tentative="1">
      <w:start w:val="1"/>
      <w:numFmt w:val="lowerRoman"/>
      <w:lvlText w:val="%6."/>
      <w:lvlJc w:val="right"/>
      <w:pPr>
        <w:ind w:left="3846" w:hanging="180"/>
      </w:pPr>
      <w:rPr>
        <w:rFonts w:cs="Times New Roman"/>
      </w:rPr>
    </w:lvl>
    <w:lvl w:ilvl="6" w:tplc="041B000F" w:tentative="1">
      <w:start w:val="1"/>
      <w:numFmt w:val="decimal"/>
      <w:lvlText w:val="%7."/>
      <w:lvlJc w:val="left"/>
      <w:pPr>
        <w:ind w:left="4566" w:hanging="360"/>
      </w:pPr>
      <w:rPr>
        <w:rFonts w:cs="Times New Roman"/>
      </w:rPr>
    </w:lvl>
    <w:lvl w:ilvl="7" w:tplc="041B0019" w:tentative="1">
      <w:start w:val="1"/>
      <w:numFmt w:val="lowerLetter"/>
      <w:lvlText w:val="%8."/>
      <w:lvlJc w:val="left"/>
      <w:pPr>
        <w:ind w:left="5286" w:hanging="360"/>
      </w:pPr>
      <w:rPr>
        <w:rFonts w:cs="Times New Roman"/>
      </w:rPr>
    </w:lvl>
    <w:lvl w:ilvl="8" w:tplc="041B001B" w:tentative="1">
      <w:start w:val="1"/>
      <w:numFmt w:val="lowerRoman"/>
      <w:lvlText w:val="%9."/>
      <w:lvlJc w:val="right"/>
      <w:pPr>
        <w:ind w:left="6006" w:hanging="180"/>
      </w:pPr>
      <w:rPr>
        <w:rFonts w:cs="Times New Roman"/>
      </w:rPr>
    </w:lvl>
  </w:abstractNum>
  <w:abstractNum w:abstractNumId="3" w15:restartNumberingAfterBreak="0">
    <w:nsid w:val="1F8860A7"/>
    <w:multiLevelType w:val="hybridMultilevel"/>
    <w:tmpl w:val="A1C485B0"/>
    <w:lvl w:ilvl="0" w:tplc="9A8098C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157C28"/>
    <w:multiLevelType w:val="hybridMultilevel"/>
    <w:tmpl w:val="B01EDA46"/>
    <w:lvl w:ilvl="0" w:tplc="63FA039C">
      <w:start w:val="3"/>
      <w:numFmt w:val="lowerLetter"/>
      <w:lvlText w:val="%1)"/>
      <w:lvlJc w:val="left"/>
      <w:pPr>
        <w:ind w:left="757" w:hanging="360"/>
      </w:pPr>
      <w:rPr>
        <w:rFonts w:cs="Times New Roman" w:hint="default"/>
      </w:rPr>
    </w:lvl>
    <w:lvl w:ilvl="1" w:tplc="041B0019" w:tentative="1">
      <w:start w:val="1"/>
      <w:numFmt w:val="lowerLetter"/>
      <w:lvlText w:val="%2."/>
      <w:lvlJc w:val="left"/>
      <w:pPr>
        <w:ind w:left="1477" w:hanging="360"/>
      </w:pPr>
      <w:rPr>
        <w:rFonts w:cs="Times New Roman"/>
      </w:rPr>
    </w:lvl>
    <w:lvl w:ilvl="2" w:tplc="041B001B" w:tentative="1">
      <w:start w:val="1"/>
      <w:numFmt w:val="lowerRoman"/>
      <w:lvlText w:val="%3."/>
      <w:lvlJc w:val="right"/>
      <w:pPr>
        <w:ind w:left="2197" w:hanging="180"/>
      </w:pPr>
      <w:rPr>
        <w:rFonts w:cs="Times New Roman"/>
      </w:rPr>
    </w:lvl>
    <w:lvl w:ilvl="3" w:tplc="041B000F" w:tentative="1">
      <w:start w:val="1"/>
      <w:numFmt w:val="decimal"/>
      <w:lvlText w:val="%4."/>
      <w:lvlJc w:val="left"/>
      <w:pPr>
        <w:ind w:left="2917" w:hanging="360"/>
      </w:pPr>
      <w:rPr>
        <w:rFonts w:cs="Times New Roman"/>
      </w:rPr>
    </w:lvl>
    <w:lvl w:ilvl="4" w:tplc="041B0019" w:tentative="1">
      <w:start w:val="1"/>
      <w:numFmt w:val="lowerLetter"/>
      <w:lvlText w:val="%5."/>
      <w:lvlJc w:val="left"/>
      <w:pPr>
        <w:ind w:left="3637" w:hanging="360"/>
      </w:pPr>
      <w:rPr>
        <w:rFonts w:cs="Times New Roman"/>
      </w:rPr>
    </w:lvl>
    <w:lvl w:ilvl="5" w:tplc="041B001B" w:tentative="1">
      <w:start w:val="1"/>
      <w:numFmt w:val="lowerRoman"/>
      <w:lvlText w:val="%6."/>
      <w:lvlJc w:val="right"/>
      <w:pPr>
        <w:ind w:left="4357" w:hanging="180"/>
      </w:pPr>
      <w:rPr>
        <w:rFonts w:cs="Times New Roman"/>
      </w:rPr>
    </w:lvl>
    <w:lvl w:ilvl="6" w:tplc="041B000F" w:tentative="1">
      <w:start w:val="1"/>
      <w:numFmt w:val="decimal"/>
      <w:lvlText w:val="%7."/>
      <w:lvlJc w:val="left"/>
      <w:pPr>
        <w:ind w:left="5077" w:hanging="360"/>
      </w:pPr>
      <w:rPr>
        <w:rFonts w:cs="Times New Roman"/>
      </w:rPr>
    </w:lvl>
    <w:lvl w:ilvl="7" w:tplc="041B0019" w:tentative="1">
      <w:start w:val="1"/>
      <w:numFmt w:val="lowerLetter"/>
      <w:lvlText w:val="%8."/>
      <w:lvlJc w:val="left"/>
      <w:pPr>
        <w:ind w:left="5797" w:hanging="360"/>
      </w:pPr>
      <w:rPr>
        <w:rFonts w:cs="Times New Roman"/>
      </w:rPr>
    </w:lvl>
    <w:lvl w:ilvl="8" w:tplc="041B001B" w:tentative="1">
      <w:start w:val="1"/>
      <w:numFmt w:val="lowerRoman"/>
      <w:lvlText w:val="%9."/>
      <w:lvlJc w:val="right"/>
      <w:pPr>
        <w:ind w:left="6517" w:hanging="180"/>
      </w:pPr>
      <w:rPr>
        <w:rFonts w:cs="Times New Roman"/>
      </w:rPr>
    </w:lvl>
  </w:abstractNum>
  <w:abstractNum w:abstractNumId="5" w15:restartNumberingAfterBreak="0">
    <w:nsid w:val="52850394"/>
    <w:multiLevelType w:val="hybridMultilevel"/>
    <w:tmpl w:val="7C60E610"/>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9B77D4"/>
    <w:multiLevelType w:val="multilevel"/>
    <w:tmpl w:val="4FC83E9A"/>
    <w:lvl w:ilvl="0">
      <w:start w:val="1"/>
      <w:numFmt w:val="decimal"/>
      <w:lvlText w:val="%1."/>
      <w:lvlJc w:val="left"/>
      <w:pPr>
        <w:tabs>
          <w:tab w:val="num" w:pos="0"/>
        </w:tabs>
        <w:ind w:left="425" w:hanging="425"/>
      </w:pPr>
      <w:rPr>
        <w:rFonts w:cs="Times New Roman" w:hint="default"/>
        <w:b/>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7" w15:restartNumberingAfterBreak="0">
    <w:nsid w:val="6D94119F"/>
    <w:multiLevelType w:val="multilevel"/>
    <w:tmpl w:val="4AC4B6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F096F74"/>
    <w:multiLevelType w:val="hybridMultilevel"/>
    <w:tmpl w:val="78D4D806"/>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9"/>
  </w:num>
  <w:num w:numId="2">
    <w:abstractNumId w:val="3"/>
  </w:num>
  <w:num w:numId="3">
    <w:abstractNumId w:val="6"/>
  </w:num>
  <w:num w:numId="4">
    <w:abstractNumId w:val="1"/>
  </w:num>
  <w:num w:numId="5">
    <w:abstractNumId w:val="8"/>
  </w:num>
  <w:num w:numId="6">
    <w:abstractNumId w:val="0"/>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FA"/>
    <w:rsid w:val="001A46FA"/>
    <w:rsid w:val="001C0C07"/>
    <w:rsid w:val="004C2E14"/>
    <w:rsid w:val="007C23C4"/>
    <w:rsid w:val="00852CAB"/>
    <w:rsid w:val="00AB70E2"/>
    <w:rsid w:val="00CA5691"/>
    <w:rsid w:val="00DF2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B5422-7179-4F66-8B10-8AB71D94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0C0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0C07"/>
    <w:pPr>
      <w:ind w:left="720"/>
      <w:contextualSpacing/>
    </w:pPr>
    <w:rPr>
      <w:rFonts w:asciiTheme="minorHAnsi" w:eastAsia="Times New Roman" w:hAnsiTheme="minorHAnsi" w:cs="Times New Roman"/>
    </w:rPr>
  </w:style>
  <w:style w:type="table" w:styleId="Mriekatabuky">
    <w:name w:val="Table Grid"/>
    <w:basedOn w:val="Normlnatabuka"/>
    <w:uiPriority w:val="59"/>
    <w:rsid w:val="001C0C07"/>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C0C07"/>
    <w:rPr>
      <w:color w:val="0563C1" w:themeColor="hyperlink"/>
      <w:u w:val="single"/>
    </w:rPr>
  </w:style>
  <w:style w:type="paragraph" w:styleId="Nzov">
    <w:name w:val="Title"/>
    <w:basedOn w:val="Normlny"/>
    <w:link w:val="NzovChar"/>
    <w:uiPriority w:val="10"/>
    <w:qFormat/>
    <w:rsid w:val="001C0C07"/>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10"/>
    <w:rsid w:val="001C0C07"/>
    <w:rPr>
      <w:rFonts w:ascii="Times New Roman" w:eastAsia="Times New Roman" w:hAnsi="Times New Roman" w:cs="Times New Roman"/>
      <w:b/>
      <w:bCs/>
      <w:sz w:val="24"/>
      <w:szCs w:val="24"/>
      <w:lang w:eastAsia="sk-SK"/>
    </w:rPr>
  </w:style>
  <w:style w:type="paragraph" w:styleId="Zkladntext">
    <w:name w:val="Body Text"/>
    <w:basedOn w:val="Normlny"/>
    <w:link w:val="ZkladntextChar"/>
    <w:uiPriority w:val="99"/>
    <w:rsid w:val="001C0C07"/>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1C0C07"/>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rsid w:val="001C0C07"/>
    <w:pPr>
      <w:autoSpaceDE w:val="0"/>
      <w:autoSpaceDN w:val="0"/>
      <w:adjustRightInd w:val="0"/>
      <w:spacing w:after="0" w:line="240" w:lineRule="auto"/>
      <w:ind w:left="720"/>
    </w:pPr>
    <w:rPr>
      <w:rFonts w:ascii="Times New Roman" w:eastAsia="Times New Roman" w:hAnsi="Times New Roman" w:cs="Times New Roman"/>
      <w:bCs/>
      <w:sz w:val="24"/>
      <w:szCs w:val="24"/>
      <w:lang w:eastAsia="sk-SK"/>
    </w:rPr>
  </w:style>
  <w:style w:type="character" w:customStyle="1" w:styleId="ZarkazkladnhotextuChar">
    <w:name w:val="Zarážka základného textu Char"/>
    <w:basedOn w:val="Predvolenpsmoodseku"/>
    <w:link w:val="Zarkazkladnhotextu"/>
    <w:uiPriority w:val="99"/>
    <w:rsid w:val="001C0C07"/>
    <w:rPr>
      <w:rFonts w:ascii="Times New Roman" w:eastAsia="Times New Roman" w:hAnsi="Times New Roman" w:cs="Times New Roman"/>
      <w:bCs/>
      <w:sz w:val="24"/>
      <w:szCs w:val="24"/>
      <w:lang w:eastAsia="sk-SK"/>
    </w:rPr>
  </w:style>
  <w:style w:type="paragraph" w:customStyle="1" w:styleId="Normlnywebov8">
    <w:name w:val="Normálny (webový)8"/>
    <w:basedOn w:val="Normlny"/>
    <w:rsid w:val="001C0C07"/>
    <w:pPr>
      <w:spacing w:before="75" w:after="75" w:line="240" w:lineRule="auto"/>
      <w:ind w:left="225" w:right="225"/>
    </w:pPr>
    <w:rPr>
      <w:rFonts w:ascii="Times New Roman" w:eastAsia="Times New Roman" w:hAnsi="Times New Roman" w:cs="Times New Roman"/>
      <w:lang w:eastAsia="sk-SK"/>
    </w:rPr>
  </w:style>
  <w:style w:type="character" w:styleId="Zvraznenie">
    <w:name w:val="Emphasis"/>
    <w:basedOn w:val="Predvolenpsmoodseku"/>
    <w:uiPriority w:val="20"/>
    <w:qFormat/>
    <w:rsid w:val="001C0C07"/>
    <w:rPr>
      <w:rFonts w:cs="Times New Roman"/>
      <w:i/>
      <w:iCs/>
    </w:rPr>
  </w:style>
  <w:style w:type="paragraph" w:customStyle="1" w:styleId="Zkladntext0">
    <w:name w:val="Základní text"/>
    <w:rsid w:val="001C0C07"/>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styleId="Siln">
    <w:name w:val="Strong"/>
    <w:basedOn w:val="Predvolenpsmoodseku"/>
    <w:uiPriority w:val="22"/>
    <w:qFormat/>
    <w:rsid w:val="001C0C07"/>
    <w:rPr>
      <w:rFonts w:cs="Times New Roman"/>
      <w:b/>
      <w:bCs/>
    </w:rPr>
  </w:style>
  <w:style w:type="character" w:customStyle="1" w:styleId="awspan1">
    <w:name w:val="awspan1"/>
    <w:rsid w:val="001C0C07"/>
    <w:rPr>
      <w:color w:val="000000"/>
      <w:sz w:val="24"/>
    </w:rPr>
  </w:style>
  <w:style w:type="paragraph" w:customStyle="1" w:styleId="c08dispositif">
    <w:name w:val="c08dispositif"/>
    <w:basedOn w:val="Normlny"/>
    <w:rsid w:val="001C0C0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C0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0C07"/>
  </w:style>
  <w:style w:type="paragraph" w:styleId="Pta">
    <w:name w:val="footer"/>
    <w:basedOn w:val="Normlny"/>
    <w:link w:val="PtaChar"/>
    <w:uiPriority w:val="99"/>
    <w:unhideWhenUsed/>
    <w:rsid w:val="001C0C07"/>
    <w:pPr>
      <w:tabs>
        <w:tab w:val="center" w:pos="4536"/>
        <w:tab w:val="right" w:pos="9072"/>
      </w:tabs>
      <w:spacing w:after="0" w:line="240" w:lineRule="auto"/>
    </w:pPr>
  </w:style>
  <w:style w:type="character" w:customStyle="1" w:styleId="PtaChar">
    <w:name w:val="Päta Char"/>
    <w:basedOn w:val="Predvolenpsmoodseku"/>
    <w:link w:val="Pta"/>
    <w:uiPriority w:val="99"/>
    <w:rsid w:val="001C0C07"/>
  </w:style>
  <w:style w:type="paragraph" w:styleId="Textbubliny">
    <w:name w:val="Balloon Text"/>
    <w:basedOn w:val="Normlny"/>
    <w:link w:val="TextbublinyChar"/>
    <w:uiPriority w:val="99"/>
    <w:semiHidden/>
    <w:unhideWhenUsed/>
    <w:rsid w:val="00CA56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A5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lakotova@mfsr.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ka.gilanyi@mfsr.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4542</Words>
  <Characters>25893</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Herkova Lenka</cp:lastModifiedBy>
  <cp:revision>4</cp:revision>
  <cp:lastPrinted>2020-10-01T06:14:00Z</cp:lastPrinted>
  <dcterms:created xsi:type="dcterms:W3CDTF">2020-09-29T08:45:00Z</dcterms:created>
  <dcterms:modified xsi:type="dcterms:W3CDTF">2020-10-01T06:15:00Z</dcterms:modified>
</cp:coreProperties>
</file>