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43CD" w14:textId="77777777"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</w:t>
      </w:r>
      <w:bookmarkStart w:id="0" w:name="_GoBack"/>
      <w:bookmarkEnd w:id="0"/>
      <w:r>
        <w:rPr>
          <w:b/>
          <w:bCs/>
          <w:sz w:val="28"/>
          <w:szCs w:val="28"/>
        </w:rPr>
        <w:t>a vybraných vplyvov</w:t>
      </w:r>
    </w:p>
    <w:p w14:paraId="6C41E6E9" w14:textId="77777777"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14:paraId="58B79055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374477E0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14:paraId="6174E0FB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1529036B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14:paraId="6D0D7ADA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E7F777" w14:textId="345D7AB9" w:rsidR="00600168" w:rsidRPr="0091037F" w:rsidRDefault="0091037F" w:rsidP="0091037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91037F">
              <w:rPr>
                <w:sz w:val="24"/>
                <w:szCs w:val="24"/>
              </w:rPr>
              <w:t>Vládny návrh zákona, ktorým sa mení a dopĺňa zákon č. 544/2010 Z. z. o dotáciách v pôsobnosti Ministerstva práce, sociálnych vecí a rodiny Slovenskej republiky v znení neskorších predpisov</w:t>
            </w:r>
          </w:p>
        </w:tc>
      </w:tr>
      <w:tr w:rsidR="003501A1" w:rsidRPr="00A179AE" w14:paraId="57B6C6AA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392EE93E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14:paraId="36FB8B1E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04B1E" w14:textId="77777777" w:rsidR="003501A1" w:rsidRPr="00CE2428" w:rsidRDefault="004865AB" w:rsidP="007B71A4">
            <w:pPr>
              <w:rPr>
                <w:sz w:val="22"/>
                <w:szCs w:val="22"/>
              </w:rPr>
            </w:pPr>
            <w:r w:rsidRPr="00CE2428">
              <w:rPr>
                <w:sz w:val="22"/>
                <w:szCs w:val="22"/>
              </w:rPr>
              <w:t>m</w:t>
            </w:r>
            <w:r w:rsidR="00A94590" w:rsidRPr="00CE2428">
              <w:rPr>
                <w:sz w:val="22"/>
                <w:szCs w:val="22"/>
              </w:rPr>
              <w:t>inister práce, sociálnych vecí a rodiny Slovenskej republiky</w:t>
            </w:r>
          </w:p>
          <w:p w14:paraId="327E6BD5" w14:textId="77777777" w:rsidR="003501A1" w:rsidRPr="00A179AE" w:rsidRDefault="003501A1" w:rsidP="007B71A4"/>
        </w:tc>
      </w:tr>
      <w:tr w:rsidR="003501A1" w:rsidRPr="00A179AE" w14:paraId="7963D38B" w14:textId="77777777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6B14D556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9494379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3CEB" w14:textId="77777777"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14:paraId="51D68513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05B762FA" w14:textId="77777777"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75CBE73" w14:textId="35B19BAB" w:rsidR="003501A1" w:rsidRPr="00A179AE" w:rsidRDefault="00A9459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03335E" w14:textId="77777777"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14:paraId="31D5B7D3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DBC0158" w14:textId="77777777"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08C65D6" w14:textId="3CD011A8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2B868D" w14:textId="77777777"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14:paraId="0A944033" w14:textId="77777777" w:rsidTr="003D41A9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6EF9E301" w14:textId="77777777" w:rsidR="003501A1" w:rsidRPr="00A179AE" w:rsidRDefault="003501A1" w:rsidP="007B71A4">
            <w:pPr>
              <w:rPr>
                <w:i/>
              </w:rPr>
            </w:pPr>
          </w:p>
          <w:p w14:paraId="038696E7" w14:textId="77777777" w:rsidR="003501A1" w:rsidRPr="00A179AE" w:rsidRDefault="003501A1" w:rsidP="007B71A4"/>
          <w:p w14:paraId="5D57C102" w14:textId="77777777" w:rsidR="003501A1" w:rsidRPr="00A179AE" w:rsidRDefault="003501A1" w:rsidP="007B71A4"/>
        </w:tc>
      </w:tr>
      <w:tr w:rsidR="003501A1" w:rsidRPr="00A179AE" w14:paraId="47F4BC4F" w14:textId="77777777" w:rsidTr="00AA0570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46F892A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9A4" w14:textId="4183DD28"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14:paraId="4BFE61F7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2E8F38D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459" w14:textId="7AC821E4"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14:paraId="4BBBBF56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9010D14" w14:textId="3346B820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BFE" w14:textId="5DFCE73C"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14:paraId="5AA12341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A82BB1" w14:textId="77777777" w:rsidR="003501A1" w:rsidRPr="00A179AE" w:rsidRDefault="003501A1" w:rsidP="007B71A4"/>
        </w:tc>
      </w:tr>
      <w:tr w:rsidR="003501A1" w:rsidRPr="00A179AE" w14:paraId="0B0CB35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2D25B7D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14:paraId="390DE726" w14:textId="77777777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C2EE" w14:textId="62F12B50" w:rsidR="00671F29" w:rsidRPr="00CE2428" w:rsidRDefault="0091037F" w:rsidP="00AE2D1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Vládny n</w:t>
            </w:r>
            <w:r w:rsidR="00671F29" w:rsidRPr="00671F29">
              <w:rPr>
                <w:sz w:val="22"/>
                <w:szCs w:val="22"/>
              </w:rPr>
              <w:t>ávrh zákona, ktorým sa mení a dopĺňa zákon č. 544/2010 Z. z. o dotáciách v pôsobnosti Ministerstva práce, sociálnych vecí a rodiny Slovenskej republiky v</w:t>
            </w:r>
            <w:r>
              <w:rPr>
                <w:sz w:val="22"/>
                <w:szCs w:val="22"/>
              </w:rPr>
              <w:t> </w:t>
            </w:r>
            <w:r w:rsidR="00671F29" w:rsidRPr="00671F29">
              <w:rPr>
                <w:sz w:val="22"/>
                <w:szCs w:val="22"/>
              </w:rPr>
              <w:t>znení</w:t>
            </w:r>
            <w:r>
              <w:rPr>
                <w:sz w:val="22"/>
                <w:szCs w:val="22"/>
              </w:rPr>
              <w:t xml:space="preserve"> neskorších </w:t>
            </w:r>
            <w:r w:rsidR="00AE2D18">
              <w:rPr>
                <w:sz w:val="22"/>
                <w:szCs w:val="22"/>
              </w:rPr>
              <w:t xml:space="preserve">predpisov </w:t>
            </w:r>
            <w:r w:rsidR="008C6103">
              <w:rPr>
                <w:sz w:val="22"/>
                <w:szCs w:val="22"/>
              </w:rPr>
              <w:t xml:space="preserve"> komplexne reaguje na výzvy, ktorým čelia rodiny v rôznych aspektoch svojho fungovania a zavádza dotácie na podporu plnenia funkcií rodiny</w:t>
            </w:r>
            <w:r w:rsidR="00E36DBD">
              <w:rPr>
                <w:sz w:val="22"/>
                <w:szCs w:val="22"/>
              </w:rPr>
              <w:t xml:space="preserve">. </w:t>
            </w:r>
          </w:p>
        </w:tc>
      </w:tr>
      <w:tr w:rsidR="003501A1" w:rsidRPr="00A179AE" w14:paraId="18054B9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569699B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14:paraId="66233AD0" w14:textId="77777777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91BC" w14:textId="59178E8D" w:rsidR="008C6103" w:rsidRPr="00671F29" w:rsidRDefault="008C6103" w:rsidP="00671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Predmetný </w:t>
            </w:r>
            <w:r w:rsidR="0091037F">
              <w:rPr>
                <w:sz w:val="22"/>
                <w:szCs w:val="22"/>
              </w:rPr>
              <w:t xml:space="preserve">vládny </w:t>
            </w:r>
            <w:r>
              <w:rPr>
                <w:sz w:val="22"/>
                <w:szCs w:val="22"/>
              </w:rPr>
              <w:t>návrh zákona si dáva za cieľ podporu funkcií rodiny v rôznych aspektoch, akými sú napríklad preventívne programy a ďalšie projekty zamerané na stabilitu rodinných vzťahov, rozvoj rodičovských kompetencií, predchádzanie negatívnym javom v rodine a i.</w:t>
            </w:r>
          </w:p>
          <w:p w14:paraId="1E3158AA" w14:textId="66FB6B2C" w:rsidR="00EC7E38" w:rsidRPr="005A0E3E" w:rsidRDefault="00EC7E38" w:rsidP="006D2F82">
            <w:pPr>
              <w:jc w:val="both"/>
            </w:pPr>
          </w:p>
        </w:tc>
      </w:tr>
      <w:tr w:rsidR="003501A1" w:rsidRPr="00A179AE" w14:paraId="7CE5357E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941B38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14:paraId="017602E7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2103F" w14:textId="54B0CC0D" w:rsidR="00671F29" w:rsidRPr="00CE2428" w:rsidRDefault="00AE2D18" w:rsidP="00AE2D1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C6103">
              <w:rPr>
                <w:sz w:val="22"/>
                <w:szCs w:val="22"/>
              </w:rPr>
              <w:t>odiny; občianske združenia a neziskové organizácie, ktorých činnosť sa zameriava na podporu funkcií rodiny.</w:t>
            </w:r>
          </w:p>
        </w:tc>
      </w:tr>
      <w:tr w:rsidR="003501A1" w:rsidRPr="00A179AE" w14:paraId="4499600E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5A0C5F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E270F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14:paraId="60D0B484" w14:textId="77777777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6D972" w14:textId="17CC80C3" w:rsidR="008C6103" w:rsidRPr="00671F29" w:rsidRDefault="00C35DF6" w:rsidP="0026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C6103">
              <w:rPr>
                <w:sz w:val="22"/>
                <w:szCs w:val="22"/>
              </w:rPr>
              <w:t>zhľadom na stanovené ciele</w:t>
            </w:r>
            <w:r>
              <w:rPr>
                <w:sz w:val="22"/>
                <w:szCs w:val="22"/>
              </w:rPr>
              <w:t xml:space="preserve"> návrhu neboli</w:t>
            </w:r>
            <w:r w:rsidR="008C6103">
              <w:rPr>
                <w:sz w:val="22"/>
                <w:szCs w:val="22"/>
              </w:rPr>
              <w:t xml:space="preserve"> zvažované zásadne odlišné riešenia.</w:t>
            </w:r>
          </w:p>
        </w:tc>
      </w:tr>
      <w:tr w:rsidR="003501A1" w:rsidRPr="00A179AE" w14:paraId="365EC3DF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1AA1E72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14:paraId="0A6D421B" w14:textId="77777777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8D0E49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A0346" w14:textId="246965BE" w:rsidR="003501A1" w:rsidRPr="00A179AE" w:rsidRDefault="006507CE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0C7EE7" w14:textId="42374C70" w:rsidR="003501A1" w:rsidRPr="00A179AE" w:rsidRDefault="006507CE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14:paraId="05E441DB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DC5A6" w14:textId="77777777" w:rsidR="003501A1" w:rsidRPr="00A179AE" w:rsidRDefault="003501A1" w:rsidP="00F11DE4"/>
        </w:tc>
      </w:tr>
      <w:tr w:rsidR="003501A1" w:rsidRPr="00A179AE" w14:paraId="610D937B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0BF2C27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14:paraId="03293927" w14:textId="77777777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DFC22E" w14:textId="77777777"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14:paraId="24585BB6" w14:textId="77777777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249DC" w14:textId="77777777" w:rsidR="003501A1" w:rsidRPr="00A179AE" w:rsidRDefault="003501A1" w:rsidP="007B71A4">
            <w:pPr>
              <w:jc w:val="center"/>
            </w:pPr>
          </w:p>
        </w:tc>
      </w:tr>
      <w:tr w:rsidR="003501A1" w:rsidRPr="00A179AE" w14:paraId="1355681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CC316FA" w14:textId="77777777"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14:paraId="033D0D3F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EF60" w14:textId="77777777" w:rsidR="003501A1" w:rsidRPr="00A179AE" w:rsidRDefault="003501A1" w:rsidP="000A2143">
            <w:pPr>
              <w:rPr>
                <w:i/>
              </w:rPr>
            </w:pPr>
          </w:p>
        </w:tc>
      </w:tr>
      <w:tr w:rsidR="003501A1" w:rsidRPr="00A179AE" w14:paraId="431241F2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5582C" w14:textId="77777777" w:rsidR="00D13B6F" w:rsidRDefault="00D13B6F" w:rsidP="004C60B8">
            <w:pPr>
              <w:ind w:left="142" w:hanging="142"/>
            </w:pPr>
          </w:p>
          <w:p w14:paraId="35A4427D" w14:textId="77777777"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14:paraId="2AB95465" w14:textId="77777777" w:rsidR="003501A1" w:rsidRDefault="00F62771" w:rsidP="00F22831">
            <w:r>
              <w:t>*</w:t>
            </w:r>
            <w:r w:rsidR="00F22831">
              <w:t>* nepovinné</w:t>
            </w:r>
          </w:p>
          <w:p w14:paraId="22E767F5" w14:textId="77777777" w:rsidR="00CB60C4" w:rsidRDefault="00CB60C4" w:rsidP="00F22831"/>
          <w:p w14:paraId="79977938" w14:textId="77777777" w:rsidR="00CB60C4" w:rsidRPr="00A179AE" w:rsidRDefault="00CB60C4" w:rsidP="0089087B"/>
        </w:tc>
      </w:tr>
      <w:tr w:rsidR="003501A1" w:rsidRPr="00A179AE" w14:paraId="6628EC3C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78AA45" w14:textId="77777777"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14:paraId="33EDBCC3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4AFBAB76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14:paraId="12E73273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6F5816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4931643" w14:textId="1D90F97F" w:rsidR="003501A1" w:rsidRPr="00A179AE" w:rsidRDefault="00AE2D1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9F31D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807328" w14:textId="54C4EF7F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9447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1B6453" w14:textId="2498D9C0" w:rsidR="003501A1" w:rsidRPr="00A179AE" w:rsidRDefault="00C71D0C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99A6" w14:textId="77777777"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082BF634" w14:textId="77777777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4A8721A5" w14:textId="77777777" w:rsidR="003501A1" w:rsidRPr="00E102C4" w:rsidRDefault="003501A1" w:rsidP="007B71A4">
            <w:r w:rsidRPr="00E102C4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2295CD" w14:textId="05B06C44" w:rsidR="003501A1" w:rsidRPr="00E102C4" w:rsidRDefault="00545889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9B1A9" w14:textId="77777777" w:rsidR="003501A1" w:rsidRPr="00E102C4" w:rsidRDefault="003501A1" w:rsidP="007B71A4">
            <w:r w:rsidRPr="00E102C4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819895" w14:textId="39B98960" w:rsidR="003501A1" w:rsidRPr="00E102C4" w:rsidRDefault="002F6D2C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4D18" w14:textId="77777777" w:rsidR="003501A1" w:rsidRPr="00E102C4" w:rsidRDefault="003501A1" w:rsidP="007B71A4">
            <w:r w:rsidRPr="00E102C4">
              <w:t>Nie</w:t>
            </w:r>
          </w:p>
        </w:tc>
        <w:sdt>
          <w:sdtPr>
            <w:id w:val="361940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E557B3" w14:textId="4464D846" w:rsidR="003501A1" w:rsidRPr="00E102C4" w:rsidRDefault="002F6D2C" w:rsidP="007B71A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260E4" w14:textId="77777777" w:rsidR="003501A1" w:rsidRPr="00E102C4" w:rsidRDefault="003501A1" w:rsidP="007B71A4">
            <w:pPr>
              <w:ind w:left="34"/>
            </w:pPr>
            <w:r w:rsidRPr="00E102C4">
              <w:t>Čiastočne</w:t>
            </w:r>
          </w:p>
        </w:tc>
      </w:tr>
      <w:tr w:rsidR="003501A1" w:rsidRPr="00A179AE" w14:paraId="4D48FF79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90E79C" w14:textId="77777777" w:rsidR="003501A1" w:rsidRPr="00E102C4" w:rsidRDefault="003501A1" w:rsidP="004C794A">
            <w:pPr>
              <w:rPr>
                <w:b/>
              </w:rPr>
            </w:pPr>
            <w:r w:rsidRPr="00E102C4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12006B" w14:textId="3A674A10" w:rsidR="003501A1" w:rsidRPr="00E102C4" w:rsidRDefault="003501A1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70447" w14:textId="77777777" w:rsidR="003501A1" w:rsidRPr="00E102C4" w:rsidRDefault="003501A1" w:rsidP="007B71A4">
            <w:pPr>
              <w:ind w:right="-108"/>
              <w:rPr>
                <w:b/>
              </w:rPr>
            </w:pPr>
            <w:r w:rsidRPr="00E102C4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A5BF7D9" w14:textId="148D7B29" w:rsidR="003501A1" w:rsidRPr="00E102C4" w:rsidRDefault="00A94590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03ACA" w14:textId="77777777" w:rsidR="003501A1" w:rsidRPr="00E102C4" w:rsidRDefault="003501A1" w:rsidP="007B71A4">
            <w:pPr>
              <w:rPr>
                <w:b/>
              </w:rPr>
            </w:pPr>
            <w:r w:rsidRPr="00E102C4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1C3411" w14:textId="1F477DAE" w:rsidR="003501A1" w:rsidRPr="00E102C4" w:rsidRDefault="003501A1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6476" w14:textId="77777777" w:rsidR="003501A1" w:rsidRPr="00E102C4" w:rsidRDefault="003501A1" w:rsidP="007B71A4">
            <w:pPr>
              <w:ind w:left="54"/>
              <w:rPr>
                <w:b/>
              </w:rPr>
            </w:pPr>
            <w:r w:rsidRPr="00E102C4">
              <w:rPr>
                <w:b/>
              </w:rPr>
              <w:t>Negatívne</w:t>
            </w:r>
          </w:p>
        </w:tc>
      </w:tr>
      <w:tr w:rsidR="003501A1" w:rsidRPr="00A179AE" w14:paraId="2DF0A03B" w14:textId="77777777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047DA16C" w14:textId="77777777"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14:paraId="62A66541" w14:textId="53C626CD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75139" w14:textId="77777777"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43ACAE" w14:textId="5F41480B" w:rsidR="003501A1" w:rsidRPr="00A179AE" w:rsidRDefault="0089087B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47929" w14:textId="77777777"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E8EDBD" w14:textId="0A7B4F8E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4F51" w14:textId="77777777"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14:paraId="6E4796A0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3FCE0E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D0A1AA" w14:textId="52237090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6C189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CBA040" w14:textId="40A079A3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F9E47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5F7DA57" w14:textId="5DC050C1" w:rsidR="003501A1" w:rsidRPr="00A179AE" w:rsidRDefault="00AE2D1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01F90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65B35185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B6A649F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BA30233" w14:textId="565B0D46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84195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18CFEA" w14:textId="29897A64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D153B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544E61" w14:textId="52CAD839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9FD4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7D6E1494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4B3C6D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59E4AA" w14:textId="1207CA6A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5F0AD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00EE90D" w14:textId="3D2D028B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F7584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71C142E" w14:textId="53CBD083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3F10A3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14:paraId="33967B56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186A08" w14:textId="77777777"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8568C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0D280F" w14:textId="77777777"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C680D9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9BD8E" w14:textId="77777777"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9B751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A8A3F" w14:textId="77777777"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14:paraId="42F439A4" w14:textId="77777777" w:rsidTr="00D827D5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06742D" w14:textId="77777777"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5A3A556" w14:textId="490CE144"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A968F" w14:textId="77777777"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3E95E9" w14:textId="465FEBD6"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9DAB1" w14:textId="77777777"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417AA57" w14:textId="49E91E1B"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B721" w14:textId="77777777"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14:paraId="31471335" w14:textId="77777777" w:rsidTr="00D827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541B73" w14:textId="77777777"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BADE091" w14:textId="75AE7520" w:rsidR="001A1559" w:rsidRPr="00A179AE" w:rsidRDefault="00CB60C4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D1A0F" w14:textId="77777777"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82D5CD6" w14:textId="1270E436"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F37BC" w14:textId="77777777"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D1A17C4" w14:textId="77777777"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8667" w14:textId="77777777"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CB60C4" w:rsidRPr="009634B3" w14:paraId="1FECE254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50F7F4A" w14:textId="1408385E" w:rsidR="00CB60C4" w:rsidRDefault="00CB60C4" w:rsidP="00CB60C4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ascii="Times" w:hAnsi="Times" w:cs="Times"/>
                <w:b/>
                <w:bCs/>
              </w:rPr>
              <w:t>Vplyvy na manželstvo, rodičovstvo a rodinu</w:t>
            </w:r>
          </w:p>
        </w:tc>
        <w:sdt>
          <w:sdtPr>
            <w:rPr>
              <w:b/>
            </w:rPr>
            <w:id w:val="358930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E9302B7" w14:textId="68BB3B74" w:rsidR="00CB60C4" w:rsidRDefault="0090150E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DBEF3D" w14:textId="791D042B" w:rsidR="00CB60C4" w:rsidRPr="00A179AE" w:rsidRDefault="00CB60C4" w:rsidP="00CB60C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4850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875B8F2" w14:textId="1780568F" w:rsidR="00CB60C4" w:rsidRDefault="0090150E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50830" w14:textId="53E9BF89" w:rsidR="00CB60C4" w:rsidRPr="00A179AE" w:rsidRDefault="00CB60C4" w:rsidP="00CB60C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E57DEF8" w14:textId="4965BAA5" w:rsidR="00CB60C4" w:rsidRDefault="00CB60C4" w:rsidP="00CB60C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BF84" w14:textId="5EB6178B" w:rsidR="00CB60C4" w:rsidRPr="00A179AE" w:rsidRDefault="00CB60C4" w:rsidP="00CB60C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14:paraId="0EB8A06A" w14:textId="77777777" w:rsidR="003501A1" w:rsidRDefault="003501A1" w:rsidP="003501A1">
      <w:pPr>
        <w:ind w:right="141"/>
        <w:rPr>
          <w:b/>
        </w:rPr>
      </w:pPr>
    </w:p>
    <w:p w14:paraId="5DB5E17D" w14:textId="77777777" w:rsidR="00CB60C4" w:rsidRDefault="00CB60C4" w:rsidP="003501A1">
      <w:pPr>
        <w:ind w:right="141"/>
        <w:rPr>
          <w:b/>
        </w:rPr>
      </w:pPr>
    </w:p>
    <w:p w14:paraId="25985C5E" w14:textId="77777777" w:rsidR="00CB60C4" w:rsidRPr="00A179AE" w:rsidRDefault="00CB60C4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14:paraId="6F527B85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EEB2E9" w14:textId="77777777"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14:paraId="632B2D3B" w14:textId="77777777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F98C786" w14:textId="77777777" w:rsidR="004F6F1F" w:rsidRPr="00A179AE" w:rsidRDefault="004F6F1F" w:rsidP="002E4EB2">
            <w:pPr>
              <w:jc w:val="both"/>
              <w:rPr>
                <w:b/>
              </w:rPr>
            </w:pPr>
          </w:p>
        </w:tc>
      </w:tr>
      <w:tr w:rsidR="003501A1" w:rsidRPr="00A179AE" w14:paraId="7A5B113A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A730A34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14:paraId="7E959CE6" w14:textId="77777777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1047A" w14:textId="77777777" w:rsidR="003501A1" w:rsidRPr="00E102C4" w:rsidRDefault="003501A1" w:rsidP="0024157E">
            <w:pPr>
              <w:rPr>
                <w:i/>
              </w:rPr>
            </w:pPr>
          </w:p>
        </w:tc>
      </w:tr>
      <w:tr w:rsidR="003501A1" w:rsidRPr="00A179AE" w14:paraId="437BF23A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CB128ED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14:paraId="07089028" w14:textId="77777777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5DB3D" w14:textId="22B44FA4" w:rsidR="000718CF" w:rsidRDefault="000718CF" w:rsidP="000718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Administratívne zdroje z informačného systému Ústredia práce, sociálnych vecí a rodiny SR a MPSVR SR (RSD) MIS</w:t>
            </w:r>
          </w:p>
          <w:p w14:paraId="54EF9A8A" w14:textId="77777777" w:rsidR="003501A1" w:rsidRPr="00A179AE" w:rsidRDefault="003501A1" w:rsidP="000718CF">
            <w:pPr>
              <w:jc w:val="both"/>
              <w:rPr>
                <w:b/>
              </w:rPr>
            </w:pPr>
          </w:p>
        </w:tc>
      </w:tr>
      <w:tr w:rsidR="003501A1" w:rsidRPr="00A179AE" w14:paraId="7CBA9603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E8EF0D9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461F5E" w14:paraId="5E8C6297" w14:textId="77777777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6A0F8" w14:textId="77C4A60A" w:rsidR="008F5A0C" w:rsidRPr="00FD0129" w:rsidRDefault="008F5A0C" w:rsidP="008F5A0C">
            <w:pPr>
              <w:jc w:val="both"/>
              <w:rPr>
                <w:sz w:val="24"/>
                <w:szCs w:val="24"/>
              </w:rPr>
            </w:pPr>
            <w:r w:rsidRPr="00FD0129">
              <w:rPr>
                <w:sz w:val="24"/>
                <w:szCs w:val="24"/>
              </w:rPr>
              <w:t xml:space="preserve">V prípade predloženého </w:t>
            </w:r>
            <w:r w:rsidR="0091037F">
              <w:rPr>
                <w:sz w:val="24"/>
                <w:szCs w:val="24"/>
              </w:rPr>
              <w:t xml:space="preserve">vládneho </w:t>
            </w:r>
            <w:r w:rsidRPr="00FD0129">
              <w:rPr>
                <w:sz w:val="24"/>
                <w:szCs w:val="24"/>
              </w:rPr>
              <w:t>návrhu zákona Stála pracovná komisia Legislatívnej rady vlády Slovenskej republiky na posudzovanie vybraných vplyvov pri Ministerstve hospodárstva Slovenskej republiky  udelila výnimku z uplatňovania postupu podľa Jednotnej metodiky na posudzovanie vybraných vplyvov (predbežné pripomienkové konanie, záverečné posúdenie vybraných vplyvov) podľa bodu 2.6. tejto metodiky.</w:t>
            </w:r>
          </w:p>
          <w:p w14:paraId="04EEF728" w14:textId="77777777" w:rsidR="003501A1" w:rsidRPr="00461F5E" w:rsidRDefault="003501A1" w:rsidP="0024157E">
            <w:pPr>
              <w:tabs>
                <w:tab w:val="center" w:pos="6379"/>
              </w:tabs>
              <w:ind w:left="4536" w:right="-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AF2960" w14:textId="77777777" w:rsidR="003501A1" w:rsidRPr="00461F5E" w:rsidRDefault="003501A1" w:rsidP="003501A1">
      <w:pPr>
        <w:rPr>
          <w:b/>
          <w:sz w:val="22"/>
          <w:szCs w:val="22"/>
        </w:rPr>
      </w:pPr>
    </w:p>
    <w:p w14:paraId="3CD31EA4" w14:textId="77777777" w:rsidR="003501A1" w:rsidRPr="00461F5E" w:rsidRDefault="003501A1" w:rsidP="003501A1">
      <w:pPr>
        <w:rPr>
          <w:b/>
          <w:sz w:val="22"/>
          <w:szCs w:val="22"/>
        </w:rPr>
      </w:pPr>
    </w:p>
    <w:p w14:paraId="0A4B6075" w14:textId="77777777" w:rsidR="00CB3623" w:rsidRPr="00461F5E" w:rsidRDefault="00CB3623">
      <w:pPr>
        <w:rPr>
          <w:sz w:val="22"/>
          <w:szCs w:val="22"/>
        </w:rPr>
      </w:pPr>
    </w:p>
    <w:sectPr w:rsidR="00CB3623" w:rsidRPr="00461F5E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79765" w14:textId="77777777" w:rsidR="006507CE" w:rsidRDefault="006507CE" w:rsidP="003501A1">
      <w:r>
        <w:separator/>
      </w:r>
    </w:p>
  </w:endnote>
  <w:endnote w:type="continuationSeparator" w:id="0">
    <w:p w14:paraId="6C0D1F59" w14:textId="77777777" w:rsidR="006507CE" w:rsidRDefault="006507CE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2137"/>
      <w:docPartObj>
        <w:docPartGallery w:val="Page Numbers (Bottom of Page)"/>
        <w:docPartUnique/>
      </w:docPartObj>
    </w:sdtPr>
    <w:sdtEndPr/>
    <w:sdtContent>
      <w:p w14:paraId="682A569D" w14:textId="331732D9" w:rsidR="0011129D" w:rsidRDefault="001112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CD">
          <w:rPr>
            <w:noProof/>
          </w:rPr>
          <w:t>2</w:t>
        </w:r>
        <w:r>
          <w:fldChar w:fldCharType="end"/>
        </w:r>
      </w:p>
    </w:sdtContent>
  </w:sdt>
  <w:p w14:paraId="549F41A9" w14:textId="77777777" w:rsidR="0011129D" w:rsidRDefault="001112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7B539" w14:textId="77777777" w:rsidR="006507CE" w:rsidRDefault="006507CE" w:rsidP="003501A1">
      <w:r>
        <w:separator/>
      </w:r>
    </w:p>
  </w:footnote>
  <w:footnote w:type="continuationSeparator" w:id="0">
    <w:p w14:paraId="7A4DD09D" w14:textId="77777777" w:rsidR="006507CE" w:rsidRDefault="006507CE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bos, Michal">
    <w15:presenceInfo w15:providerId="AD" w15:userId="S-1-5-21-1957994488-842925246-40105171-2017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16A9"/>
    <w:rsid w:val="00036A60"/>
    <w:rsid w:val="00043E3C"/>
    <w:rsid w:val="00046421"/>
    <w:rsid w:val="000718CF"/>
    <w:rsid w:val="00093169"/>
    <w:rsid w:val="000945D0"/>
    <w:rsid w:val="000A1733"/>
    <w:rsid w:val="000A2143"/>
    <w:rsid w:val="000A78E3"/>
    <w:rsid w:val="000B474D"/>
    <w:rsid w:val="000C039E"/>
    <w:rsid w:val="000C1BEB"/>
    <w:rsid w:val="000C52E6"/>
    <w:rsid w:val="000C6AD0"/>
    <w:rsid w:val="000D40AB"/>
    <w:rsid w:val="000F653A"/>
    <w:rsid w:val="00111084"/>
    <w:rsid w:val="0011129D"/>
    <w:rsid w:val="0011693A"/>
    <w:rsid w:val="001308B4"/>
    <w:rsid w:val="00142423"/>
    <w:rsid w:val="00145764"/>
    <w:rsid w:val="001552BB"/>
    <w:rsid w:val="001554B4"/>
    <w:rsid w:val="00157301"/>
    <w:rsid w:val="001652B2"/>
    <w:rsid w:val="00175FD8"/>
    <w:rsid w:val="001A1559"/>
    <w:rsid w:val="001A2225"/>
    <w:rsid w:val="001F0FE6"/>
    <w:rsid w:val="0020153D"/>
    <w:rsid w:val="00203A4E"/>
    <w:rsid w:val="00206A87"/>
    <w:rsid w:val="002108D0"/>
    <w:rsid w:val="00210FED"/>
    <w:rsid w:val="0021381D"/>
    <w:rsid w:val="00217FFD"/>
    <w:rsid w:val="00225DCC"/>
    <w:rsid w:val="00235A62"/>
    <w:rsid w:val="0024157E"/>
    <w:rsid w:val="00247830"/>
    <w:rsid w:val="002672DA"/>
    <w:rsid w:val="00286BE1"/>
    <w:rsid w:val="002A177B"/>
    <w:rsid w:val="002B64A6"/>
    <w:rsid w:val="002C6B8A"/>
    <w:rsid w:val="002D6CDE"/>
    <w:rsid w:val="002E4EB2"/>
    <w:rsid w:val="002E5D25"/>
    <w:rsid w:val="002F6D2C"/>
    <w:rsid w:val="002F79FF"/>
    <w:rsid w:val="003027A2"/>
    <w:rsid w:val="00332F34"/>
    <w:rsid w:val="00341C6B"/>
    <w:rsid w:val="003501A1"/>
    <w:rsid w:val="00361D11"/>
    <w:rsid w:val="003669E9"/>
    <w:rsid w:val="00375032"/>
    <w:rsid w:val="00376A3F"/>
    <w:rsid w:val="003855CF"/>
    <w:rsid w:val="00395098"/>
    <w:rsid w:val="003C5141"/>
    <w:rsid w:val="003D41A9"/>
    <w:rsid w:val="003E39E8"/>
    <w:rsid w:val="004536CC"/>
    <w:rsid w:val="0045465B"/>
    <w:rsid w:val="00457F05"/>
    <w:rsid w:val="00461F5E"/>
    <w:rsid w:val="004746DB"/>
    <w:rsid w:val="004812BF"/>
    <w:rsid w:val="004865AB"/>
    <w:rsid w:val="004A2E81"/>
    <w:rsid w:val="004B6572"/>
    <w:rsid w:val="004C5867"/>
    <w:rsid w:val="004C60B8"/>
    <w:rsid w:val="004C794A"/>
    <w:rsid w:val="004D1607"/>
    <w:rsid w:val="004E03EC"/>
    <w:rsid w:val="004F1507"/>
    <w:rsid w:val="004F6F1F"/>
    <w:rsid w:val="004F7D6F"/>
    <w:rsid w:val="00510751"/>
    <w:rsid w:val="00523987"/>
    <w:rsid w:val="00534EC3"/>
    <w:rsid w:val="00545889"/>
    <w:rsid w:val="0055095B"/>
    <w:rsid w:val="0056696C"/>
    <w:rsid w:val="00570B48"/>
    <w:rsid w:val="005742ED"/>
    <w:rsid w:val="005754DB"/>
    <w:rsid w:val="005757A1"/>
    <w:rsid w:val="00596B7D"/>
    <w:rsid w:val="005A0E3E"/>
    <w:rsid w:val="005B7A8D"/>
    <w:rsid w:val="005C1717"/>
    <w:rsid w:val="005C5046"/>
    <w:rsid w:val="005D5ED8"/>
    <w:rsid w:val="005D6D5A"/>
    <w:rsid w:val="005E25CD"/>
    <w:rsid w:val="00600168"/>
    <w:rsid w:val="00622DBE"/>
    <w:rsid w:val="00624114"/>
    <w:rsid w:val="00626343"/>
    <w:rsid w:val="00641D56"/>
    <w:rsid w:val="006507CE"/>
    <w:rsid w:val="00671F29"/>
    <w:rsid w:val="0067530E"/>
    <w:rsid w:val="0068428D"/>
    <w:rsid w:val="006863EA"/>
    <w:rsid w:val="006C3B7D"/>
    <w:rsid w:val="006C6236"/>
    <w:rsid w:val="006D0D62"/>
    <w:rsid w:val="006D2F82"/>
    <w:rsid w:val="0071461E"/>
    <w:rsid w:val="00743B47"/>
    <w:rsid w:val="0076179A"/>
    <w:rsid w:val="00761B28"/>
    <w:rsid w:val="00763F83"/>
    <w:rsid w:val="00777D6E"/>
    <w:rsid w:val="0078273D"/>
    <w:rsid w:val="0078631C"/>
    <w:rsid w:val="00786F5D"/>
    <w:rsid w:val="00793A50"/>
    <w:rsid w:val="007A75AB"/>
    <w:rsid w:val="007B0F3B"/>
    <w:rsid w:val="007B4594"/>
    <w:rsid w:val="007C1096"/>
    <w:rsid w:val="007C7803"/>
    <w:rsid w:val="007D01D6"/>
    <w:rsid w:val="007D5810"/>
    <w:rsid w:val="007E270F"/>
    <w:rsid w:val="00805406"/>
    <w:rsid w:val="00856E45"/>
    <w:rsid w:val="00862008"/>
    <w:rsid w:val="00881440"/>
    <w:rsid w:val="00881452"/>
    <w:rsid w:val="0088309E"/>
    <w:rsid w:val="0089087B"/>
    <w:rsid w:val="008962EB"/>
    <w:rsid w:val="008A7FE0"/>
    <w:rsid w:val="008B4061"/>
    <w:rsid w:val="008C4AC7"/>
    <w:rsid w:val="008C6103"/>
    <w:rsid w:val="008E0593"/>
    <w:rsid w:val="008F5A0C"/>
    <w:rsid w:val="0090150E"/>
    <w:rsid w:val="0091037F"/>
    <w:rsid w:val="00916499"/>
    <w:rsid w:val="00930B57"/>
    <w:rsid w:val="0095375D"/>
    <w:rsid w:val="00960FBC"/>
    <w:rsid w:val="00961DD8"/>
    <w:rsid w:val="00973836"/>
    <w:rsid w:val="00981329"/>
    <w:rsid w:val="009A1E02"/>
    <w:rsid w:val="009B0950"/>
    <w:rsid w:val="009C1600"/>
    <w:rsid w:val="009E13B1"/>
    <w:rsid w:val="009E659C"/>
    <w:rsid w:val="009F687D"/>
    <w:rsid w:val="00A06ED0"/>
    <w:rsid w:val="00A2667C"/>
    <w:rsid w:val="00A4443A"/>
    <w:rsid w:val="00A574A9"/>
    <w:rsid w:val="00A94590"/>
    <w:rsid w:val="00AA0570"/>
    <w:rsid w:val="00AA0968"/>
    <w:rsid w:val="00AC2477"/>
    <w:rsid w:val="00AC4A62"/>
    <w:rsid w:val="00AE2D18"/>
    <w:rsid w:val="00AF1868"/>
    <w:rsid w:val="00B2472D"/>
    <w:rsid w:val="00B47776"/>
    <w:rsid w:val="00B65A86"/>
    <w:rsid w:val="00B76A40"/>
    <w:rsid w:val="00B83E20"/>
    <w:rsid w:val="00B8617C"/>
    <w:rsid w:val="00BD2C97"/>
    <w:rsid w:val="00BE14D2"/>
    <w:rsid w:val="00BF2A26"/>
    <w:rsid w:val="00C2189E"/>
    <w:rsid w:val="00C35DF6"/>
    <w:rsid w:val="00C42BE6"/>
    <w:rsid w:val="00C43C88"/>
    <w:rsid w:val="00C47651"/>
    <w:rsid w:val="00C524ED"/>
    <w:rsid w:val="00C65043"/>
    <w:rsid w:val="00C71D0C"/>
    <w:rsid w:val="00C94568"/>
    <w:rsid w:val="00CB3623"/>
    <w:rsid w:val="00CB60C4"/>
    <w:rsid w:val="00CD27FC"/>
    <w:rsid w:val="00CD6902"/>
    <w:rsid w:val="00CE2428"/>
    <w:rsid w:val="00CF4A6A"/>
    <w:rsid w:val="00CF6197"/>
    <w:rsid w:val="00D03769"/>
    <w:rsid w:val="00D041B7"/>
    <w:rsid w:val="00D12202"/>
    <w:rsid w:val="00D13B6F"/>
    <w:rsid w:val="00D21E58"/>
    <w:rsid w:val="00D23A76"/>
    <w:rsid w:val="00D272B6"/>
    <w:rsid w:val="00D57B2E"/>
    <w:rsid w:val="00D625E1"/>
    <w:rsid w:val="00D73659"/>
    <w:rsid w:val="00D75D35"/>
    <w:rsid w:val="00D76598"/>
    <w:rsid w:val="00D8159C"/>
    <w:rsid w:val="00D827D5"/>
    <w:rsid w:val="00D90B3C"/>
    <w:rsid w:val="00D92287"/>
    <w:rsid w:val="00D9324A"/>
    <w:rsid w:val="00DE2A12"/>
    <w:rsid w:val="00DE4A6B"/>
    <w:rsid w:val="00DF4095"/>
    <w:rsid w:val="00E102C4"/>
    <w:rsid w:val="00E34AD4"/>
    <w:rsid w:val="00E36DBD"/>
    <w:rsid w:val="00E4319B"/>
    <w:rsid w:val="00E45010"/>
    <w:rsid w:val="00E45461"/>
    <w:rsid w:val="00E4678E"/>
    <w:rsid w:val="00E6400A"/>
    <w:rsid w:val="00E71421"/>
    <w:rsid w:val="00EA7531"/>
    <w:rsid w:val="00EB59E3"/>
    <w:rsid w:val="00EC7E38"/>
    <w:rsid w:val="00ED1D2E"/>
    <w:rsid w:val="00EE1B52"/>
    <w:rsid w:val="00EF0EBC"/>
    <w:rsid w:val="00EF466C"/>
    <w:rsid w:val="00F11DE4"/>
    <w:rsid w:val="00F130FE"/>
    <w:rsid w:val="00F16505"/>
    <w:rsid w:val="00F22831"/>
    <w:rsid w:val="00F30003"/>
    <w:rsid w:val="00F5052F"/>
    <w:rsid w:val="00F56BE0"/>
    <w:rsid w:val="00F62771"/>
    <w:rsid w:val="00F722EF"/>
    <w:rsid w:val="00F74D04"/>
    <w:rsid w:val="00F920BD"/>
    <w:rsid w:val="00F93B05"/>
    <w:rsid w:val="00FC3AF6"/>
    <w:rsid w:val="00FC5E8A"/>
    <w:rsid w:val="00FD466C"/>
    <w:rsid w:val="00FE23BE"/>
    <w:rsid w:val="00FE4D81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D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205C-F234-49DF-BA3D-88ACAB9C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2020-10-01T08:51:00Z</cp:lastPrinted>
  <dcterms:created xsi:type="dcterms:W3CDTF">2020-10-01T08:50:00Z</dcterms:created>
  <dcterms:modified xsi:type="dcterms:W3CDTF">2020-10-01T08:51:00Z</dcterms:modified>
</cp:coreProperties>
</file>