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C" w:rsidRPr="00B92773" w:rsidRDefault="003A095C" w:rsidP="00B927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92773">
        <w:rPr>
          <w:rFonts w:ascii="Times New Roman" w:hAnsi="Times New Roman"/>
          <w:b/>
          <w:bCs/>
          <w:sz w:val="24"/>
          <w:szCs w:val="24"/>
        </w:rPr>
        <w:t>Dôvodová správa</w:t>
      </w:r>
    </w:p>
    <w:p w:rsidR="003A095C" w:rsidRPr="00B92773" w:rsidRDefault="003A095C" w:rsidP="00B927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095C" w:rsidRPr="00B92773" w:rsidRDefault="003A095C" w:rsidP="00B927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095C" w:rsidRPr="00B92773" w:rsidRDefault="003A095C" w:rsidP="00B927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2773">
        <w:rPr>
          <w:rFonts w:ascii="Times New Roman" w:hAnsi="Times New Roman"/>
          <w:b/>
          <w:sz w:val="24"/>
          <w:szCs w:val="24"/>
        </w:rPr>
        <w:t>A. Všeobecná časť</w:t>
      </w:r>
    </w:p>
    <w:p w:rsidR="00E541F2" w:rsidRDefault="00E541F2" w:rsidP="00E541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41F2" w:rsidRDefault="005B176D" w:rsidP="00E541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Vládny návrh </w:t>
      </w:r>
      <w:r w:rsidR="00E541F2">
        <w:rPr>
          <w:rFonts w:ascii="Times New Roman" w:hAnsi="Times New Roman"/>
          <w:sz w:val="24"/>
          <w:szCs w:val="24"/>
          <w:lang w:eastAsia="sk-SK"/>
        </w:rPr>
        <w:t>zákona</w:t>
      </w:r>
      <w:r w:rsidR="001A4019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4E64CE" w:rsidRPr="004E64CE">
        <w:rPr>
          <w:rFonts w:ascii="Times New Roman" w:hAnsi="Times New Roman"/>
          <w:sz w:val="24"/>
          <w:szCs w:val="24"/>
          <w:lang w:eastAsia="sk-SK"/>
        </w:rPr>
        <w:t>ktorým sa mení a dopĺňa zákon č. 544/2010 Z. z. o dotáciách v</w:t>
      </w:r>
      <w:r w:rsidR="00FD1C47">
        <w:rPr>
          <w:rFonts w:ascii="Times New Roman" w:hAnsi="Times New Roman"/>
          <w:sz w:val="24"/>
          <w:szCs w:val="24"/>
          <w:lang w:eastAsia="sk-SK"/>
        </w:rPr>
        <w:t> </w:t>
      </w:r>
      <w:r w:rsidR="004E64CE" w:rsidRPr="004E64CE">
        <w:rPr>
          <w:rFonts w:ascii="Times New Roman" w:hAnsi="Times New Roman"/>
          <w:sz w:val="24"/>
          <w:szCs w:val="24"/>
          <w:lang w:eastAsia="sk-SK"/>
        </w:rPr>
        <w:t>pôsobnosti Ministerstva práce, sociálnych vecí a rodiny Slovenskej republiky v znení neskorších predpisov</w:t>
      </w:r>
      <w:r w:rsidR="00E541F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E541F2">
        <w:rPr>
          <w:rFonts w:ascii="Times New Roman" w:hAnsi="Times New Roman"/>
          <w:sz w:val="24"/>
          <w:szCs w:val="24"/>
          <w:lang w:eastAsia="sk-SK"/>
        </w:rPr>
        <w:t>predkladá ako iniciatívny materiál.</w:t>
      </w:r>
    </w:p>
    <w:p w:rsidR="00E541F2" w:rsidRDefault="00E541F2" w:rsidP="00E541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41F2" w:rsidRDefault="00E541F2" w:rsidP="00E541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Vláda Slovenskej republiky sa vo svojom programovom vyhlásení na roky 2020 – 2024 zaviazala podporovať rodinu, ako základnú bunku spoločnosti a hlavnú nositeľku základných ľudských, kultúrnych, sociálnych, občianskych a duchovných hodnôt. Podporu rodiny vníma vláda Slovenskej republiky ako prioritný nástroj na riešenie problematiky </w:t>
      </w:r>
      <w:r w:rsidR="00CD7136">
        <w:rPr>
          <w:rFonts w:ascii="Times New Roman" w:hAnsi="Times New Roman"/>
          <w:sz w:val="24"/>
          <w:szCs w:val="24"/>
          <w:lang w:eastAsia="sk-SK"/>
        </w:rPr>
        <w:t>nepriaznivého</w:t>
      </w:r>
      <w:r>
        <w:rPr>
          <w:rFonts w:ascii="Times New Roman" w:hAnsi="Times New Roman"/>
          <w:sz w:val="24"/>
          <w:szCs w:val="24"/>
          <w:lang w:eastAsia="sk-SK"/>
        </w:rPr>
        <w:t xml:space="preserve"> demografického vývoja. Z uvedeného dôvodu je potrebné prispôsobovať sociálnu a rodinnú politiku štátu podpore rodiny a jednotlivé navrhované opatrenia efektívne a adresne cieliť na konkrétne okruhy subjektov pre dosiahnutie stanovených cieľov v oblasti podpory rodiny.</w:t>
      </w:r>
    </w:p>
    <w:p w:rsidR="0015429A" w:rsidRDefault="0015429A" w:rsidP="00154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29A" w:rsidRDefault="00694A04" w:rsidP="00154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Predloženým návrhom </w:t>
      </w:r>
      <w:r w:rsidR="005B176D">
        <w:rPr>
          <w:rFonts w:ascii="Times New Roman" w:hAnsi="Times New Roman"/>
          <w:sz w:val="24"/>
          <w:szCs w:val="24"/>
        </w:rPr>
        <w:t xml:space="preserve">sa s cieľom utvoriť podmienky na podporu prorodinných aktivít dopĺňajú do dotačného mechanizmu Ministerstva práce, sociálnych vecí a rodiny Slovenskej republiky nové dotačné tituly, a to dotácia na podporu plnenia funkcií rodiny a dotácia na podporu dobrovoľníckej činnosti. </w:t>
      </w:r>
      <w:r w:rsidR="0015429A">
        <w:rPr>
          <w:rFonts w:ascii="Times New Roman" w:hAnsi="Times New Roman"/>
          <w:sz w:val="24"/>
          <w:szCs w:val="24"/>
        </w:rPr>
        <w:t xml:space="preserve">Aj keď doterajšie dotačné tituly umožňovali čiastočne podporovať aktivity preventívneho, resp. podporného charakteru zamerané na rodiny, novým druhom dotácie sa navrhuje podporu vyslovene zacieliť na rodinu, a to nezávisle na tom, či ide o rodinu vznikajúcu, rodinu s maloletým dieťaťom, starým rodičom, či zdravotne znevýhodneným členom rodiny. </w:t>
      </w:r>
      <w:r w:rsidR="005B176D">
        <w:rPr>
          <w:rFonts w:ascii="Times New Roman" w:hAnsi="Times New Roman"/>
          <w:sz w:val="24"/>
          <w:szCs w:val="24"/>
        </w:rPr>
        <w:t>P</w:t>
      </w:r>
      <w:r w:rsidR="0015429A">
        <w:rPr>
          <w:rFonts w:ascii="Times New Roman" w:hAnsi="Times New Roman"/>
          <w:sz w:val="24"/>
          <w:szCs w:val="24"/>
        </w:rPr>
        <w:t xml:space="preserve">opri rôznych opatreniach finančného i nefinančného charakteru rôznych systémov sociálneho zabezpečenia je </w:t>
      </w:r>
      <w:r w:rsidR="005B176D">
        <w:rPr>
          <w:rFonts w:ascii="Times New Roman" w:hAnsi="Times New Roman"/>
          <w:sz w:val="24"/>
          <w:szCs w:val="24"/>
        </w:rPr>
        <w:t xml:space="preserve">totiž </w:t>
      </w:r>
      <w:r w:rsidR="0015429A">
        <w:rPr>
          <w:rFonts w:ascii="Times New Roman" w:hAnsi="Times New Roman"/>
          <w:sz w:val="24"/>
          <w:szCs w:val="24"/>
        </w:rPr>
        <w:t xml:space="preserve">potrebné aj prostredníctvom doplnkových, dotačných zdrojov podporovať najmä rozvoj aktivít zameraných na posilnenie rodiny, podporu plnenia funkcií rodiny a tvorbu prorodinnej atmosféry v spoločnosti. </w:t>
      </w:r>
    </w:p>
    <w:p w:rsidR="0015429A" w:rsidRPr="009C52CC" w:rsidRDefault="0015429A" w:rsidP="0015429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15429A" w:rsidRDefault="0015429A" w:rsidP="0015429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Navrhuje sa, aby prostredníctvom nového druhu dotácie mohli byť (v maximálnej sume dotácie vo výške 10 000 €, v prípade </w:t>
      </w:r>
      <w:r w:rsidRPr="00331B4E">
        <w:rPr>
          <w:rFonts w:ascii="Times New Roman" w:hAnsi="Times New Roman"/>
          <w:sz w:val="24"/>
          <w:szCs w:val="24"/>
        </w:rPr>
        <w:t>utvárania priestoru na podporu socializácie a inklúzie detí formou detských ihrísk</w:t>
      </w:r>
      <w:r>
        <w:rPr>
          <w:rFonts w:ascii="Times New Roman" w:hAnsi="Times New Roman"/>
          <w:sz w:val="24"/>
          <w:szCs w:val="24"/>
        </w:rPr>
        <w:t xml:space="preserve"> v maximálnej výške 50 000€) podporené preventívne aktivity, ako napríklad preventívne programy, tréningy a osveta zamerané na plnenie funkcií rodiny, na zvyšovanie citlivosti verejnosti k závažným rodinným témam, na predchádzanie negatívnym javom v rodine, ako aj aktivity zamerané na posilňovanie medzigeneračných vzťahov v rodine,  budovanie svojpomocných skupín, či edičné činnosti, ktoré s týmito preventívnymi resp. podpornými aktivitami súvisia.</w:t>
      </w:r>
    </w:p>
    <w:p w:rsidR="0015429A" w:rsidRDefault="0015429A" w:rsidP="00154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5429A" w:rsidRDefault="0015429A" w:rsidP="001542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Dobrovoľníctvo je významným prvkom zvyšujúcim kvalitu, humanizáciu a efekt poskytovaných sociálnych služieb a ďalších opatrení</w:t>
      </w:r>
      <w:r w:rsidRPr="002C5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sociálnej oblasti a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v oblasti rovnosti žien a mužov</w:t>
      </w:r>
      <w:r w:rsidRPr="002C5A89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a rovnosti príležitosti</w:t>
      </w:r>
      <w:r>
        <w:rPr>
          <w:rFonts w:ascii="Times New Roman" w:hAnsi="Times New Roman"/>
          <w:color w:val="000000" w:themeColor="text1"/>
          <w:sz w:val="24"/>
          <w:szCs w:val="24"/>
        </w:rPr>
        <w:t>. Návrhom na doplnenie nového druhu dotácie na podporu dobrovoľníckej činnosti (</w:t>
      </w:r>
      <w:r>
        <w:rPr>
          <w:rFonts w:ascii="Times New Roman" w:hAnsi="Times New Roman"/>
          <w:sz w:val="24"/>
          <w:szCs w:val="24"/>
        </w:rPr>
        <w:t xml:space="preserve">v maximálnej výške 5 000 €) </w:t>
      </w:r>
      <w:r>
        <w:rPr>
          <w:rFonts w:ascii="Times New Roman" w:hAnsi="Times New Roman"/>
          <w:color w:val="000000" w:themeColor="text1"/>
          <w:sz w:val="24"/>
          <w:szCs w:val="24"/>
        </w:rPr>
        <w:t>ministerstvo s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účasne reaguje na úlohu </w:t>
      </w:r>
      <w:r>
        <w:rPr>
          <w:rFonts w:ascii="Times New Roman" w:hAnsi="Times New Roman"/>
          <w:sz w:val="24"/>
          <w:szCs w:val="24"/>
        </w:rPr>
        <w:t>B. 9 uznesenia vlády SR č. 360/2019 k Akčnému plánu Koncepcie rozvoja občianskej spoločnosti na Slovensku na roky 2019 – 2020 (do 31. decembra 2020 pripraviť návrh mechanizmu priamej štátnej podpory dobrovoľníckych programov za účelom podpory dobrovoľníctva v rôznych oblastiach) za svoju pôsobnosť.</w:t>
      </w:r>
    </w:p>
    <w:p w:rsidR="0015429A" w:rsidRDefault="0015429A" w:rsidP="00154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29A" w:rsidRDefault="0015429A" w:rsidP="00154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Súčasťou zmien a doplnení zákona o dotáciách je aj zmena dotácie na podporu rodovej rovnosti. Vzhľadom na navrhované rozšírenie a precizovanie účelu dotácie sa navrhuje aj </w:t>
      </w:r>
      <w:r>
        <w:rPr>
          <w:rFonts w:ascii="Times New Roman" w:hAnsi="Times New Roman"/>
          <w:sz w:val="24"/>
          <w:szCs w:val="24"/>
        </w:rPr>
        <w:lastRenderedPageBreak/>
        <w:t>zmena názvu dotačného titulu tak, aby samotný názov dotácie korešpondoval s účelom dotácie</w:t>
      </w:r>
      <w:r w:rsidR="00285E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resp. ho neprimerane nezužoval.</w:t>
      </w:r>
    </w:p>
    <w:p w:rsidR="0015429A" w:rsidRDefault="0015429A" w:rsidP="00154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5429A" w:rsidRDefault="0015429A" w:rsidP="0015429A">
      <w:pPr>
        <w:pStyle w:val="Bezriadkovani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Predložený </w:t>
      </w:r>
      <w:r w:rsidR="00694A04">
        <w:rPr>
          <w:rFonts w:ascii="Times New Roman" w:hAnsi="Times New Roman" w:cs="Times New Roman"/>
          <w:sz w:val="24"/>
          <w:szCs w:val="24"/>
        </w:rPr>
        <w:t xml:space="preserve">vládny </w:t>
      </w:r>
      <w:r>
        <w:rPr>
          <w:rFonts w:ascii="Times New Roman" w:hAnsi="Times New Roman" w:cs="Times New Roman"/>
          <w:sz w:val="24"/>
          <w:szCs w:val="24"/>
        </w:rPr>
        <w:t>návrh zákona bude mať pozitívny vplyv na manželstvo, rodičovstvo a rodinu. Sledované vybrané vplyvy navrhovaného opatrenia podľa Jednotnej metodiky na posudzovanie vybraných vplyvov sú zhodnotené v priloženej doložke vybraných vplyvov, v analýze vplyvov na rozpočet verejnej správy a v analýze sociálnych vplyvov.</w:t>
      </w:r>
    </w:p>
    <w:p w:rsidR="0015429A" w:rsidRDefault="0015429A" w:rsidP="0015429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5429A" w:rsidRDefault="00694A04" w:rsidP="001542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Vládny návrh</w:t>
      </w:r>
      <w:r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súlade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Ústavou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republiky,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ústavnými</w:t>
      </w:r>
      <w:r w:rsidR="0015429A">
        <w:rPr>
          <w:rFonts w:ascii="Times New Roman" w:hAnsi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zákonmi a nálezmi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Ústavného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súdu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zákonmi,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15429A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medzinárodnými zmluvami,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ktorými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Slovenská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republika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viazaná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súčasne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súlade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právom</w:t>
      </w:r>
      <w:r w:rsidR="0015429A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15429A">
        <w:rPr>
          <w:rFonts w:ascii="Times New Roman" w:hAnsi="Times New Roman"/>
          <w:color w:val="000000"/>
          <w:sz w:val="24"/>
          <w:szCs w:val="24"/>
          <w:lang w:eastAsia="sk-SK"/>
        </w:rPr>
        <w:t>Európskej únie.</w:t>
      </w:r>
    </w:p>
    <w:p w:rsidR="0039538D" w:rsidRPr="00B92773" w:rsidRDefault="0039538D" w:rsidP="00B92773">
      <w:pPr>
        <w:pStyle w:val="Zkladntext"/>
      </w:pPr>
    </w:p>
    <w:sectPr w:rsidR="0039538D" w:rsidRPr="00B927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6C" w:rsidRDefault="00AA186C">
      <w:pPr>
        <w:spacing w:after="0" w:line="240" w:lineRule="auto"/>
      </w:pPr>
      <w:r>
        <w:separator/>
      </w:r>
    </w:p>
  </w:endnote>
  <w:endnote w:type="continuationSeparator" w:id="0">
    <w:p w:rsidR="00AA186C" w:rsidRDefault="00AA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091" w:rsidRDefault="000E5A2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A5813">
      <w:rPr>
        <w:noProof/>
      </w:rPr>
      <w:t>2</w:t>
    </w:r>
    <w:r>
      <w:fldChar w:fldCharType="end"/>
    </w:r>
  </w:p>
  <w:p w:rsidR="003F2AD4" w:rsidRDefault="00AA186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6C" w:rsidRDefault="00AA186C">
      <w:pPr>
        <w:spacing w:after="0" w:line="240" w:lineRule="auto"/>
      </w:pPr>
      <w:r>
        <w:separator/>
      </w:r>
    </w:p>
  </w:footnote>
  <w:footnote w:type="continuationSeparator" w:id="0">
    <w:p w:rsidR="00AA186C" w:rsidRDefault="00AA1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1E2B"/>
    <w:multiLevelType w:val="hybridMultilevel"/>
    <w:tmpl w:val="DF0A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62CC"/>
    <w:multiLevelType w:val="hybridMultilevel"/>
    <w:tmpl w:val="A3AC741A"/>
    <w:lvl w:ilvl="0" w:tplc="1EC0F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2C6410D"/>
    <w:multiLevelType w:val="hybridMultilevel"/>
    <w:tmpl w:val="B036BC6C"/>
    <w:lvl w:ilvl="0" w:tplc="4D0425C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7193B"/>
    <w:multiLevelType w:val="hybridMultilevel"/>
    <w:tmpl w:val="628067C6"/>
    <w:lvl w:ilvl="0" w:tplc="4D0425C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2659B"/>
    <w:multiLevelType w:val="hybridMultilevel"/>
    <w:tmpl w:val="94B2FC9A"/>
    <w:lvl w:ilvl="0" w:tplc="2444D08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C537A70"/>
    <w:multiLevelType w:val="hybridMultilevel"/>
    <w:tmpl w:val="E22AF498"/>
    <w:lvl w:ilvl="0" w:tplc="041B000F">
      <w:start w:val="1"/>
      <w:numFmt w:val="decimal"/>
      <w:lvlText w:val="%1.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79F50EAF"/>
    <w:multiLevelType w:val="hybridMultilevel"/>
    <w:tmpl w:val="F71EE0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50D94"/>
    <w:multiLevelType w:val="hybridMultilevel"/>
    <w:tmpl w:val="0ECAA5A0"/>
    <w:lvl w:ilvl="0" w:tplc="4F2EF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1"/>
    <w:rsid w:val="00001ABD"/>
    <w:rsid w:val="00026F80"/>
    <w:rsid w:val="0004014E"/>
    <w:rsid w:val="00044D43"/>
    <w:rsid w:val="00050F29"/>
    <w:rsid w:val="00080195"/>
    <w:rsid w:val="00080955"/>
    <w:rsid w:val="00082212"/>
    <w:rsid w:val="00087624"/>
    <w:rsid w:val="00095C3D"/>
    <w:rsid w:val="000A5DC4"/>
    <w:rsid w:val="000C6483"/>
    <w:rsid w:val="000C7FEC"/>
    <w:rsid w:val="000D738B"/>
    <w:rsid w:val="000E51D5"/>
    <w:rsid w:val="000E5A28"/>
    <w:rsid w:val="000F1159"/>
    <w:rsid w:val="000F66CF"/>
    <w:rsid w:val="001058D1"/>
    <w:rsid w:val="001105EB"/>
    <w:rsid w:val="001300DE"/>
    <w:rsid w:val="00140B55"/>
    <w:rsid w:val="001412FF"/>
    <w:rsid w:val="00150417"/>
    <w:rsid w:val="0015429A"/>
    <w:rsid w:val="001809CF"/>
    <w:rsid w:val="001A010B"/>
    <w:rsid w:val="001A4019"/>
    <w:rsid w:val="001A47C1"/>
    <w:rsid w:val="001B67CD"/>
    <w:rsid w:val="001D7556"/>
    <w:rsid w:val="001E4117"/>
    <w:rsid w:val="00213100"/>
    <w:rsid w:val="00226E9E"/>
    <w:rsid w:val="0023614A"/>
    <w:rsid w:val="00255C5E"/>
    <w:rsid w:val="0025670B"/>
    <w:rsid w:val="00265A1C"/>
    <w:rsid w:val="0027436A"/>
    <w:rsid w:val="00277E72"/>
    <w:rsid w:val="00285E59"/>
    <w:rsid w:val="00292451"/>
    <w:rsid w:val="00297220"/>
    <w:rsid w:val="002A0753"/>
    <w:rsid w:val="002A5189"/>
    <w:rsid w:val="002C1359"/>
    <w:rsid w:val="002E3E86"/>
    <w:rsid w:val="00311E3E"/>
    <w:rsid w:val="00326B1C"/>
    <w:rsid w:val="003361ED"/>
    <w:rsid w:val="003573B6"/>
    <w:rsid w:val="00392DF0"/>
    <w:rsid w:val="0039538D"/>
    <w:rsid w:val="003A095C"/>
    <w:rsid w:val="003A5187"/>
    <w:rsid w:val="003A5FFD"/>
    <w:rsid w:val="003C5912"/>
    <w:rsid w:val="003D5354"/>
    <w:rsid w:val="003E232C"/>
    <w:rsid w:val="003E6056"/>
    <w:rsid w:val="004022BC"/>
    <w:rsid w:val="00403990"/>
    <w:rsid w:val="00406E4E"/>
    <w:rsid w:val="00424CDD"/>
    <w:rsid w:val="00425EFB"/>
    <w:rsid w:val="004276C2"/>
    <w:rsid w:val="004353CF"/>
    <w:rsid w:val="00456761"/>
    <w:rsid w:val="004574FC"/>
    <w:rsid w:val="004677E5"/>
    <w:rsid w:val="004A4016"/>
    <w:rsid w:val="004D6A2B"/>
    <w:rsid w:val="004E0F7A"/>
    <w:rsid w:val="004E4DFA"/>
    <w:rsid w:val="004E64CE"/>
    <w:rsid w:val="004E705B"/>
    <w:rsid w:val="004E7C62"/>
    <w:rsid w:val="004F2B38"/>
    <w:rsid w:val="005023BB"/>
    <w:rsid w:val="00505644"/>
    <w:rsid w:val="00507674"/>
    <w:rsid w:val="00524EF2"/>
    <w:rsid w:val="00530040"/>
    <w:rsid w:val="00544359"/>
    <w:rsid w:val="00546A5C"/>
    <w:rsid w:val="0055326D"/>
    <w:rsid w:val="005719D6"/>
    <w:rsid w:val="00584825"/>
    <w:rsid w:val="005B176D"/>
    <w:rsid w:val="005B3023"/>
    <w:rsid w:val="005B5283"/>
    <w:rsid w:val="005C56BF"/>
    <w:rsid w:val="005C793F"/>
    <w:rsid w:val="005E1004"/>
    <w:rsid w:val="005F0286"/>
    <w:rsid w:val="00616300"/>
    <w:rsid w:val="006300C6"/>
    <w:rsid w:val="00633F9D"/>
    <w:rsid w:val="0063518D"/>
    <w:rsid w:val="00643739"/>
    <w:rsid w:val="0067274B"/>
    <w:rsid w:val="0067492C"/>
    <w:rsid w:val="006755E7"/>
    <w:rsid w:val="006801B7"/>
    <w:rsid w:val="0068192F"/>
    <w:rsid w:val="00692BC3"/>
    <w:rsid w:val="00694396"/>
    <w:rsid w:val="00694A04"/>
    <w:rsid w:val="006A2C28"/>
    <w:rsid w:val="006B028A"/>
    <w:rsid w:val="006B33C5"/>
    <w:rsid w:val="006D5F9E"/>
    <w:rsid w:val="006D60FD"/>
    <w:rsid w:val="006E7ECC"/>
    <w:rsid w:val="006F7980"/>
    <w:rsid w:val="007105AE"/>
    <w:rsid w:val="007350A3"/>
    <w:rsid w:val="007424E0"/>
    <w:rsid w:val="007561CC"/>
    <w:rsid w:val="00762F59"/>
    <w:rsid w:val="00773DAB"/>
    <w:rsid w:val="00790AD3"/>
    <w:rsid w:val="007A2B63"/>
    <w:rsid w:val="007C37D2"/>
    <w:rsid w:val="007E4F73"/>
    <w:rsid w:val="00803D8C"/>
    <w:rsid w:val="00805135"/>
    <w:rsid w:val="00806A90"/>
    <w:rsid w:val="008166EE"/>
    <w:rsid w:val="00837D94"/>
    <w:rsid w:val="008443CE"/>
    <w:rsid w:val="008B211D"/>
    <w:rsid w:val="008D115A"/>
    <w:rsid w:val="008E6192"/>
    <w:rsid w:val="00916816"/>
    <w:rsid w:val="00923C66"/>
    <w:rsid w:val="0094017D"/>
    <w:rsid w:val="00945580"/>
    <w:rsid w:val="00956962"/>
    <w:rsid w:val="00956CE8"/>
    <w:rsid w:val="00957DF9"/>
    <w:rsid w:val="00963AAA"/>
    <w:rsid w:val="00980920"/>
    <w:rsid w:val="00982D34"/>
    <w:rsid w:val="00992C4A"/>
    <w:rsid w:val="0099540C"/>
    <w:rsid w:val="009954D0"/>
    <w:rsid w:val="009C0908"/>
    <w:rsid w:val="009C3A77"/>
    <w:rsid w:val="009C56E7"/>
    <w:rsid w:val="009D2405"/>
    <w:rsid w:val="009D76EA"/>
    <w:rsid w:val="009E1C28"/>
    <w:rsid w:val="009E584B"/>
    <w:rsid w:val="009F24C1"/>
    <w:rsid w:val="009F7F5D"/>
    <w:rsid w:val="00A05407"/>
    <w:rsid w:val="00A34C52"/>
    <w:rsid w:val="00A94628"/>
    <w:rsid w:val="00A968A3"/>
    <w:rsid w:val="00AA186C"/>
    <w:rsid w:val="00AE3A66"/>
    <w:rsid w:val="00AE3FEB"/>
    <w:rsid w:val="00AE5D04"/>
    <w:rsid w:val="00B119BB"/>
    <w:rsid w:val="00B13ED7"/>
    <w:rsid w:val="00B4388B"/>
    <w:rsid w:val="00B53503"/>
    <w:rsid w:val="00B60EC6"/>
    <w:rsid w:val="00B64902"/>
    <w:rsid w:val="00B9118B"/>
    <w:rsid w:val="00B92773"/>
    <w:rsid w:val="00B96470"/>
    <w:rsid w:val="00BE3918"/>
    <w:rsid w:val="00BF0541"/>
    <w:rsid w:val="00BF1F06"/>
    <w:rsid w:val="00C37093"/>
    <w:rsid w:val="00C46DFE"/>
    <w:rsid w:val="00C54335"/>
    <w:rsid w:val="00C85E14"/>
    <w:rsid w:val="00C94250"/>
    <w:rsid w:val="00CA589C"/>
    <w:rsid w:val="00CD3870"/>
    <w:rsid w:val="00CD7136"/>
    <w:rsid w:val="00D12BC0"/>
    <w:rsid w:val="00D13FDB"/>
    <w:rsid w:val="00D20BAC"/>
    <w:rsid w:val="00D21A25"/>
    <w:rsid w:val="00D24B75"/>
    <w:rsid w:val="00D35C7C"/>
    <w:rsid w:val="00D40871"/>
    <w:rsid w:val="00D56444"/>
    <w:rsid w:val="00D61416"/>
    <w:rsid w:val="00D632ED"/>
    <w:rsid w:val="00D66FBD"/>
    <w:rsid w:val="00D7014E"/>
    <w:rsid w:val="00D70A46"/>
    <w:rsid w:val="00DA1A8A"/>
    <w:rsid w:val="00DB4A72"/>
    <w:rsid w:val="00DB7D8C"/>
    <w:rsid w:val="00DC3B03"/>
    <w:rsid w:val="00E04C7C"/>
    <w:rsid w:val="00E20320"/>
    <w:rsid w:val="00E205D6"/>
    <w:rsid w:val="00E244DE"/>
    <w:rsid w:val="00E36AD1"/>
    <w:rsid w:val="00E526BE"/>
    <w:rsid w:val="00E541F2"/>
    <w:rsid w:val="00E60A5E"/>
    <w:rsid w:val="00E65468"/>
    <w:rsid w:val="00E7799C"/>
    <w:rsid w:val="00E91D51"/>
    <w:rsid w:val="00EA2CE2"/>
    <w:rsid w:val="00EA5813"/>
    <w:rsid w:val="00EB2AC4"/>
    <w:rsid w:val="00EC747A"/>
    <w:rsid w:val="00ED01AF"/>
    <w:rsid w:val="00ED1D83"/>
    <w:rsid w:val="00ED407A"/>
    <w:rsid w:val="00ED40CB"/>
    <w:rsid w:val="00EF7927"/>
    <w:rsid w:val="00F153A6"/>
    <w:rsid w:val="00F26106"/>
    <w:rsid w:val="00F4174D"/>
    <w:rsid w:val="00F57683"/>
    <w:rsid w:val="00F62B05"/>
    <w:rsid w:val="00F648DC"/>
    <w:rsid w:val="00F801B3"/>
    <w:rsid w:val="00F97746"/>
    <w:rsid w:val="00FD1C47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00C6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3A095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1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12BC0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2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2B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2BC0"/>
    <w:rPr>
      <w:rFonts w:ascii="Calibri" w:eastAsia="Times New Roman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1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2BC0"/>
    <w:rPr>
      <w:rFonts w:ascii="Calibri" w:eastAsia="Times New Roman" w:hAnsi="Calibri" w:cs="Times New Roman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D12B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920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F79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79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792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3A095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5719D6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6300C6"/>
    <w:rPr>
      <w:rFonts w:ascii="Calibri" w:eastAsia="Times New Roman" w:hAnsi="Calibri" w:cs="Times New Roma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1A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semiHidden/>
    <w:unhideWhenUsed/>
    <w:rsid w:val="006801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00C6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3A095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1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12BC0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2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2B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2BC0"/>
    <w:rPr>
      <w:rFonts w:ascii="Calibri" w:eastAsia="Times New Roman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1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2BC0"/>
    <w:rPr>
      <w:rFonts w:ascii="Calibri" w:eastAsia="Times New Roman" w:hAnsi="Calibri" w:cs="Times New Roman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D12B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920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F79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79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792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3A095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5719D6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6300C6"/>
    <w:rPr>
      <w:rFonts w:ascii="Calibri" w:eastAsia="Times New Roman" w:hAnsi="Calibri" w:cs="Times New Roma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1A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semiHidden/>
    <w:unhideWhenUsed/>
    <w:rsid w:val="00680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ADD4-7FFB-4EFA-BBCA-0105043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 František Jozef</dc:creator>
  <cp:lastModifiedBy>Cebulakova Monika</cp:lastModifiedBy>
  <cp:revision>2</cp:revision>
  <cp:lastPrinted>2020-08-21T07:48:00Z</cp:lastPrinted>
  <dcterms:created xsi:type="dcterms:W3CDTF">2020-10-01T07:49:00Z</dcterms:created>
  <dcterms:modified xsi:type="dcterms:W3CDTF">2020-10-01T07:49:00Z</dcterms:modified>
</cp:coreProperties>
</file>