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2DFA" w:rsidRPr="00864DE4" w14:paraId="08B2F2B4" w14:textId="77777777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14:paraId="116ADB7B" w14:textId="77777777" w:rsidR="009F2DFA" w:rsidRPr="00864DE4" w:rsidRDefault="008A1252" w:rsidP="007B71A4">
            <w:pPr>
              <w:jc w:val="center"/>
              <w:rPr>
                <w:b/>
                <w:sz w:val="24"/>
              </w:rPr>
            </w:pPr>
            <w:r w:rsidRPr="00864DE4">
              <w:rPr>
                <w:b/>
                <w:sz w:val="28"/>
              </w:rPr>
              <w:t>Analýza v</w:t>
            </w:r>
            <w:r w:rsidR="009F2DFA" w:rsidRPr="00864DE4">
              <w:rPr>
                <w:b/>
                <w:sz w:val="28"/>
              </w:rPr>
              <w:t>plyv</w:t>
            </w:r>
            <w:r w:rsidRPr="00864DE4">
              <w:rPr>
                <w:b/>
                <w:sz w:val="28"/>
              </w:rPr>
              <w:t>ov</w:t>
            </w:r>
            <w:r w:rsidR="009F2DFA" w:rsidRPr="00864DE4">
              <w:rPr>
                <w:b/>
                <w:sz w:val="28"/>
              </w:rPr>
              <w:t xml:space="preserve"> na podnikateľské prostredie </w:t>
            </w:r>
          </w:p>
          <w:p w14:paraId="4B72A864" w14:textId="77777777" w:rsidR="009F2DFA" w:rsidRPr="00864DE4" w:rsidRDefault="009F2DFA" w:rsidP="00780BA6">
            <w:pPr>
              <w:jc w:val="center"/>
              <w:rPr>
                <w:b/>
              </w:rPr>
            </w:pPr>
            <w:r w:rsidRPr="00864DE4">
              <w:rPr>
                <w:b/>
                <w:sz w:val="24"/>
              </w:rPr>
              <w:t xml:space="preserve">(vrátane </w:t>
            </w:r>
            <w:r w:rsidR="00780BA6" w:rsidRPr="00864DE4">
              <w:rPr>
                <w:b/>
                <w:sz w:val="24"/>
              </w:rPr>
              <w:t xml:space="preserve">testu </w:t>
            </w:r>
            <w:r w:rsidRPr="00864DE4">
              <w:rPr>
                <w:b/>
                <w:sz w:val="24"/>
              </w:rPr>
              <w:t>MSP)</w:t>
            </w:r>
          </w:p>
        </w:tc>
      </w:tr>
      <w:tr w:rsidR="009F2DFA" w:rsidRPr="00864DE4" w14:paraId="58BD11AD" w14:textId="77777777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14:paraId="541585DB" w14:textId="77777777" w:rsidR="009F2DFA" w:rsidRPr="00864DE4" w:rsidRDefault="009F2DFA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9F2DFA" w:rsidRPr="00864DE4" w14:paraId="3279B633" w14:textId="77777777" w:rsidTr="007B71A4">
        <w:trPr>
          <w:trHeight w:val="567"/>
        </w:trPr>
        <w:tc>
          <w:tcPr>
            <w:tcW w:w="9212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F2DFA" w:rsidRPr="00864DE4" w14:paraId="2FC8D32E" w14:textId="77777777" w:rsidTr="007B71A4"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C01FF" w14:textId="77777777" w:rsidR="009F2DFA" w:rsidRPr="00864DE4" w:rsidRDefault="009F2DFA" w:rsidP="007B71A4">
                  <w:pPr>
                    <w:jc w:val="center"/>
                  </w:pPr>
                  <w:r w:rsidRPr="00864DE4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57FE9" w14:textId="77777777" w:rsidR="009F2DFA" w:rsidRPr="00864DE4" w:rsidRDefault="009F2DFA" w:rsidP="007B71A4">
                  <w:pPr>
                    <w:rPr>
                      <w:b/>
                    </w:rPr>
                  </w:pPr>
                  <w:r w:rsidRPr="00864DE4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9F2DFA" w:rsidRPr="00864DE4" w14:paraId="575DBA12" w14:textId="77777777" w:rsidTr="007B71A4"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5A54C4" w14:textId="77777777" w:rsidR="009F2DFA" w:rsidRPr="00864DE4" w:rsidRDefault="009F2DFA" w:rsidP="007B71A4">
                  <w:pPr>
                    <w:jc w:val="center"/>
                  </w:pPr>
                  <w:r w:rsidRPr="00864DE4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72C0DE" w14:textId="77777777" w:rsidR="009F2DFA" w:rsidRPr="00864DE4" w:rsidRDefault="009F2DFA" w:rsidP="007B71A4">
                  <w:pPr>
                    <w:rPr>
                      <w:b/>
                    </w:rPr>
                  </w:pPr>
                  <w:r w:rsidRPr="00864DE4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9F2DFA" w:rsidRPr="00864DE4" w14:paraId="5AFAF97F" w14:textId="77777777" w:rsidTr="007B71A4"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B831EF" w14:textId="77777777" w:rsidR="009F2DFA" w:rsidRPr="00864DE4" w:rsidRDefault="00AC14B6" w:rsidP="007B71A4">
                  <w:pPr>
                    <w:jc w:val="center"/>
                  </w:pPr>
                  <w:r w:rsidRPr="00864DE4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607F28" w14:textId="77777777" w:rsidR="009F2DFA" w:rsidRPr="00864DE4" w:rsidRDefault="009F2DFA" w:rsidP="007B71A4">
                  <w:r w:rsidRPr="00864DE4">
                    <w:rPr>
                      <w:b/>
                    </w:rPr>
                    <w:t>na všetky kategórie podnikov</w:t>
                  </w:r>
                </w:p>
              </w:tc>
            </w:tr>
          </w:tbl>
          <w:p w14:paraId="6942606A" w14:textId="77777777" w:rsidR="009F2DFA" w:rsidRPr="00864DE4" w:rsidRDefault="009F2DFA" w:rsidP="007B71A4">
            <w:pPr>
              <w:rPr>
                <w:b/>
              </w:rPr>
            </w:pPr>
          </w:p>
        </w:tc>
      </w:tr>
      <w:tr w:rsidR="009F2DFA" w:rsidRPr="00864DE4" w14:paraId="4FE5E74B" w14:textId="77777777" w:rsidTr="007B71A4">
        <w:tc>
          <w:tcPr>
            <w:tcW w:w="9212" w:type="dxa"/>
            <w:shd w:val="clear" w:color="auto" w:fill="D9D9D9" w:themeFill="background1" w:themeFillShade="D9"/>
          </w:tcPr>
          <w:p w14:paraId="024F8764" w14:textId="77777777" w:rsidR="009F2DFA" w:rsidRPr="00864DE4" w:rsidRDefault="002B1108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3</w:t>
            </w:r>
            <w:r w:rsidR="009F2DFA" w:rsidRPr="00864DE4">
              <w:rPr>
                <w:b/>
                <w:sz w:val="24"/>
              </w:rPr>
              <w:t>.1 Dotknuté podnikateľské subjekty</w:t>
            </w:r>
          </w:p>
          <w:p w14:paraId="4009B808" w14:textId="77777777" w:rsidR="009F2DFA" w:rsidRPr="00864DE4" w:rsidRDefault="009F2DFA" w:rsidP="007B71A4">
            <w:pPr>
              <w:ind w:left="284"/>
              <w:rPr>
                <w:b/>
              </w:rPr>
            </w:pPr>
            <w:r w:rsidRPr="00864DE4">
              <w:rPr>
                <w:sz w:val="24"/>
              </w:rPr>
              <w:t xml:space="preserve"> - </w:t>
            </w:r>
            <w:r w:rsidRPr="00864DE4">
              <w:rPr>
                <w:b/>
                <w:sz w:val="24"/>
              </w:rPr>
              <w:t>z toho MSP</w:t>
            </w:r>
          </w:p>
        </w:tc>
      </w:tr>
      <w:tr w:rsidR="009F2DFA" w:rsidRPr="00864DE4" w14:paraId="2C608EA9" w14:textId="77777777" w:rsidTr="007B71A4">
        <w:tc>
          <w:tcPr>
            <w:tcW w:w="9212" w:type="dxa"/>
          </w:tcPr>
          <w:p w14:paraId="41E717AA" w14:textId="77777777"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Uveďte, aké podnikateľské subjekty budú predkladaným návrhom ovplyvnené.</w:t>
            </w:r>
          </w:p>
          <w:p w14:paraId="5983B26B" w14:textId="77777777"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Aký je ich počet?</w:t>
            </w:r>
          </w:p>
        </w:tc>
      </w:tr>
      <w:tr w:rsidR="009F2DFA" w:rsidRPr="00864DE4" w14:paraId="0E2AAD24" w14:textId="77777777" w:rsidTr="007B71A4">
        <w:trPr>
          <w:trHeight w:val="1440"/>
        </w:trPr>
        <w:tc>
          <w:tcPr>
            <w:tcW w:w="9212" w:type="dxa"/>
          </w:tcPr>
          <w:p w14:paraId="0F4DB06E" w14:textId="77777777" w:rsidR="00733646" w:rsidRDefault="00733646" w:rsidP="00AB6D14">
            <w:pPr>
              <w:jc w:val="both"/>
              <w:rPr>
                <w:i/>
              </w:rPr>
            </w:pPr>
          </w:p>
          <w:p w14:paraId="61DA48E0" w14:textId="0DC43790" w:rsidR="008277E0" w:rsidRPr="00D571E1" w:rsidRDefault="00DB29F2" w:rsidP="00DB29F2">
            <w:pPr>
              <w:jc w:val="both"/>
            </w:pPr>
            <w:r>
              <w:t>Vládnym n</w:t>
            </w:r>
            <w:bookmarkStart w:id="0" w:name="_GoBack"/>
            <w:bookmarkEnd w:id="0"/>
            <w:r w:rsidR="00393AB7">
              <w:t xml:space="preserve">ávrhom zákona, </w:t>
            </w:r>
            <w:r w:rsidR="00393AB7" w:rsidRPr="007F1FAD">
              <w:t>ktorým sa mení a dopĺňa zákon č. 461/2003 Z. z. o sociálnom poistení v znení neskorších predpisov</w:t>
            </w:r>
            <w:r w:rsidR="00393AB7">
              <w:t>,</w:t>
            </w:r>
            <w:r w:rsidR="00D571E1" w:rsidRPr="00D571E1">
              <w:t xml:space="preserve"> sa okrem iného navrhuje </w:t>
            </w:r>
            <w:r w:rsidR="00D571E1">
              <w:t xml:space="preserve">zrušenie </w:t>
            </w:r>
            <w:r w:rsidR="00D571E1" w:rsidRPr="00D571E1">
              <w:t>výnimky pre nezapočítavanie  13. a 14. platu do vymeriavacieho základu z ktorého sa platí poistné na sociálne poistenie, t. j. zrušenie vyplácania 13. a 14. platu oslobodeného od sociálnych odvodov podľa súčasného právneho stavu.</w:t>
            </w:r>
            <w:r w:rsidR="00D571E1">
              <w:t xml:space="preserve"> Uvedená právna úprava má negatívny vplyv na podnikateľské subjekty (zamestnávateľov), ktorých zamestnanci mohli mať oslobodený 13. resp. 14. plat od poistného na sociálne poistenie v zmysle súčasnej legislatívy. </w:t>
            </w:r>
            <w:r w:rsidR="00AA0146" w:rsidRPr="00B7181B">
              <w:t>P</w:t>
            </w:r>
            <w:r w:rsidR="00EC6AF6" w:rsidRPr="00B7181B">
              <w:t xml:space="preserve">očet dotknutých zamestnávateľov </w:t>
            </w:r>
            <w:r w:rsidR="00AA0146" w:rsidRPr="00B7181B">
              <w:t xml:space="preserve">sa odhaduje na </w:t>
            </w:r>
            <w:r w:rsidR="00C66A1C">
              <w:t>úrovni cca 20 tis. subjektov</w:t>
            </w:r>
            <w:r w:rsidR="002839FD">
              <w:t>.</w:t>
            </w:r>
            <w:r w:rsidR="0082316D">
              <w:t xml:space="preserve"> </w:t>
            </w:r>
          </w:p>
        </w:tc>
      </w:tr>
      <w:tr w:rsidR="009F2DFA" w:rsidRPr="00864DE4" w14:paraId="3F7E79D5" w14:textId="77777777" w:rsidTr="007B71A4">
        <w:trPr>
          <w:trHeight w:val="339"/>
        </w:trPr>
        <w:tc>
          <w:tcPr>
            <w:tcW w:w="9212" w:type="dxa"/>
            <w:shd w:val="clear" w:color="auto" w:fill="D9D9D9" w:themeFill="background1" w:themeFillShade="D9"/>
          </w:tcPr>
          <w:p w14:paraId="164109E9" w14:textId="77777777" w:rsidR="009F2DFA" w:rsidRPr="00864DE4" w:rsidRDefault="002B1108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3</w:t>
            </w:r>
            <w:r w:rsidR="009F2DFA" w:rsidRPr="00864DE4">
              <w:rPr>
                <w:b/>
                <w:sz w:val="24"/>
              </w:rPr>
              <w:t>.2 Vyhodnotenie konzultácií</w:t>
            </w:r>
          </w:p>
          <w:p w14:paraId="5825DC3A" w14:textId="77777777" w:rsidR="009F2DFA" w:rsidRPr="00864DE4" w:rsidRDefault="009F2DFA" w:rsidP="007B71A4">
            <w:pPr>
              <w:rPr>
                <w:b/>
              </w:rPr>
            </w:pPr>
            <w:r w:rsidRPr="00864DE4">
              <w:rPr>
                <w:sz w:val="24"/>
              </w:rPr>
              <w:t xml:space="preserve">       - </w:t>
            </w:r>
            <w:r w:rsidRPr="00864DE4">
              <w:rPr>
                <w:b/>
                <w:sz w:val="24"/>
              </w:rPr>
              <w:t>z toho MSP</w:t>
            </w:r>
          </w:p>
        </w:tc>
      </w:tr>
      <w:tr w:rsidR="009F2DFA" w:rsidRPr="00864DE4" w14:paraId="048BF151" w14:textId="77777777" w:rsidTr="007B71A4">
        <w:trPr>
          <w:trHeight w:val="557"/>
        </w:trPr>
        <w:tc>
          <w:tcPr>
            <w:tcW w:w="9212" w:type="dxa"/>
          </w:tcPr>
          <w:p w14:paraId="7214B545" w14:textId="77777777"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Uveďte, akou formou (verejné alebo cielené konzultácie a prečo) a s kým bol návrh konzultovaný.</w:t>
            </w:r>
          </w:p>
          <w:p w14:paraId="1F7B108E" w14:textId="77777777"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Ako dlho trvali konzultácie?</w:t>
            </w:r>
          </w:p>
          <w:p w14:paraId="4F36CE0F" w14:textId="77777777"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 xml:space="preserve">Uveďte hlavné body konzultácií a výsledky konzultácií. </w:t>
            </w:r>
          </w:p>
        </w:tc>
      </w:tr>
      <w:tr w:rsidR="009F2DFA" w:rsidRPr="00864DE4" w14:paraId="53003B06" w14:textId="77777777" w:rsidTr="007B71A4">
        <w:trPr>
          <w:trHeight w:val="1440"/>
        </w:trPr>
        <w:tc>
          <w:tcPr>
            <w:tcW w:w="9212" w:type="dxa"/>
          </w:tcPr>
          <w:p w14:paraId="07B55811" w14:textId="62897860" w:rsidR="004B6339" w:rsidRPr="00864DE4" w:rsidRDefault="008F41F4" w:rsidP="008F41F4">
            <w:pPr>
              <w:jc w:val="both"/>
              <w:rPr>
                <w:color w:val="000000"/>
              </w:rPr>
            </w:pPr>
            <w:r w:rsidRPr="00864DE4">
              <w:t xml:space="preserve"> </w:t>
            </w:r>
            <w:r w:rsidR="006E7457">
              <w:t>Bez konzultácií.</w:t>
            </w:r>
          </w:p>
        </w:tc>
      </w:tr>
      <w:tr w:rsidR="009F2DFA" w:rsidRPr="00864DE4" w14:paraId="67B7E2FC" w14:textId="77777777" w:rsidTr="007B71A4">
        <w:tc>
          <w:tcPr>
            <w:tcW w:w="9212" w:type="dxa"/>
            <w:shd w:val="clear" w:color="auto" w:fill="D9D9D9" w:themeFill="background1" w:themeFillShade="D9"/>
          </w:tcPr>
          <w:p w14:paraId="4AE52D85" w14:textId="77777777" w:rsidR="009F2DFA" w:rsidRPr="00864DE4" w:rsidRDefault="002B1108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3</w:t>
            </w:r>
            <w:r w:rsidR="009F2DFA" w:rsidRPr="00864DE4">
              <w:rPr>
                <w:b/>
                <w:sz w:val="24"/>
              </w:rPr>
              <w:t>.3 Náklady regulácie</w:t>
            </w:r>
          </w:p>
          <w:p w14:paraId="55102713" w14:textId="77777777" w:rsidR="009F2DFA" w:rsidRPr="00864DE4" w:rsidRDefault="009F2DFA" w:rsidP="007B71A4">
            <w:pPr>
              <w:rPr>
                <w:b/>
              </w:rPr>
            </w:pPr>
            <w:r w:rsidRPr="00864DE4">
              <w:rPr>
                <w:sz w:val="24"/>
              </w:rPr>
              <w:t xml:space="preserve">      - </w:t>
            </w:r>
            <w:r w:rsidRPr="00864DE4">
              <w:rPr>
                <w:b/>
                <w:sz w:val="24"/>
              </w:rPr>
              <w:t>z toho MSP</w:t>
            </w:r>
          </w:p>
        </w:tc>
      </w:tr>
      <w:tr w:rsidR="009F2DFA" w:rsidRPr="00864DE4" w14:paraId="1478EE82" w14:textId="77777777" w:rsidTr="007B71A4">
        <w:tc>
          <w:tcPr>
            <w:tcW w:w="9212" w:type="dxa"/>
          </w:tcPr>
          <w:p w14:paraId="148BCAA5" w14:textId="77777777" w:rsidR="009F2DFA" w:rsidRPr="00864DE4" w:rsidRDefault="002B1108" w:rsidP="007B71A4">
            <w:pPr>
              <w:rPr>
                <w:b/>
                <w:i/>
              </w:rPr>
            </w:pPr>
            <w:r w:rsidRPr="00864DE4">
              <w:rPr>
                <w:b/>
                <w:i/>
              </w:rPr>
              <w:t>3</w:t>
            </w:r>
            <w:r w:rsidR="009F2DFA" w:rsidRPr="00864DE4">
              <w:rPr>
                <w:b/>
                <w:i/>
              </w:rPr>
              <w:t>.3.1 Priame finančné náklady</w:t>
            </w:r>
          </w:p>
          <w:p w14:paraId="51E9E166" w14:textId="77777777"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9F2DFA" w:rsidRPr="00864DE4" w14:paraId="2A86115B" w14:textId="77777777" w:rsidTr="007B71A4">
        <w:tc>
          <w:tcPr>
            <w:tcW w:w="9212" w:type="dxa"/>
          </w:tcPr>
          <w:p w14:paraId="1F486C23" w14:textId="06D3B626" w:rsidR="00D571E1" w:rsidRPr="00864DE4" w:rsidRDefault="00D571E1" w:rsidP="00D571E1">
            <w:pPr>
              <w:jc w:val="both"/>
            </w:pPr>
            <w:r w:rsidRPr="00864DE4">
              <w:t>Očakáva sa, že</w:t>
            </w:r>
            <w:r>
              <w:t xml:space="preserve"> </w:t>
            </w:r>
            <w:r w:rsidR="00C66A1C">
              <w:t xml:space="preserve">vplyvom vyššieho zaplateného poistného na sociálne poistenie dôjde k zvýšeniu </w:t>
            </w:r>
            <w:r>
              <w:t xml:space="preserve">priamych nákladov </w:t>
            </w:r>
            <w:r w:rsidR="00C66A1C">
              <w:t>dotknutej skupiny zamestnávateľov v roku 2021</w:t>
            </w:r>
            <w:r>
              <w:t xml:space="preserve"> o cca </w:t>
            </w:r>
            <w:r w:rsidR="00C66A1C">
              <w:t>21,8</w:t>
            </w:r>
            <w:r>
              <w:t xml:space="preserve"> mil. eur</w:t>
            </w:r>
            <w:r w:rsidR="00AB4AFF">
              <w:t>;</w:t>
            </w:r>
            <w:r w:rsidR="00C66A1C">
              <w:t xml:space="preserve"> v roku 2022 o cca 19,0 mil. eur a v roku 2023 o cca 18,9 mil. eur.</w:t>
            </w:r>
            <w:r w:rsidRPr="00864DE4">
              <w:t xml:space="preserve"> </w:t>
            </w:r>
          </w:p>
          <w:p w14:paraId="7E62ACA4" w14:textId="694D530F" w:rsidR="00D5017C" w:rsidRPr="004A7625" w:rsidRDefault="00D5017C" w:rsidP="005F65A0">
            <w:pPr>
              <w:jc w:val="both"/>
            </w:pPr>
          </w:p>
        </w:tc>
      </w:tr>
      <w:tr w:rsidR="009F2DFA" w:rsidRPr="00864DE4" w14:paraId="0E3A5EEB" w14:textId="77777777" w:rsidTr="007B71A4">
        <w:tc>
          <w:tcPr>
            <w:tcW w:w="9212" w:type="dxa"/>
          </w:tcPr>
          <w:p w14:paraId="74549A9C" w14:textId="77777777" w:rsidR="009F2DFA" w:rsidRPr="00864DE4" w:rsidRDefault="002B1108" w:rsidP="007B71A4">
            <w:pPr>
              <w:rPr>
                <w:b/>
                <w:i/>
              </w:rPr>
            </w:pPr>
            <w:r w:rsidRPr="00864DE4">
              <w:rPr>
                <w:b/>
                <w:i/>
              </w:rPr>
              <w:t>3</w:t>
            </w:r>
            <w:r w:rsidR="009F2DFA" w:rsidRPr="00864DE4">
              <w:rPr>
                <w:b/>
                <w:i/>
              </w:rPr>
              <w:t>.3.2 Nepriame finančné náklady</w:t>
            </w:r>
          </w:p>
          <w:p w14:paraId="6CBC489B" w14:textId="77777777" w:rsidR="009F2DFA" w:rsidRPr="00864DE4" w:rsidRDefault="009F2DFA" w:rsidP="00B31A8E">
            <w:pPr>
              <w:rPr>
                <w:i/>
              </w:rPr>
            </w:pPr>
            <w:r w:rsidRPr="00864DE4">
              <w:rPr>
                <w:i/>
              </w:rPr>
              <w:t xml:space="preserve">Vyžaduje si predkladaný návrh dodatočné náklady na nákup tovarov alebo služieb? </w:t>
            </w:r>
            <w:r w:rsidR="00B31A8E" w:rsidRPr="00864DE4">
              <w:rPr>
                <w:i/>
              </w:rPr>
              <w:t xml:space="preserve">Zvyšuje predkladaný návrh náklady súvisiace so zamestnávaním? </w:t>
            </w:r>
            <w:r w:rsidRPr="00864DE4">
              <w:rPr>
                <w:i/>
              </w:rPr>
              <w:t>Ak áno, popíšte a vyčíslite ich. Uveďte tiež spôsob ich výpočtu.</w:t>
            </w:r>
          </w:p>
        </w:tc>
      </w:tr>
      <w:tr w:rsidR="009F2DFA" w:rsidRPr="00864DE4" w14:paraId="7DF2A1D8" w14:textId="77777777" w:rsidTr="007B71A4">
        <w:tc>
          <w:tcPr>
            <w:tcW w:w="9212" w:type="dxa"/>
          </w:tcPr>
          <w:p w14:paraId="7058138B" w14:textId="77777777" w:rsidR="009F2DFA" w:rsidRPr="001F0CFE" w:rsidRDefault="00F77CC0" w:rsidP="00F77CC0">
            <w:pPr>
              <w:jc w:val="both"/>
            </w:pPr>
            <w:r w:rsidRPr="001F0CFE">
              <w:t xml:space="preserve">Bez vplyvu. </w:t>
            </w:r>
          </w:p>
        </w:tc>
      </w:tr>
      <w:tr w:rsidR="009F2DFA" w:rsidRPr="00864DE4" w14:paraId="71CF5BCB" w14:textId="77777777" w:rsidTr="007B71A4">
        <w:tc>
          <w:tcPr>
            <w:tcW w:w="9212" w:type="dxa"/>
          </w:tcPr>
          <w:p w14:paraId="6037E077" w14:textId="77777777" w:rsidR="009F2DFA" w:rsidRPr="00864DE4" w:rsidRDefault="002B1108" w:rsidP="007B71A4">
            <w:pPr>
              <w:rPr>
                <w:b/>
                <w:i/>
              </w:rPr>
            </w:pPr>
            <w:r w:rsidRPr="00864DE4">
              <w:rPr>
                <w:b/>
                <w:i/>
              </w:rPr>
              <w:t>3</w:t>
            </w:r>
            <w:r w:rsidR="009F2DFA" w:rsidRPr="00864DE4">
              <w:rPr>
                <w:b/>
                <w:i/>
              </w:rPr>
              <w:t>.3.3 Administratívne náklady</w:t>
            </w:r>
          </w:p>
          <w:p w14:paraId="5AAB1EF4" w14:textId="77777777" w:rsidR="009F2DFA" w:rsidRPr="00864DE4" w:rsidRDefault="009F2DFA" w:rsidP="00C93673">
            <w:pPr>
              <w:jc w:val="both"/>
              <w:rPr>
                <w:i/>
              </w:rPr>
            </w:pPr>
            <w:r w:rsidRPr="00864DE4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9F2DFA" w:rsidRPr="00864DE4" w14:paraId="3E530203" w14:textId="77777777" w:rsidTr="007B71A4">
        <w:tc>
          <w:tcPr>
            <w:tcW w:w="9212" w:type="dxa"/>
          </w:tcPr>
          <w:p w14:paraId="3B015CD4" w14:textId="77777777" w:rsidR="009F2DFA" w:rsidRPr="004A7625" w:rsidRDefault="00933CD6" w:rsidP="00A15AA2">
            <w:pPr>
              <w:jc w:val="both"/>
              <w:rPr>
                <w:b/>
                <w:i/>
              </w:rPr>
            </w:pPr>
            <w:r w:rsidRPr="004A7625">
              <w:t xml:space="preserve"> </w:t>
            </w:r>
            <w:r w:rsidR="00F77CC0" w:rsidRPr="004A7625">
              <w:t>Bez vplyvu.</w:t>
            </w:r>
          </w:p>
        </w:tc>
      </w:tr>
      <w:tr w:rsidR="009F2DFA" w:rsidRPr="00864DE4" w14:paraId="4F0872F6" w14:textId="77777777" w:rsidTr="007B71A4">
        <w:trPr>
          <w:trHeight w:val="2318"/>
        </w:trPr>
        <w:tc>
          <w:tcPr>
            <w:tcW w:w="9212" w:type="dxa"/>
          </w:tcPr>
          <w:p w14:paraId="1181147E" w14:textId="77777777" w:rsidR="00BC6A49" w:rsidRPr="00864DE4" w:rsidRDefault="002B1108" w:rsidP="007B71A4">
            <w:pPr>
              <w:rPr>
                <w:b/>
                <w:i/>
              </w:rPr>
            </w:pPr>
            <w:r w:rsidRPr="00864DE4">
              <w:rPr>
                <w:b/>
                <w:i/>
              </w:rPr>
              <w:lastRenderedPageBreak/>
              <w:t>3</w:t>
            </w:r>
            <w:r w:rsidR="009F2DFA" w:rsidRPr="00864DE4">
              <w:rPr>
                <w:b/>
                <w:i/>
              </w:rPr>
              <w:t>.3.4 Sú</w:t>
            </w:r>
            <w:r w:rsidR="007A3F7E" w:rsidRPr="00864DE4">
              <w:rPr>
                <w:b/>
                <w:i/>
              </w:rPr>
              <w:t>hrnná tabuľka nákladov reguláci</w:t>
            </w:r>
            <w:r w:rsidR="00AE5B5F" w:rsidRPr="00864DE4">
              <w:rPr>
                <w:b/>
                <w:i/>
              </w:rPr>
              <w:t>e</w:t>
            </w:r>
          </w:p>
          <w:p w14:paraId="668A8328" w14:textId="2C206353" w:rsidR="00D571E1" w:rsidRPr="00864DE4" w:rsidRDefault="00D571E1" w:rsidP="00D571E1">
            <w:pPr>
              <w:rPr>
                <w:b/>
                <w:i/>
              </w:rPr>
            </w:pPr>
            <w:r w:rsidRPr="00864DE4">
              <w:rPr>
                <w:b/>
                <w:i/>
              </w:rPr>
              <w:t>Rok 20</w:t>
            </w:r>
            <w:r>
              <w:rPr>
                <w:b/>
                <w:i/>
              </w:rPr>
              <w:t>21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D571E1" w:rsidRPr="00864DE4" w14:paraId="4379B7CB" w14:textId="77777777" w:rsidTr="00A06368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68FBD" w14:textId="77777777" w:rsidR="00D571E1" w:rsidRPr="00864DE4" w:rsidRDefault="00D571E1" w:rsidP="00D571E1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52951" w14:textId="77777777" w:rsidR="00D571E1" w:rsidRPr="00864DE4" w:rsidRDefault="00D571E1" w:rsidP="00D571E1">
                  <w:pPr>
                    <w:jc w:val="center"/>
                    <w:rPr>
                      <w:i/>
                    </w:rPr>
                  </w:pPr>
                  <w:r w:rsidRPr="00864DE4">
                    <w:rPr>
                      <w:i/>
                    </w:rPr>
                    <w:t>Priemerné 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ED262" w14:textId="77777777" w:rsidR="00D571E1" w:rsidRPr="00864DE4" w:rsidRDefault="00D571E1" w:rsidP="00D571E1">
                  <w:pPr>
                    <w:jc w:val="center"/>
                    <w:rPr>
                      <w:i/>
                    </w:rPr>
                  </w:pPr>
                  <w:r w:rsidRPr="00864DE4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D571E1" w:rsidRPr="00AB4094" w14:paraId="6BA5F5CA" w14:textId="77777777" w:rsidTr="00A06368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CB772" w14:textId="77777777" w:rsidR="00D571E1" w:rsidRPr="00437B21" w:rsidRDefault="00D571E1" w:rsidP="00D571E1">
                  <w:pPr>
                    <w:rPr>
                      <w:i/>
                    </w:rPr>
                  </w:pPr>
                  <w:r w:rsidRPr="00437B21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65BF1" w14:textId="51B5147B" w:rsidR="00D571E1" w:rsidRPr="00D75D01" w:rsidRDefault="00C66A1C" w:rsidP="00D571E1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+1091,07</w:t>
                  </w:r>
                  <w:r w:rsidR="00D571E1" w:rsidRPr="00D75D01">
                    <w:rPr>
                      <w:i/>
                    </w:rPr>
                    <w:t>*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209FD" w14:textId="1564A421" w:rsidR="00D571E1" w:rsidRPr="00D75D01" w:rsidRDefault="00C66A1C" w:rsidP="00D571E1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+21 821 306</w:t>
                  </w:r>
                </w:p>
              </w:tc>
            </w:tr>
            <w:tr w:rsidR="00D571E1" w:rsidRPr="00AB4094" w14:paraId="29B844FC" w14:textId="77777777" w:rsidTr="00A06368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34024" w14:textId="77777777" w:rsidR="00D571E1" w:rsidRPr="00AB4094" w:rsidRDefault="00D571E1" w:rsidP="00D571E1">
                  <w:pPr>
                    <w:rPr>
                      <w:i/>
                    </w:rPr>
                  </w:pPr>
                  <w:r w:rsidRPr="00AB4094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0855D" w14:textId="77777777" w:rsidR="00D571E1" w:rsidRPr="00AB4094" w:rsidRDefault="00D571E1" w:rsidP="00D571E1">
                  <w:pPr>
                    <w:jc w:val="center"/>
                    <w:rPr>
                      <w:i/>
                    </w:rPr>
                  </w:pPr>
                  <w:r w:rsidRPr="00AB4094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903EC" w14:textId="77777777" w:rsidR="00D571E1" w:rsidRPr="00AB4094" w:rsidRDefault="00D571E1" w:rsidP="00D571E1">
                  <w:pPr>
                    <w:jc w:val="center"/>
                    <w:rPr>
                      <w:i/>
                    </w:rPr>
                  </w:pPr>
                  <w:r w:rsidRPr="00AB4094">
                    <w:rPr>
                      <w:i/>
                    </w:rPr>
                    <w:t>0</w:t>
                  </w:r>
                </w:p>
              </w:tc>
            </w:tr>
            <w:tr w:rsidR="00D571E1" w:rsidRPr="00AB4094" w14:paraId="6ADDEA7A" w14:textId="77777777" w:rsidTr="00A06368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B3FA1" w14:textId="77777777" w:rsidR="00D571E1" w:rsidRPr="00AB4094" w:rsidRDefault="00D571E1" w:rsidP="00D571E1">
                  <w:pPr>
                    <w:rPr>
                      <w:i/>
                    </w:rPr>
                  </w:pPr>
                  <w:r w:rsidRPr="00AB4094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4D34A" w14:textId="77777777" w:rsidR="00D571E1" w:rsidRPr="00AB4094" w:rsidRDefault="00D571E1" w:rsidP="00D571E1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A8285" w14:textId="77777777" w:rsidR="00D571E1" w:rsidRPr="00AB4094" w:rsidRDefault="00D571E1" w:rsidP="00D571E1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</w:tr>
            <w:tr w:rsidR="00D571E1" w:rsidRPr="00AB4094" w14:paraId="79752488" w14:textId="77777777" w:rsidTr="00A06368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93312" w14:textId="77777777" w:rsidR="00D571E1" w:rsidRPr="00AB4094" w:rsidRDefault="00D571E1" w:rsidP="00D571E1">
                  <w:pPr>
                    <w:rPr>
                      <w:b/>
                      <w:i/>
                    </w:rPr>
                  </w:pPr>
                  <w:r w:rsidRPr="00AB4094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910FA" w14:textId="7B629381" w:rsidR="00D571E1" w:rsidRPr="00C66A1C" w:rsidRDefault="00C66A1C" w:rsidP="00D571E1">
                  <w:pPr>
                    <w:jc w:val="center"/>
                    <w:rPr>
                      <w:b/>
                      <w:i/>
                    </w:rPr>
                  </w:pPr>
                  <w:r w:rsidRPr="00C66A1C">
                    <w:rPr>
                      <w:b/>
                      <w:i/>
                    </w:rPr>
                    <w:t>+1091</w:t>
                  </w:r>
                  <w:r>
                    <w:rPr>
                      <w:b/>
                      <w:i/>
                    </w:rPr>
                    <w:t>,07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D460C" w14:textId="013619D3" w:rsidR="00D571E1" w:rsidRPr="00C66A1C" w:rsidRDefault="00C66A1C" w:rsidP="00D571E1">
                  <w:pPr>
                    <w:jc w:val="center"/>
                    <w:rPr>
                      <w:b/>
                      <w:i/>
                    </w:rPr>
                  </w:pPr>
                  <w:r w:rsidRPr="00C66A1C">
                    <w:rPr>
                      <w:b/>
                      <w:i/>
                    </w:rPr>
                    <w:t>+21 821 306</w:t>
                  </w:r>
                </w:p>
              </w:tc>
            </w:tr>
          </w:tbl>
          <w:p w14:paraId="1E075E15" w14:textId="16EC3B5E" w:rsidR="00D571E1" w:rsidRDefault="00D571E1" w:rsidP="00BF5DA5">
            <w:pPr>
              <w:jc w:val="both"/>
              <w:rPr>
                <w:b/>
                <w:i/>
              </w:rPr>
            </w:pPr>
            <w:r w:rsidRPr="00AB4094">
              <w:rPr>
                <w:i/>
                <w:sz w:val="18"/>
                <w:szCs w:val="18"/>
              </w:rPr>
              <w:t xml:space="preserve">* Udávané náklady na 1 zamestnávateľa sú priemerom jednotlivých vplyvov na jedného zamestnávateľa. Výpočet = náklady na celé podnikateľské prostredie / počet dotknutých zamestnávateľov = </w:t>
            </w:r>
            <w:r w:rsidR="00C66A1C">
              <w:rPr>
                <w:i/>
                <w:sz w:val="18"/>
                <w:szCs w:val="18"/>
              </w:rPr>
              <w:t>21 821 306 / 20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437B21">
              <w:rPr>
                <w:i/>
                <w:sz w:val="18"/>
                <w:szCs w:val="18"/>
              </w:rPr>
              <w:t>000</w:t>
            </w:r>
            <w:r w:rsidRPr="00FA7DCD">
              <w:rPr>
                <w:i/>
                <w:sz w:val="18"/>
                <w:szCs w:val="18"/>
              </w:rPr>
              <w:t xml:space="preserve"> = </w:t>
            </w:r>
            <w:r w:rsidR="00C66A1C">
              <w:rPr>
                <w:i/>
                <w:sz w:val="18"/>
                <w:szCs w:val="18"/>
              </w:rPr>
              <w:t>1091</w:t>
            </w:r>
            <w:r w:rsidR="006E7457">
              <w:rPr>
                <w:i/>
                <w:sz w:val="18"/>
                <w:szCs w:val="18"/>
              </w:rPr>
              <w:t>,07</w:t>
            </w:r>
            <w:r w:rsidRPr="00D75D01">
              <w:rPr>
                <w:i/>
                <w:sz w:val="18"/>
                <w:szCs w:val="18"/>
              </w:rPr>
              <w:t xml:space="preserve"> eur</w:t>
            </w:r>
            <w:r w:rsidR="00C66A1C">
              <w:rPr>
                <w:i/>
                <w:sz w:val="18"/>
                <w:szCs w:val="18"/>
              </w:rPr>
              <w:t>a</w:t>
            </w:r>
            <w:r w:rsidRPr="00D75D01">
              <w:rPr>
                <w:i/>
                <w:sz w:val="18"/>
                <w:szCs w:val="18"/>
              </w:rPr>
              <w:t>.</w:t>
            </w:r>
            <w:r w:rsidRPr="00A36C26">
              <w:rPr>
                <w:i/>
                <w:sz w:val="18"/>
                <w:szCs w:val="18"/>
              </w:rPr>
              <w:t xml:space="preserve">   </w:t>
            </w:r>
          </w:p>
          <w:p w14:paraId="1BB11C08" w14:textId="77777777" w:rsidR="00D571E1" w:rsidRDefault="00D571E1" w:rsidP="00D571E1">
            <w:pPr>
              <w:rPr>
                <w:b/>
                <w:i/>
              </w:rPr>
            </w:pPr>
          </w:p>
          <w:p w14:paraId="748D0E8F" w14:textId="1CE8C28A" w:rsidR="00D571E1" w:rsidRPr="00864DE4" w:rsidRDefault="00D571E1" w:rsidP="00D571E1">
            <w:pPr>
              <w:rPr>
                <w:b/>
                <w:i/>
              </w:rPr>
            </w:pPr>
            <w:r w:rsidRPr="00864DE4">
              <w:rPr>
                <w:b/>
                <w:i/>
              </w:rPr>
              <w:t>Rok 20</w:t>
            </w:r>
            <w:r>
              <w:rPr>
                <w:b/>
                <w:i/>
              </w:rPr>
              <w:t>22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D571E1" w:rsidRPr="00864DE4" w14:paraId="536140C7" w14:textId="77777777" w:rsidTr="00A06368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471DE" w14:textId="77777777" w:rsidR="00D571E1" w:rsidRPr="00864DE4" w:rsidRDefault="00D571E1" w:rsidP="00D571E1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13D79" w14:textId="77777777" w:rsidR="00D571E1" w:rsidRPr="00864DE4" w:rsidRDefault="00D571E1" w:rsidP="00D571E1">
                  <w:pPr>
                    <w:jc w:val="center"/>
                    <w:rPr>
                      <w:i/>
                    </w:rPr>
                  </w:pPr>
                  <w:r w:rsidRPr="00864DE4">
                    <w:rPr>
                      <w:i/>
                    </w:rPr>
                    <w:t>Priemerné 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00D0B" w14:textId="77777777" w:rsidR="00D571E1" w:rsidRPr="00864DE4" w:rsidRDefault="00D571E1" w:rsidP="00D571E1">
                  <w:pPr>
                    <w:jc w:val="center"/>
                    <w:rPr>
                      <w:i/>
                    </w:rPr>
                  </w:pPr>
                  <w:r w:rsidRPr="00864DE4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D571E1" w:rsidRPr="00AB4094" w14:paraId="24EAFC86" w14:textId="77777777" w:rsidTr="00A06368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EEDB4" w14:textId="77777777" w:rsidR="00D571E1" w:rsidRPr="00437B21" w:rsidRDefault="00D571E1" w:rsidP="00D571E1">
                  <w:pPr>
                    <w:rPr>
                      <w:i/>
                    </w:rPr>
                  </w:pPr>
                  <w:r w:rsidRPr="00437B21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2034F" w14:textId="7371C419" w:rsidR="00D571E1" w:rsidRPr="00D75D01" w:rsidRDefault="00C66A1C" w:rsidP="00D571E1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+951,52</w:t>
                  </w:r>
                  <w:r w:rsidR="00D571E1" w:rsidRPr="00D75D01">
                    <w:rPr>
                      <w:i/>
                    </w:rPr>
                    <w:t>*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5BD46" w14:textId="7BF5E5A7" w:rsidR="00D571E1" w:rsidRPr="00D75D01" w:rsidRDefault="00C66A1C" w:rsidP="00D571E1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+19 030 370</w:t>
                  </w:r>
                </w:p>
              </w:tc>
            </w:tr>
            <w:tr w:rsidR="00D571E1" w:rsidRPr="00AB4094" w14:paraId="29013995" w14:textId="77777777" w:rsidTr="00A06368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66F34" w14:textId="77777777" w:rsidR="00D571E1" w:rsidRPr="00AB4094" w:rsidRDefault="00D571E1" w:rsidP="00D571E1">
                  <w:pPr>
                    <w:rPr>
                      <w:i/>
                    </w:rPr>
                  </w:pPr>
                  <w:r w:rsidRPr="00AB4094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50584" w14:textId="77777777" w:rsidR="00D571E1" w:rsidRPr="00AB4094" w:rsidRDefault="00D571E1" w:rsidP="00D571E1">
                  <w:pPr>
                    <w:jc w:val="center"/>
                    <w:rPr>
                      <w:i/>
                    </w:rPr>
                  </w:pPr>
                  <w:r w:rsidRPr="00AB4094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17ACE" w14:textId="77777777" w:rsidR="00D571E1" w:rsidRPr="00AB4094" w:rsidRDefault="00D571E1" w:rsidP="00D571E1">
                  <w:pPr>
                    <w:jc w:val="center"/>
                    <w:rPr>
                      <w:i/>
                    </w:rPr>
                  </w:pPr>
                  <w:r w:rsidRPr="00AB4094">
                    <w:rPr>
                      <w:i/>
                    </w:rPr>
                    <w:t>0</w:t>
                  </w:r>
                </w:p>
              </w:tc>
            </w:tr>
            <w:tr w:rsidR="00D571E1" w:rsidRPr="00AB4094" w14:paraId="22349622" w14:textId="77777777" w:rsidTr="00A06368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ACFA3" w14:textId="77777777" w:rsidR="00D571E1" w:rsidRPr="00AB4094" w:rsidRDefault="00D571E1" w:rsidP="00D571E1">
                  <w:pPr>
                    <w:rPr>
                      <w:i/>
                    </w:rPr>
                  </w:pPr>
                  <w:r w:rsidRPr="00AB4094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C7722" w14:textId="77777777" w:rsidR="00D571E1" w:rsidRPr="00AB4094" w:rsidRDefault="00D571E1" w:rsidP="00D571E1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321CD" w14:textId="77777777" w:rsidR="00D571E1" w:rsidRPr="00AB4094" w:rsidRDefault="00D571E1" w:rsidP="00D571E1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</w:tr>
            <w:tr w:rsidR="00D571E1" w:rsidRPr="00AB4094" w14:paraId="20130D97" w14:textId="77777777" w:rsidTr="00A06368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055F7" w14:textId="77777777" w:rsidR="00D571E1" w:rsidRPr="00AB4094" w:rsidRDefault="00D571E1" w:rsidP="00D571E1">
                  <w:pPr>
                    <w:rPr>
                      <w:b/>
                      <w:i/>
                    </w:rPr>
                  </w:pPr>
                  <w:r w:rsidRPr="00AB4094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EC6BD" w14:textId="7270FB9E" w:rsidR="00D571E1" w:rsidRPr="00C66A1C" w:rsidRDefault="00C66A1C" w:rsidP="00D571E1">
                  <w:pPr>
                    <w:jc w:val="center"/>
                    <w:rPr>
                      <w:b/>
                      <w:i/>
                    </w:rPr>
                  </w:pPr>
                  <w:r w:rsidRPr="00C66A1C">
                    <w:rPr>
                      <w:b/>
                      <w:i/>
                    </w:rPr>
                    <w:t>+951,52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B0A9E" w14:textId="500CF4C5" w:rsidR="00D571E1" w:rsidRPr="00C66A1C" w:rsidRDefault="00C66A1C" w:rsidP="00D571E1">
                  <w:pPr>
                    <w:jc w:val="center"/>
                    <w:rPr>
                      <w:b/>
                      <w:i/>
                    </w:rPr>
                  </w:pPr>
                  <w:r w:rsidRPr="00C66A1C">
                    <w:rPr>
                      <w:b/>
                      <w:i/>
                    </w:rPr>
                    <w:t>+19 030 370</w:t>
                  </w:r>
                </w:p>
              </w:tc>
            </w:tr>
          </w:tbl>
          <w:p w14:paraId="15FD2A8E" w14:textId="5FA201A6" w:rsidR="00D571E1" w:rsidRDefault="00D571E1" w:rsidP="00BF5DA5">
            <w:pPr>
              <w:jc w:val="both"/>
              <w:rPr>
                <w:i/>
                <w:sz w:val="18"/>
                <w:szCs w:val="18"/>
              </w:rPr>
            </w:pPr>
            <w:r w:rsidRPr="00AB4094">
              <w:rPr>
                <w:i/>
                <w:sz w:val="18"/>
                <w:szCs w:val="18"/>
              </w:rPr>
              <w:t xml:space="preserve">* Udávané náklady na 1 zamestnávateľa sú priemerom jednotlivých vplyvov na jedného zamestnávateľa. Výpočet = náklady na celé podnikateľské prostredie / počet dotknutých zamestnávateľov = </w:t>
            </w:r>
            <w:r w:rsidR="00C66A1C">
              <w:rPr>
                <w:i/>
                <w:sz w:val="18"/>
                <w:szCs w:val="18"/>
              </w:rPr>
              <w:t>19 030 370/ 20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437B21">
              <w:rPr>
                <w:i/>
                <w:sz w:val="18"/>
                <w:szCs w:val="18"/>
              </w:rPr>
              <w:t>000</w:t>
            </w:r>
            <w:r w:rsidRPr="00FA7DCD">
              <w:rPr>
                <w:i/>
                <w:sz w:val="18"/>
                <w:szCs w:val="18"/>
              </w:rPr>
              <w:t xml:space="preserve"> = </w:t>
            </w:r>
            <w:r w:rsidR="00C66A1C">
              <w:rPr>
                <w:i/>
                <w:sz w:val="18"/>
                <w:szCs w:val="18"/>
              </w:rPr>
              <w:t>951,52</w:t>
            </w:r>
            <w:r w:rsidRPr="00D75D01">
              <w:rPr>
                <w:i/>
                <w:sz w:val="18"/>
                <w:szCs w:val="18"/>
              </w:rPr>
              <w:t xml:space="preserve"> eur</w:t>
            </w:r>
            <w:r w:rsidR="00C66A1C">
              <w:rPr>
                <w:i/>
                <w:sz w:val="18"/>
                <w:szCs w:val="18"/>
              </w:rPr>
              <w:t>a</w:t>
            </w:r>
            <w:r w:rsidRPr="00D75D01">
              <w:rPr>
                <w:i/>
                <w:sz w:val="18"/>
                <w:szCs w:val="18"/>
              </w:rPr>
              <w:t>.</w:t>
            </w:r>
            <w:r w:rsidRPr="00A36C26">
              <w:rPr>
                <w:i/>
                <w:sz w:val="18"/>
                <w:szCs w:val="18"/>
              </w:rPr>
              <w:t xml:space="preserve">  </w:t>
            </w:r>
          </w:p>
          <w:p w14:paraId="2C56551D" w14:textId="77777777" w:rsidR="00D571E1" w:rsidRDefault="00D571E1" w:rsidP="00D571E1">
            <w:pPr>
              <w:rPr>
                <w:b/>
                <w:i/>
              </w:rPr>
            </w:pPr>
          </w:p>
          <w:p w14:paraId="070C16F9" w14:textId="3300BD35" w:rsidR="00D571E1" w:rsidRPr="00864DE4" w:rsidRDefault="00D571E1" w:rsidP="00D571E1">
            <w:pPr>
              <w:rPr>
                <w:b/>
                <w:i/>
              </w:rPr>
            </w:pPr>
            <w:r w:rsidRPr="00864DE4">
              <w:rPr>
                <w:b/>
                <w:i/>
              </w:rPr>
              <w:t xml:space="preserve"> Rok 20</w:t>
            </w:r>
            <w:r>
              <w:rPr>
                <w:b/>
                <w:i/>
              </w:rPr>
              <w:t>23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D571E1" w:rsidRPr="00864DE4" w14:paraId="172701A8" w14:textId="77777777" w:rsidTr="00A06368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A1556" w14:textId="77777777" w:rsidR="00D571E1" w:rsidRPr="00864DE4" w:rsidRDefault="00D571E1" w:rsidP="00D571E1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17E00" w14:textId="77777777" w:rsidR="00D571E1" w:rsidRPr="00864DE4" w:rsidRDefault="00D571E1" w:rsidP="00D571E1">
                  <w:pPr>
                    <w:jc w:val="center"/>
                    <w:rPr>
                      <w:i/>
                    </w:rPr>
                  </w:pPr>
                  <w:r w:rsidRPr="00864DE4">
                    <w:rPr>
                      <w:i/>
                    </w:rPr>
                    <w:t>Priemerné 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BA648" w14:textId="77777777" w:rsidR="00D571E1" w:rsidRPr="00864DE4" w:rsidRDefault="00D571E1" w:rsidP="00D571E1">
                  <w:pPr>
                    <w:jc w:val="center"/>
                    <w:rPr>
                      <w:i/>
                    </w:rPr>
                  </w:pPr>
                  <w:r w:rsidRPr="00864DE4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D571E1" w:rsidRPr="00AB4094" w14:paraId="432D4D00" w14:textId="77777777" w:rsidTr="00A06368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75A47" w14:textId="77777777" w:rsidR="00D571E1" w:rsidRPr="00437B21" w:rsidRDefault="00D571E1" w:rsidP="00D571E1">
                  <w:pPr>
                    <w:rPr>
                      <w:i/>
                    </w:rPr>
                  </w:pPr>
                  <w:r w:rsidRPr="00437B21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F443D" w14:textId="2E953839" w:rsidR="00D571E1" w:rsidRPr="00D75D01" w:rsidRDefault="00C66A1C" w:rsidP="00D571E1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+945,22</w:t>
                  </w:r>
                  <w:r w:rsidR="00D571E1" w:rsidRPr="00D75D01">
                    <w:rPr>
                      <w:i/>
                    </w:rPr>
                    <w:t>*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9A7F5" w14:textId="5982098F" w:rsidR="00D571E1" w:rsidRPr="00D75D01" w:rsidRDefault="00C66A1C" w:rsidP="00C66A1C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+18 904 370</w:t>
                  </w:r>
                </w:p>
              </w:tc>
            </w:tr>
            <w:tr w:rsidR="00D571E1" w:rsidRPr="00AB4094" w14:paraId="4036B99E" w14:textId="77777777" w:rsidTr="00A06368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FE187" w14:textId="77777777" w:rsidR="00D571E1" w:rsidRPr="00AB4094" w:rsidRDefault="00D571E1" w:rsidP="00D571E1">
                  <w:pPr>
                    <w:rPr>
                      <w:i/>
                    </w:rPr>
                  </w:pPr>
                  <w:r w:rsidRPr="00AB4094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BBA6D" w14:textId="77777777" w:rsidR="00D571E1" w:rsidRPr="00AB4094" w:rsidRDefault="00D571E1" w:rsidP="00D571E1">
                  <w:pPr>
                    <w:jc w:val="center"/>
                    <w:rPr>
                      <w:i/>
                    </w:rPr>
                  </w:pPr>
                  <w:r w:rsidRPr="00AB4094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BE540" w14:textId="77777777" w:rsidR="00D571E1" w:rsidRPr="00AB4094" w:rsidRDefault="00D571E1" w:rsidP="00D571E1">
                  <w:pPr>
                    <w:jc w:val="center"/>
                    <w:rPr>
                      <w:i/>
                    </w:rPr>
                  </w:pPr>
                  <w:r w:rsidRPr="00AB4094">
                    <w:rPr>
                      <w:i/>
                    </w:rPr>
                    <w:t>0</w:t>
                  </w:r>
                </w:p>
              </w:tc>
            </w:tr>
            <w:tr w:rsidR="00D571E1" w:rsidRPr="00AB4094" w14:paraId="1FCE0E58" w14:textId="77777777" w:rsidTr="00A06368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BB56C" w14:textId="77777777" w:rsidR="00D571E1" w:rsidRPr="00AB4094" w:rsidRDefault="00D571E1" w:rsidP="00D571E1">
                  <w:pPr>
                    <w:rPr>
                      <w:i/>
                    </w:rPr>
                  </w:pPr>
                  <w:r w:rsidRPr="00AB4094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BAD9A" w14:textId="77777777" w:rsidR="00D571E1" w:rsidRPr="00AB4094" w:rsidRDefault="00D571E1" w:rsidP="00D571E1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FBDB7" w14:textId="77777777" w:rsidR="00D571E1" w:rsidRPr="00AB4094" w:rsidRDefault="00D571E1" w:rsidP="00D571E1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</w:tr>
            <w:tr w:rsidR="00D571E1" w:rsidRPr="00AB4094" w14:paraId="7167499B" w14:textId="77777777" w:rsidTr="00A06368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8F8FF" w14:textId="77777777" w:rsidR="00D571E1" w:rsidRPr="00AB4094" w:rsidRDefault="00D571E1" w:rsidP="00D571E1">
                  <w:pPr>
                    <w:rPr>
                      <w:b/>
                      <w:i/>
                    </w:rPr>
                  </w:pPr>
                  <w:r w:rsidRPr="00AB4094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51CDC" w14:textId="5886939F" w:rsidR="00D571E1" w:rsidRPr="00D75D01" w:rsidRDefault="00C66A1C" w:rsidP="00D571E1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+945,22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1160A" w14:textId="2EBB0A4A" w:rsidR="00D571E1" w:rsidRPr="00D75D01" w:rsidRDefault="00C66A1C" w:rsidP="00D571E1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+18 904 370</w:t>
                  </w:r>
                </w:p>
              </w:tc>
            </w:tr>
          </w:tbl>
          <w:p w14:paraId="227FC68E" w14:textId="2F851065" w:rsidR="00D571E1" w:rsidRDefault="00D571E1" w:rsidP="00D571E1">
            <w:pPr>
              <w:jc w:val="both"/>
              <w:rPr>
                <w:i/>
                <w:sz w:val="18"/>
                <w:szCs w:val="18"/>
              </w:rPr>
            </w:pPr>
            <w:r w:rsidRPr="00AB4094">
              <w:rPr>
                <w:i/>
                <w:sz w:val="18"/>
                <w:szCs w:val="18"/>
              </w:rPr>
              <w:t>* Udávané náklady na 1 zamestnávateľa sú priemerom jednotlivých vplyvov na jedného zamestnávateľa. Výpočet = náklady na celé podnikateľské prostredie / počet dotknutých zamestnávateľov =</w:t>
            </w:r>
            <w:r w:rsidR="006E7457">
              <w:rPr>
                <w:i/>
                <w:sz w:val="18"/>
                <w:szCs w:val="18"/>
              </w:rPr>
              <w:t>18 904 370</w:t>
            </w:r>
            <w:r w:rsidRPr="00AB4094">
              <w:rPr>
                <w:i/>
                <w:sz w:val="18"/>
                <w:szCs w:val="18"/>
              </w:rPr>
              <w:t xml:space="preserve"> </w:t>
            </w:r>
            <w:r w:rsidR="006E7457">
              <w:rPr>
                <w:i/>
                <w:sz w:val="18"/>
                <w:szCs w:val="18"/>
              </w:rPr>
              <w:t>/ 20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437B21">
              <w:rPr>
                <w:i/>
                <w:sz w:val="18"/>
                <w:szCs w:val="18"/>
              </w:rPr>
              <w:t>000</w:t>
            </w:r>
            <w:r w:rsidRPr="00FA7DCD">
              <w:rPr>
                <w:i/>
                <w:sz w:val="18"/>
                <w:szCs w:val="18"/>
              </w:rPr>
              <w:t xml:space="preserve"> = </w:t>
            </w:r>
            <w:r w:rsidR="006E7457">
              <w:rPr>
                <w:i/>
                <w:sz w:val="18"/>
                <w:szCs w:val="18"/>
              </w:rPr>
              <w:t>945,22</w:t>
            </w:r>
            <w:r w:rsidRPr="00D75D01">
              <w:rPr>
                <w:i/>
                <w:sz w:val="18"/>
                <w:szCs w:val="18"/>
              </w:rPr>
              <w:t xml:space="preserve"> eur</w:t>
            </w:r>
            <w:r w:rsidR="006E7457">
              <w:rPr>
                <w:i/>
                <w:sz w:val="18"/>
                <w:szCs w:val="18"/>
              </w:rPr>
              <w:t>a</w:t>
            </w:r>
            <w:r w:rsidRPr="00D75D01">
              <w:rPr>
                <w:i/>
                <w:sz w:val="18"/>
                <w:szCs w:val="18"/>
              </w:rPr>
              <w:t>.</w:t>
            </w:r>
            <w:r w:rsidRPr="00A36C26">
              <w:rPr>
                <w:i/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 xml:space="preserve">  </w:t>
            </w:r>
          </w:p>
          <w:p w14:paraId="49A4B6DF" w14:textId="77777777" w:rsidR="00C93673" w:rsidRPr="00A36C26" w:rsidRDefault="00C93673" w:rsidP="00A36C26">
            <w:pPr>
              <w:rPr>
                <w:i/>
                <w:sz w:val="18"/>
                <w:szCs w:val="18"/>
              </w:rPr>
            </w:pPr>
          </w:p>
        </w:tc>
      </w:tr>
      <w:tr w:rsidR="009F2DFA" w:rsidRPr="00864DE4" w14:paraId="6556D573" w14:textId="77777777" w:rsidTr="007B71A4">
        <w:tc>
          <w:tcPr>
            <w:tcW w:w="9212" w:type="dxa"/>
            <w:shd w:val="clear" w:color="auto" w:fill="D9D9D9" w:themeFill="background1" w:themeFillShade="D9"/>
          </w:tcPr>
          <w:p w14:paraId="122F1B11" w14:textId="77777777" w:rsidR="009F2DFA" w:rsidRPr="00864DE4" w:rsidRDefault="002B1108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3</w:t>
            </w:r>
            <w:r w:rsidR="009F2DFA" w:rsidRPr="00864DE4">
              <w:rPr>
                <w:b/>
                <w:sz w:val="24"/>
              </w:rPr>
              <w:t>.4 Konkurencieschopnosť a správanie sa podnikov na trhu</w:t>
            </w:r>
          </w:p>
          <w:p w14:paraId="342E0A88" w14:textId="77777777" w:rsidR="009F2DFA" w:rsidRPr="00864DE4" w:rsidRDefault="009F2DFA" w:rsidP="007B71A4">
            <w:r w:rsidRPr="00864DE4">
              <w:rPr>
                <w:b/>
                <w:sz w:val="24"/>
              </w:rPr>
              <w:t xml:space="preserve">       </w:t>
            </w:r>
            <w:r w:rsidRPr="00864DE4">
              <w:rPr>
                <w:sz w:val="24"/>
              </w:rPr>
              <w:t xml:space="preserve">- </w:t>
            </w:r>
            <w:r w:rsidRPr="00864DE4">
              <w:rPr>
                <w:b/>
                <w:sz w:val="24"/>
              </w:rPr>
              <w:t>z toho MSP</w:t>
            </w:r>
          </w:p>
        </w:tc>
      </w:tr>
      <w:tr w:rsidR="009F2DFA" w:rsidRPr="00864DE4" w14:paraId="6F87DE0E" w14:textId="77777777" w:rsidTr="007B71A4">
        <w:tc>
          <w:tcPr>
            <w:tcW w:w="9212" w:type="dxa"/>
          </w:tcPr>
          <w:p w14:paraId="4F479902" w14:textId="77777777" w:rsidR="009F2DFA" w:rsidRPr="00864DE4" w:rsidRDefault="009F2DFA" w:rsidP="00336F5E">
            <w:pPr>
              <w:jc w:val="both"/>
              <w:rPr>
                <w:i/>
              </w:rPr>
            </w:pPr>
            <w:r w:rsidRPr="00864DE4">
              <w:rPr>
                <w:i/>
              </w:rPr>
              <w:t xml:space="preserve"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</w:t>
            </w:r>
            <w:proofErr w:type="spellStart"/>
            <w:r w:rsidRPr="00864DE4">
              <w:rPr>
                <w:i/>
              </w:rPr>
              <w:t>mikro</w:t>
            </w:r>
            <w:proofErr w:type="spellEnd"/>
            <w:r w:rsidRPr="00864DE4">
              <w:rPr>
                <w:i/>
              </w:rPr>
              <w:t>, malé a stredné podniky tzv. MSP)? Ak áno, popíšte.</w:t>
            </w:r>
          </w:p>
          <w:p w14:paraId="08C5C1B7" w14:textId="77777777" w:rsidR="009F2DFA" w:rsidRPr="00864DE4" w:rsidRDefault="009F2DFA" w:rsidP="00336F5E">
            <w:pPr>
              <w:jc w:val="both"/>
              <w:rPr>
                <w:i/>
              </w:rPr>
            </w:pPr>
            <w:r w:rsidRPr="00864DE4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14:paraId="25A530BF" w14:textId="77777777" w:rsidR="009F2DFA" w:rsidRPr="00864DE4" w:rsidRDefault="009F2DFA" w:rsidP="00336F5E">
            <w:pPr>
              <w:jc w:val="both"/>
              <w:rPr>
                <w:i/>
              </w:rPr>
            </w:pPr>
            <w:r w:rsidRPr="00864DE4">
              <w:rPr>
                <w:i/>
              </w:rPr>
              <w:t>Ako ovplyvní cenu alebo dostupnosť základných zdrojov (suroviny, mechanizmy, pracovná sila, energie atď.)?</w:t>
            </w:r>
          </w:p>
          <w:p w14:paraId="4D4BC9C1" w14:textId="77777777" w:rsidR="009F2DFA" w:rsidRPr="00864DE4" w:rsidRDefault="009F2DFA" w:rsidP="00336F5E">
            <w:pPr>
              <w:jc w:val="both"/>
              <w:rPr>
                <w:i/>
              </w:rPr>
            </w:pPr>
            <w:r w:rsidRPr="00864DE4">
              <w:rPr>
                <w:i/>
              </w:rPr>
              <w:t>Ovplyvňuje prístup k financiám? Ak áno, ako?</w:t>
            </w:r>
          </w:p>
        </w:tc>
      </w:tr>
      <w:tr w:rsidR="009F2DFA" w:rsidRPr="00864DE4" w14:paraId="1A8595F2" w14:textId="77777777" w:rsidTr="001310FC">
        <w:trPr>
          <w:trHeight w:val="427"/>
        </w:trPr>
        <w:tc>
          <w:tcPr>
            <w:tcW w:w="9212" w:type="dxa"/>
          </w:tcPr>
          <w:p w14:paraId="4A5EC356" w14:textId="22D41112" w:rsidR="00A15AA2" w:rsidRPr="004A7625" w:rsidRDefault="006E7457" w:rsidP="00A15AA2">
            <w:r>
              <w:t>Návrhom zákona n</w:t>
            </w:r>
            <w:r w:rsidR="00A258B2" w:rsidRPr="004A7625">
              <w:t xml:space="preserve">edochádza  k vplyvu na konkurencieschopnosť a správanie sa podnikov na trhu.  </w:t>
            </w:r>
          </w:p>
          <w:p w14:paraId="307884A6" w14:textId="77777777" w:rsidR="004B23A0" w:rsidRPr="00864DE4" w:rsidRDefault="004B23A0" w:rsidP="00A15AA2">
            <w:pPr>
              <w:rPr>
                <w:i/>
              </w:rPr>
            </w:pPr>
          </w:p>
        </w:tc>
      </w:tr>
      <w:tr w:rsidR="009F2DFA" w:rsidRPr="00864DE4" w14:paraId="660C58D4" w14:textId="77777777" w:rsidTr="007B71A4">
        <w:tc>
          <w:tcPr>
            <w:tcW w:w="9212" w:type="dxa"/>
            <w:shd w:val="clear" w:color="auto" w:fill="D9D9D9" w:themeFill="background1" w:themeFillShade="D9"/>
          </w:tcPr>
          <w:p w14:paraId="11D61CE3" w14:textId="77777777" w:rsidR="009F2DFA" w:rsidRPr="00864DE4" w:rsidRDefault="002B1108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3</w:t>
            </w:r>
            <w:r w:rsidR="009F2DFA" w:rsidRPr="00864DE4">
              <w:rPr>
                <w:b/>
                <w:sz w:val="24"/>
              </w:rPr>
              <w:t xml:space="preserve">.5 Inovácie </w:t>
            </w:r>
          </w:p>
          <w:p w14:paraId="5E1EFE3D" w14:textId="77777777" w:rsidR="009F2DFA" w:rsidRPr="00864DE4" w:rsidRDefault="009F2DFA" w:rsidP="007B71A4">
            <w:pPr>
              <w:rPr>
                <w:b/>
              </w:rPr>
            </w:pPr>
            <w:r w:rsidRPr="00864DE4">
              <w:rPr>
                <w:sz w:val="24"/>
              </w:rPr>
              <w:t xml:space="preserve">       - </w:t>
            </w:r>
            <w:r w:rsidRPr="00864DE4">
              <w:rPr>
                <w:b/>
                <w:sz w:val="24"/>
              </w:rPr>
              <w:t>z toho MSP</w:t>
            </w:r>
          </w:p>
        </w:tc>
      </w:tr>
      <w:tr w:rsidR="009F2DFA" w:rsidRPr="00864DE4" w14:paraId="4D102DDF" w14:textId="77777777" w:rsidTr="007B71A4">
        <w:tc>
          <w:tcPr>
            <w:tcW w:w="9212" w:type="dxa"/>
          </w:tcPr>
          <w:p w14:paraId="02B8A1B9" w14:textId="77777777"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Uveďte, ako podporuje navrhovaná zmena inovácie.</w:t>
            </w:r>
          </w:p>
          <w:p w14:paraId="0020EE7B" w14:textId="77777777"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Zjednodušuje uvedenie alebo rozšírenie nových výrobných metód, technológií a výrobkov na trh?</w:t>
            </w:r>
          </w:p>
          <w:p w14:paraId="0A69A7FA" w14:textId="77777777"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 xml:space="preserve">Uveďte, ako vplýva navrhovaná zmena na </w:t>
            </w:r>
            <w:r w:rsidR="00904C9B" w:rsidRPr="00864DE4">
              <w:rPr>
                <w:i/>
              </w:rPr>
              <w:t xml:space="preserve">jednotlivé </w:t>
            </w:r>
            <w:r w:rsidRPr="00864DE4">
              <w:rPr>
                <w:i/>
              </w:rPr>
              <w:t>práva duševného vlastníctva (</w:t>
            </w:r>
            <w:r w:rsidR="00904C9B" w:rsidRPr="00864DE4">
              <w:rPr>
                <w:i/>
              </w:rPr>
              <w:t xml:space="preserve">napr. </w:t>
            </w:r>
            <w:r w:rsidRPr="00864DE4">
              <w:rPr>
                <w:i/>
              </w:rPr>
              <w:t xml:space="preserve">patenty, ochranné známky, </w:t>
            </w:r>
            <w:r w:rsidR="00904C9B" w:rsidRPr="00864DE4">
              <w:rPr>
                <w:i/>
              </w:rPr>
              <w:t>autorské práva</w:t>
            </w:r>
            <w:r w:rsidRPr="00864DE4">
              <w:rPr>
                <w:i/>
              </w:rPr>
              <w:t xml:space="preserve">, vlastníctvo </w:t>
            </w:r>
            <w:proofErr w:type="spellStart"/>
            <w:r w:rsidRPr="00864DE4">
              <w:rPr>
                <w:i/>
              </w:rPr>
              <w:t>know-how</w:t>
            </w:r>
            <w:proofErr w:type="spellEnd"/>
            <w:r w:rsidRPr="00864DE4">
              <w:rPr>
                <w:i/>
              </w:rPr>
              <w:t>).</w:t>
            </w:r>
          </w:p>
          <w:p w14:paraId="125DCA47" w14:textId="77777777"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Podporuje vyššiu efektivitu výroby/využívania zdrojov? Ak áno, ako?</w:t>
            </w:r>
          </w:p>
          <w:p w14:paraId="3325D2AE" w14:textId="77777777" w:rsidR="00837639" w:rsidRPr="00864DE4" w:rsidRDefault="00837639" w:rsidP="007B71A4">
            <w:r w:rsidRPr="00864DE4">
              <w:rPr>
                <w:i/>
              </w:rPr>
              <w:t>Vytvorí zmena nové pracovné miesta pre zamestnancov výskumu a vývoja v SR?</w:t>
            </w:r>
          </w:p>
        </w:tc>
      </w:tr>
      <w:tr w:rsidR="009F2DFA" w:rsidRPr="00F04CCD" w14:paraId="5F35B370" w14:textId="77777777" w:rsidTr="001310FC">
        <w:trPr>
          <w:trHeight w:val="70"/>
        </w:trPr>
        <w:tc>
          <w:tcPr>
            <w:tcW w:w="9212" w:type="dxa"/>
          </w:tcPr>
          <w:p w14:paraId="00BC9F3E" w14:textId="76F2FAB9" w:rsidR="009F2DFA" w:rsidRPr="004A7625" w:rsidRDefault="006E7457" w:rsidP="007B71A4">
            <w:pPr>
              <w:rPr>
                <w:i/>
              </w:rPr>
            </w:pPr>
            <w:r>
              <w:t>Návrhom zákona nedochádza k vplyvu na inovácie.</w:t>
            </w:r>
            <w:r w:rsidR="00A258B2" w:rsidRPr="004A7625">
              <w:t xml:space="preserve"> </w:t>
            </w:r>
            <w:r w:rsidR="00A258B2" w:rsidRPr="004A7625">
              <w:rPr>
                <w:i/>
              </w:rPr>
              <w:t xml:space="preserve"> </w:t>
            </w:r>
          </w:p>
        </w:tc>
      </w:tr>
    </w:tbl>
    <w:p w14:paraId="2A31A615" w14:textId="77777777" w:rsidR="009F2DFA" w:rsidRDefault="009F2DFA" w:rsidP="009F2DFA">
      <w:pPr>
        <w:rPr>
          <w:b/>
          <w:sz w:val="24"/>
        </w:rPr>
      </w:pPr>
    </w:p>
    <w:sectPr w:rsidR="009F2DFA" w:rsidSect="00010615"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B93CE" w14:textId="77777777" w:rsidR="00EA583F" w:rsidRDefault="00EA583F" w:rsidP="009F2DFA">
      <w:r>
        <w:separator/>
      </w:r>
    </w:p>
  </w:endnote>
  <w:endnote w:type="continuationSeparator" w:id="0">
    <w:p w14:paraId="4DE4E98E" w14:textId="77777777" w:rsidR="00EA583F" w:rsidRDefault="00EA583F" w:rsidP="009F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82B2C" w14:textId="77777777" w:rsidR="00010615" w:rsidRPr="00010615" w:rsidRDefault="00010615">
    <w:pPr>
      <w:pStyle w:val="Pta"/>
      <w:jc w:val="center"/>
      <w:rPr>
        <w:sz w:val="24"/>
        <w:szCs w:val="24"/>
      </w:rPr>
    </w:pPr>
    <w:r w:rsidRPr="00010615">
      <w:rPr>
        <w:sz w:val="24"/>
        <w:szCs w:val="24"/>
      </w:rPr>
      <w:fldChar w:fldCharType="begin"/>
    </w:r>
    <w:r w:rsidRPr="00010615">
      <w:rPr>
        <w:sz w:val="24"/>
        <w:szCs w:val="24"/>
      </w:rPr>
      <w:instrText>PAGE   \* MERGEFORMAT</w:instrText>
    </w:r>
    <w:r w:rsidRPr="00010615">
      <w:rPr>
        <w:sz w:val="24"/>
        <w:szCs w:val="24"/>
      </w:rPr>
      <w:fldChar w:fldCharType="separate"/>
    </w:r>
    <w:r w:rsidR="00DB29F2">
      <w:rPr>
        <w:noProof/>
        <w:sz w:val="24"/>
        <w:szCs w:val="24"/>
      </w:rPr>
      <w:t>2</w:t>
    </w:r>
    <w:r w:rsidRPr="00010615">
      <w:rPr>
        <w:sz w:val="24"/>
        <w:szCs w:val="24"/>
      </w:rPr>
      <w:fldChar w:fldCharType="end"/>
    </w:r>
  </w:p>
  <w:p w14:paraId="539D11B9" w14:textId="77777777" w:rsidR="00010615" w:rsidRPr="00010615" w:rsidRDefault="00010615">
    <w:pPr>
      <w:pStyle w:val="Pt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65C2E" w14:textId="77777777" w:rsidR="00EA583F" w:rsidRDefault="00EA583F" w:rsidP="009F2DFA">
      <w:r>
        <w:separator/>
      </w:r>
    </w:p>
  </w:footnote>
  <w:footnote w:type="continuationSeparator" w:id="0">
    <w:p w14:paraId="7C6D8AD2" w14:textId="77777777" w:rsidR="00EA583F" w:rsidRDefault="00EA583F" w:rsidP="009F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13"/>
    <w:rsid w:val="00001806"/>
    <w:rsid w:val="000055DA"/>
    <w:rsid w:val="00010615"/>
    <w:rsid w:val="00013156"/>
    <w:rsid w:val="00034CDC"/>
    <w:rsid w:val="00042C66"/>
    <w:rsid w:val="0004323C"/>
    <w:rsid w:val="0004470A"/>
    <w:rsid w:val="00046F61"/>
    <w:rsid w:val="000476AD"/>
    <w:rsid w:val="0005303A"/>
    <w:rsid w:val="000573A5"/>
    <w:rsid w:val="00061B2C"/>
    <w:rsid w:val="000632F4"/>
    <w:rsid w:val="0007726B"/>
    <w:rsid w:val="000837DD"/>
    <w:rsid w:val="00090726"/>
    <w:rsid w:val="00094B4F"/>
    <w:rsid w:val="000A4E0A"/>
    <w:rsid w:val="000B187B"/>
    <w:rsid w:val="000D2622"/>
    <w:rsid w:val="000D682D"/>
    <w:rsid w:val="000E018C"/>
    <w:rsid w:val="000E5E65"/>
    <w:rsid w:val="000F6E65"/>
    <w:rsid w:val="0010106D"/>
    <w:rsid w:val="00101A9B"/>
    <w:rsid w:val="00110D2E"/>
    <w:rsid w:val="00126556"/>
    <w:rsid w:val="00127795"/>
    <w:rsid w:val="001310FC"/>
    <w:rsid w:val="00132E59"/>
    <w:rsid w:val="001354ED"/>
    <w:rsid w:val="001362F7"/>
    <w:rsid w:val="00153569"/>
    <w:rsid w:val="00154881"/>
    <w:rsid w:val="001564A4"/>
    <w:rsid w:val="001720C6"/>
    <w:rsid w:val="00175268"/>
    <w:rsid w:val="00175A58"/>
    <w:rsid w:val="001862EB"/>
    <w:rsid w:val="00186D0D"/>
    <w:rsid w:val="00190FF9"/>
    <w:rsid w:val="001A12AD"/>
    <w:rsid w:val="001A7475"/>
    <w:rsid w:val="001B5B42"/>
    <w:rsid w:val="001B64E0"/>
    <w:rsid w:val="001C0F95"/>
    <w:rsid w:val="001C6AC1"/>
    <w:rsid w:val="001D0F05"/>
    <w:rsid w:val="001D321E"/>
    <w:rsid w:val="001D407F"/>
    <w:rsid w:val="001E2BA5"/>
    <w:rsid w:val="001E7CEB"/>
    <w:rsid w:val="001F0CFE"/>
    <w:rsid w:val="001F6DD4"/>
    <w:rsid w:val="001F70FF"/>
    <w:rsid w:val="002025E9"/>
    <w:rsid w:val="00207E2C"/>
    <w:rsid w:val="00231ED3"/>
    <w:rsid w:val="00240E2A"/>
    <w:rsid w:val="002473EB"/>
    <w:rsid w:val="00265D45"/>
    <w:rsid w:val="00266005"/>
    <w:rsid w:val="00270039"/>
    <w:rsid w:val="00274280"/>
    <w:rsid w:val="002747F2"/>
    <w:rsid w:val="00274BAE"/>
    <w:rsid w:val="002839FD"/>
    <w:rsid w:val="0028562A"/>
    <w:rsid w:val="00285D81"/>
    <w:rsid w:val="002865F6"/>
    <w:rsid w:val="00292F88"/>
    <w:rsid w:val="002A3044"/>
    <w:rsid w:val="002A6AC9"/>
    <w:rsid w:val="002B1108"/>
    <w:rsid w:val="002B295C"/>
    <w:rsid w:val="002B5520"/>
    <w:rsid w:val="002D2791"/>
    <w:rsid w:val="002D5A3A"/>
    <w:rsid w:val="002E2738"/>
    <w:rsid w:val="002E3314"/>
    <w:rsid w:val="002F4754"/>
    <w:rsid w:val="002F6744"/>
    <w:rsid w:val="002F6CB5"/>
    <w:rsid w:val="002F702C"/>
    <w:rsid w:val="003045C6"/>
    <w:rsid w:val="0030483D"/>
    <w:rsid w:val="003049F9"/>
    <w:rsid w:val="00314578"/>
    <w:rsid w:val="00315666"/>
    <w:rsid w:val="00321333"/>
    <w:rsid w:val="00327786"/>
    <w:rsid w:val="00330381"/>
    <w:rsid w:val="00336F5E"/>
    <w:rsid w:val="003431F2"/>
    <w:rsid w:val="0034673C"/>
    <w:rsid w:val="00347F2C"/>
    <w:rsid w:val="003531B1"/>
    <w:rsid w:val="003533B1"/>
    <w:rsid w:val="003737EE"/>
    <w:rsid w:val="00380A70"/>
    <w:rsid w:val="00393AB7"/>
    <w:rsid w:val="00394FEA"/>
    <w:rsid w:val="00395559"/>
    <w:rsid w:val="00397CCD"/>
    <w:rsid w:val="003A5C12"/>
    <w:rsid w:val="003C0811"/>
    <w:rsid w:val="003C3F89"/>
    <w:rsid w:val="003E6175"/>
    <w:rsid w:val="003F1D59"/>
    <w:rsid w:val="003F45F9"/>
    <w:rsid w:val="003F4F15"/>
    <w:rsid w:val="003F66FF"/>
    <w:rsid w:val="004047E5"/>
    <w:rsid w:val="004100A9"/>
    <w:rsid w:val="00411BD1"/>
    <w:rsid w:val="004338B6"/>
    <w:rsid w:val="00437B21"/>
    <w:rsid w:val="00450A0C"/>
    <w:rsid w:val="00452F25"/>
    <w:rsid w:val="00461742"/>
    <w:rsid w:val="00464053"/>
    <w:rsid w:val="00477BCF"/>
    <w:rsid w:val="00481A92"/>
    <w:rsid w:val="00482A7E"/>
    <w:rsid w:val="004914CF"/>
    <w:rsid w:val="00497D70"/>
    <w:rsid w:val="004A4B3B"/>
    <w:rsid w:val="004A7625"/>
    <w:rsid w:val="004B124E"/>
    <w:rsid w:val="004B1B25"/>
    <w:rsid w:val="004B23A0"/>
    <w:rsid w:val="004B26F6"/>
    <w:rsid w:val="004B6339"/>
    <w:rsid w:val="004C4F30"/>
    <w:rsid w:val="004C65A5"/>
    <w:rsid w:val="004D0ACD"/>
    <w:rsid w:val="004D5FB1"/>
    <w:rsid w:val="004E4F32"/>
    <w:rsid w:val="004F7E8E"/>
    <w:rsid w:val="00503151"/>
    <w:rsid w:val="00506BB4"/>
    <w:rsid w:val="0051340B"/>
    <w:rsid w:val="0051741B"/>
    <w:rsid w:val="0052297F"/>
    <w:rsid w:val="005301A5"/>
    <w:rsid w:val="00540C93"/>
    <w:rsid w:val="0054105B"/>
    <w:rsid w:val="005411C1"/>
    <w:rsid w:val="00545A1F"/>
    <w:rsid w:val="00545EB8"/>
    <w:rsid w:val="00575E10"/>
    <w:rsid w:val="00592E05"/>
    <w:rsid w:val="005A01C6"/>
    <w:rsid w:val="005A0D1B"/>
    <w:rsid w:val="005A0E4F"/>
    <w:rsid w:val="005A45D3"/>
    <w:rsid w:val="005B099D"/>
    <w:rsid w:val="005B6573"/>
    <w:rsid w:val="005B77D1"/>
    <w:rsid w:val="005D5BE5"/>
    <w:rsid w:val="005D7D66"/>
    <w:rsid w:val="005E6DB0"/>
    <w:rsid w:val="005E721A"/>
    <w:rsid w:val="005F02C5"/>
    <w:rsid w:val="005F65A0"/>
    <w:rsid w:val="006063DB"/>
    <w:rsid w:val="00622108"/>
    <w:rsid w:val="00627C27"/>
    <w:rsid w:val="00632DB0"/>
    <w:rsid w:val="0063352D"/>
    <w:rsid w:val="006358D5"/>
    <w:rsid w:val="00644573"/>
    <w:rsid w:val="006461C4"/>
    <w:rsid w:val="006502A7"/>
    <w:rsid w:val="006504AD"/>
    <w:rsid w:val="00651ADE"/>
    <w:rsid w:val="0065419B"/>
    <w:rsid w:val="00675C92"/>
    <w:rsid w:val="0067638D"/>
    <w:rsid w:val="00695014"/>
    <w:rsid w:val="006A16A8"/>
    <w:rsid w:val="006A361E"/>
    <w:rsid w:val="006A367F"/>
    <w:rsid w:val="006B08D3"/>
    <w:rsid w:val="006B2634"/>
    <w:rsid w:val="006D02BF"/>
    <w:rsid w:val="006D3CCE"/>
    <w:rsid w:val="006E7457"/>
    <w:rsid w:val="006F3DED"/>
    <w:rsid w:val="00704CCD"/>
    <w:rsid w:val="0071067F"/>
    <w:rsid w:val="00725779"/>
    <w:rsid w:val="00733646"/>
    <w:rsid w:val="00735588"/>
    <w:rsid w:val="00736241"/>
    <w:rsid w:val="00740BB6"/>
    <w:rsid w:val="00752503"/>
    <w:rsid w:val="007530F3"/>
    <w:rsid w:val="00764FD4"/>
    <w:rsid w:val="007670EC"/>
    <w:rsid w:val="007703A6"/>
    <w:rsid w:val="00775C17"/>
    <w:rsid w:val="00777AF4"/>
    <w:rsid w:val="00780BA6"/>
    <w:rsid w:val="0078137D"/>
    <w:rsid w:val="007816FA"/>
    <w:rsid w:val="00787153"/>
    <w:rsid w:val="007922DE"/>
    <w:rsid w:val="00797253"/>
    <w:rsid w:val="00797415"/>
    <w:rsid w:val="007A1C48"/>
    <w:rsid w:val="007A3F7E"/>
    <w:rsid w:val="007A4160"/>
    <w:rsid w:val="007A624D"/>
    <w:rsid w:val="007B50D6"/>
    <w:rsid w:val="007B58A9"/>
    <w:rsid w:val="007B71A4"/>
    <w:rsid w:val="007C2190"/>
    <w:rsid w:val="007C32AF"/>
    <w:rsid w:val="007D643A"/>
    <w:rsid w:val="007E0400"/>
    <w:rsid w:val="007E3616"/>
    <w:rsid w:val="007F0FBF"/>
    <w:rsid w:val="007F665C"/>
    <w:rsid w:val="00805BC1"/>
    <w:rsid w:val="0082316D"/>
    <w:rsid w:val="008277E0"/>
    <w:rsid w:val="0083360F"/>
    <w:rsid w:val="00837639"/>
    <w:rsid w:val="0084578A"/>
    <w:rsid w:val="00856DFE"/>
    <w:rsid w:val="00861D09"/>
    <w:rsid w:val="00864CF0"/>
    <w:rsid w:val="00864DE4"/>
    <w:rsid w:val="00873EC1"/>
    <w:rsid w:val="008845C7"/>
    <w:rsid w:val="0088583C"/>
    <w:rsid w:val="00890AB2"/>
    <w:rsid w:val="00891038"/>
    <w:rsid w:val="008A1252"/>
    <w:rsid w:val="008A7657"/>
    <w:rsid w:val="008A7E20"/>
    <w:rsid w:val="008B0CAB"/>
    <w:rsid w:val="008B0F16"/>
    <w:rsid w:val="008B6134"/>
    <w:rsid w:val="008D1B15"/>
    <w:rsid w:val="008D2160"/>
    <w:rsid w:val="008D5F20"/>
    <w:rsid w:val="008E061C"/>
    <w:rsid w:val="008E6AA6"/>
    <w:rsid w:val="008F41F4"/>
    <w:rsid w:val="00904C9B"/>
    <w:rsid w:val="00913F1D"/>
    <w:rsid w:val="0092647A"/>
    <w:rsid w:val="00931D43"/>
    <w:rsid w:val="00933CD6"/>
    <w:rsid w:val="0094272A"/>
    <w:rsid w:val="00943B27"/>
    <w:rsid w:val="00951098"/>
    <w:rsid w:val="00954D60"/>
    <w:rsid w:val="00970B2C"/>
    <w:rsid w:val="00972066"/>
    <w:rsid w:val="00972902"/>
    <w:rsid w:val="00981994"/>
    <w:rsid w:val="00987532"/>
    <w:rsid w:val="009A1C54"/>
    <w:rsid w:val="009B4FE2"/>
    <w:rsid w:val="009B649C"/>
    <w:rsid w:val="009E623F"/>
    <w:rsid w:val="009F2DFA"/>
    <w:rsid w:val="00A012E9"/>
    <w:rsid w:val="00A04344"/>
    <w:rsid w:val="00A04432"/>
    <w:rsid w:val="00A04B82"/>
    <w:rsid w:val="00A15AA2"/>
    <w:rsid w:val="00A23B80"/>
    <w:rsid w:val="00A258B2"/>
    <w:rsid w:val="00A36C26"/>
    <w:rsid w:val="00A4753B"/>
    <w:rsid w:val="00A6041E"/>
    <w:rsid w:val="00A72C91"/>
    <w:rsid w:val="00A75004"/>
    <w:rsid w:val="00A852D4"/>
    <w:rsid w:val="00A854A7"/>
    <w:rsid w:val="00A90AEE"/>
    <w:rsid w:val="00A91B57"/>
    <w:rsid w:val="00A91E2C"/>
    <w:rsid w:val="00A92601"/>
    <w:rsid w:val="00A9327B"/>
    <w:rsid w:val="00AA0146"/>
    <w:rsid w:val="00AB16C3"/>
    <w:rsid w:val="00AB4094"/>
    <w:rsid w:val="00AB4AFF"/>
    <w:rsid w:val="00AB67DA"/>
    <w:rsid w:val="00AB6D14"/>
    <w:rsid w:val="00AC0CBF"/>
    <w:rsid w:val="00AC12C7"/>
    <w:rsid w:val="00AC14B6"/>
    <w:rsid w:val="00AC362B"/>
    <w:rsid w:val="00AD0AB6"/>
    <w:rsid w:val="00AD0F0F"/>
    <w:rsid w:val="00AD4B40"/>
    <w:rsid w:val="00AE3D8D"/>
    <w:rsid w:val="00AE4F07"/>
    <w:rsid w:val="00AE54C7"/>
    <w:rsid w:val="00AE5B5F"/>
    <w:rsid w:val="00AE6633"/>
    <w:rsid w:val="00AF2ABD"/>
    <w:rsid w:val="00B03160"/>
    <w:rsid w:val="00B21604"/>
    <w:rsid w:val="00B23958"/>
    <w:rsid w:val="00B24DD2"/>
    <w:rsid w:val="00B31A8E"/>
    <w:rsid w:val="00B36451"/>
    <w:rsid w:val="00B366B1"/>
    <w:rsid w:val="00B470AA"/>
    <w:rsid w:val="00B50DB9"/>
    <w:rsid w:val="00B57021"/>
    <w:rsid w:val="00B617CC"/>
    <w:rsid w:val="00B7181B"/>
    <w:rsid w:val="00B775D0"/>
    <w:rsid w:val="00B8433F"/>
    <w:rsid w:val="00B84BB3"/>
    <w:rsid w:val="00B930BE"/>
    <w:rsid w:val="00B94836"/>
    <w:rsid w:val="00BA073A"/>
    <w:rsid w:val="00BA713F"/>
    <w:rsid w:val="00BB5C76"/>
    <w:rsid w:val="00BC2211"/>
    <w:rsid w:val="00BC3A05"/>
    <w:rsid w:val="00BC6A49"/>
    <w:rsid w:val="00BD387C"/>
    <w:rsid w:val="00BD7321"/>
    <w:rsid w:val="00BE4FB8"/>
    <w:rsid w:val="00BF0381"/>
    <w:rsid w:val="00BF5DA5"/>
    <w:rsid w:val="00BF646E"/>
    <w:rsid w:val="00BF73D4"/>
    <w:rsid w:val="00C01F24"/>
    <w:rsid w:val="00C17BD8"/>
    <w:rsid w:val="00C31E5F"/>
    <w:rsid w:val="00C359B9"/>
    <w:rsid w:val="00C37924"/>
    <w:rsid w:val="00C41152"/>
    <w:rsid w:val="00C5114B"/>
    <w:rsid w:val="00C51AD6"/>
    <w:rsid w:val="00C56103"/>
    <w:rsid w:val="00C575FF"/>
    <w:rsid w:val="00C609A4"/>
    <w:rsid w:val="00C66A1C"/>
    <w:rsid w:val="00C72124"/>
    <w:rsid w:val="00C741B1"/>
    <w:rsid w:val="00C8286A"/>
    <w:rsid w:val="00C8443B"/>
    <w:rsid w:val="00C87362"/>
    <w:rsid w:val="00C87827"/>
    <w:rsid w:val="00C93673"/>
    <w:rsid w:val="00CB0AB0"/>
    <w:rsid w:val="00CB0F03"/>
    <w:rsid w:val="00CB1CBB"/>
    <w:rsid w:val="00CB3623"/>
    <w:rsid w:val="00CC60FB"/>
    <w:rsid w:val="00CC70FF"/>
    <w:rsid w:val="00CD13D3"/>
    <w:rsid w:val="00CD45CA"/>
    <w:rsid w:val="00CD5B16"/>
    <w:rsid w:val="00CE4897"/>
    <w:rsid w:val="00CF057F"/>
    <w:rsid w:val="00CF1EB0"/>
    <w:rsid w:val="00CF4449"/>
    <w:rsid w:val="00D01BB0"/>
    <w:rsid w:val="00D10942"/>
    <w:rsid w:val="00D11AAD"/>
    <w:rsid w:val="00D11E71"/>
    <w:rsid w:val="00D22906"/>
    <w:rsid w:val="00D25A70"/>
    <w:rsid w:val="00D37D37"/>
    <w:rsid w:val="00D44342"/>
    <w:rsid w:val="00D5017C"/>
    <w:rsid w:val="00D51666"/>
    <w:rsid w:val="00D52DA5"/>
    <w:rsid w:val="00D571E1"/>
    <w:rsid w:val="00D60318"/>
    <w:rsid w:val="00D65027"/>
    <w:rsid w:val="00D71B03"/>
    <w:rsid w:val="00D75114"/>
    <w:rsid w:val="00D75D01"/>
    <w:rsid w:val="00D76BC2"/>
    <w:rsid w:val="00D83756"/>
    <w:rsid w:val="00D92EB2"/>
    <w:rsid w:val="00D933A7"/>
    <w:rsid w:val="00D9741C"/>
    <w:rsid w:val="00DA322C"/>
    <w:rsid w:val="00DA6291"/>
    <w:rsid w:val="00DB20B6"/>
    <w:rsid w:val="00DB29F2"/>
    <w:rsid w:val="00DB4C7B"/>
    <w:rsid w:val="00DB666F"/>
    <w:rsid w:val="00DC05A5"/>
    <w:rsid w:val="00DC4715"/>
    <w:rsid w:val="00DD2454"/>
    <w:rsid w:val="00DD363A"/>
    <w:rsid w:val="00DD3A2B"/>
    <w:rsid w:val="00DE702A"/>
    <w:rsid w:val="00E11615"/>
    <w:rsid w:val="00E1266D"/>
    <w:rsid w:val="00E1696C"/>
    <w:rsid w:val="00E20F6A"/>
    <w:rsid w:val="00E26542"/>
    <w:rsid w:val="00E65BFA"/>
    <w:rsid w:val="00E74B56"/>
    <w:rsid w:val="00E85F2F"/>
    <w:rsid w:val="00E86598"/>
    <w:rsid w:val="00E86AD1"/>
    <w:rsid w:val="00E969E2"/>
    <w:rsid w:val="00EA388D"/>
    <w:rsid w:val="00EA3FEB"/>
    <w:rsid w:val="00EA45B0"/>
    <w:rsid w:val="00EA583F"/>
    <w:rsid w:val="00EB29C7"/>
    <w:rsid w:val="00EC6AF6"/>
    <w:rsid w:val="00EC6BC4"/>
    <w:rsid w:val="00EC71EA"/>
    <w:rsid w:val="00ED38A6"/>
    <w:rsid w:val="00ED4E83"/>
    <w:rsid w:val="00EE222C"/>
    <w:rsid w:val="00EE39AF"/>
    <w:rsid w:val="00EE50A2"/>
    <w:rsid w:val="00F04CCD"/>
    <w:rsid w:val="00F10268"/>
    <w:rsid w:val="00F35EC5"/>
    <w:rsid w:val="00F36C4E"/>
    <w:rsid w:val="00F37E0C"/>
    <w:rsid w:val="00F41620"/>
    <w:rsid w:val="00F50C4A"/>
    <w:rsid w:val="00F54126"/>
    <w:rsid w:val="00F664C1"/>
    <w:rsid w:val="00F70845"/>
    <w:rsid w:val="00F75442"/>
    <w:rsid w:val="00F763E5"/>
    <w:rsid w:val="00F77CC0"/>
    <w:rsid w:val="00F80680"/>
    <w:rsid w:val="00F819C2"/>
    <w:rsid w:val="00F90E6E"/>
    <w:rsid w:val="00FA2133"/>
    <w:rsid w:val="00FA393E"/>
    <w:rsid w:val="00FA4FB8"/>
    <w:rsid w:val="00FA712A"/>
    <w:rsid w:val="00FA7DCD"/>
    <w:rsid w:val="00FB5BFD"/>
    <w:rsid w:val="00FB5C13"/>
    <w:rsid w:val="00FC184B"/>
    <w:rsid w:val="00FC75C8"/>
    <w:rsid w:val="00FD58A2"/>
    <w:rsid w:val="00FE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A26B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F2DFA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A3FE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3FEB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EA3FEB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3F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A3FEB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paragraph" w:styleId="Revzia">
    <w:name w:val="Revision"/>
    <w:hidden/>
    <w:uiPriority w:val="99"/>
    <w:semiHidden/>
    <w:rsid w:val="000E018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F2DFA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A3FE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3FEB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EA3FEB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3F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A3FEB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paragraph" w:styleId="Revzia">
    <w:name w:val="Revision"/>
    <w:hidden/>
    <w:uiPriority w:val="99"/>
    <w:semiHidden/>
    <w:rsid w:val="000E018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14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EEE3C-F5DA-43C2-A16D-4E64050A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4</cp:revision>
  <cp:lastPrinted>2018-05-23T13:17:00Z</cp:lastPrinted>
  <dcterms:created xsi:type="dcterms:W3CDTF">2020-09-22T12:49:00Z</dcterms:created>
  <dcterms:modified xsi:type="dcterms:W3CDTF">2020-09-30T10:39:00Z</dcterms:modified>
</cp:coreProperties>
</file>