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4EFBE" w14:textId="77777777"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4CFE239D" w14:textId="77777777"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4CA924D6" w14:textId="77777777" w:rsidR="00E963A3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FF707AD" w14:textId="77777777" w:rsidR="0051724E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5172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</w:p>
    <w:p w14:paraId="12EE3AD6" w14:textId="77777777" w:rsidR="007D5748" w:rsidRPr="007D5748" w:rsidRDefault="007D5748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000"/>
        <w:gridCol w:w="1240"/>
        <w:gridCol w:w="1240"/>
        <w:gridCol w:w="1240"/>
      </w:tblGrid>
      <w:tr w:rsidR="00792375" w:rsidRPr="00792375" w14:paraId="0ACAC633" w14:textId="77777777" w:rsidTr="00792375">
        <w:trPr>
          <w:trHeight w:val="480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53E60D" w14:textId="77777777" w:rsidR="00792375" w:rsidRPr="00792375" w:rsidRDefault="00792375" w:rsidP="007923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D7769" w14:textId="77777777" w:rsidR="00792375" w:rsidRPr="00792375" w:rsidRDefault="00792375" w:rsidP="007923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verejnej správy v eurách </w:t>
            </w:r>
          </w:p>
        </w:tc>
      </w:tr>
      <w:tr w:rsidR="00792375" w:rsidRPr="00792375" w14:paraId="342F1353" w14:textId="77777777" w:rsidTr="00792375">
        <w:trPr>
          <w:trHeight w:val="270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237D8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BC51E7A" w14:textId="77777777" w:rsidR="00792375" w:rsidRPr="00792375" w:rsidRDefault="00792375" w:rsidP="007923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92375" w:rsidRPr="00792375" w14:paraId="076CFB58" w14:textId="77777777" w:rsidTr="00792375">
        <w:trPr>
          <w:trHeight w:val="270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52B4D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5ADBC7" w14:textId="77777777" w:rsidR="00792375" w:rsidRPr="00792375" w:rsidRDefault="00792375" w:rsidP="007923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AE1A9D" w14:textId="77777777" w:rsidR="00792375" w:rsidRPr="00792375" w:rsidRDefault="00792375" w:rsidP="007923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3FD126" w14:textId="77777777" w:rsidR="00792375" w:rsidRPr="00792375" w:rsidRDefault="00792375" w:rsidP="007923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479005" w14:textId="77777777" w:rsidR="00792375" w:rsidRPr="00792375" w:rsidRDefault="00792375" w:rsidP="007923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</w:tr>
      <w:tr w:rsidR="00792375" w:rsidRPr="00792375" w14:paraId="2203CE4F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F3052E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1AA7FA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AAFBD0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29 961 000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78B13CE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26 129 000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83BD58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25 956 000</w:t>
            </w:r>
          </w:p>
        </w:tc>
      </w:tr>
      <w:tr w:rsidR="00792375" w:rsidRPr="00792375" w14:paraId="4BC22725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E716A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9246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56C0F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F531E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46D4D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2375" w:rsidRPr="00792375" w14:paraId="72A2703B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A02A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1506A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6AE60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C77BC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3F7D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92375" w:rsidRPr="00792375" w14:paraId="6D994D56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6EC2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DF4E6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8EF06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A05B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A179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92375" w:rsidRPr="00792375" w14:paraId="72BCBD19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C6CB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F189C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01BA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E328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D6446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2375" w:rsidRPr="00792375" w14:paraId="5E929105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F6908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D48F9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55F7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FD8F2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28B30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2375" w:rsidRPr="00792375" w14:paraId="28AAC715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4BD4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3C3C8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993D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29 961 000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7AE0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26 129 000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A250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25 956 000</w:t>
            </w:r>
          </w:p>
        </w:tc>
      </w:tr>
      <w:tr w:rsidR="00792375" w:rsidRPr="00792375" w14:paraId="68A16F6E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3963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4CC0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F4E05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101B6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9288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2375" w:rsidRPr="00792375" w14:paraId="47468210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3CAAE7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750E85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3BB03C6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8C755B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F7F0743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</w:tr>
      <w:tr w:rsidR="00792375" w:rsidRPr="00792375" w14:paraId="3E5B4E0C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68DD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EA4F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8B4A3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6A62E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23229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2375" w:rsidRPr="00792375" w14:paraId="0442DDF0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E05A4" w14:textId="77777777" w:rsidR="00792375" w:rsidRPr="00792375" w:rsidRDefault="00792375" w:rsidP="007923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B31E8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5625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7A25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B9D4" w14:textId="77777777" w:rsidR="00792375" w:rsidRPr="00792375" w:rsidRDefault="00792375" w:rsidP="0079237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57E44" w:rsidRPr="00792375" w14:paraId="7D767BF3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E8CD" w14:textId="77777777" w:rsidR="00D57E44" w:rsidRPr="00DF7B51" w:rsidRDefault="00D57E44" w:rsidP="000C671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F7B51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  <w:r w:rsidRPr="000C671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(MPSVR SR, podprogram 07C06 „Nesystémové dávky sociálneho poistenia“)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C52E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653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-58 737 006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B6085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-76 378 379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A5FD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-103 090 930</w:t>
            </w:r>
          </w:p>
        </w:tc>
      </w:tr>
      <w:tr w:rsidR="00D57E44" w:rsidRPr="00792375" w14:paraId="5118D791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1D74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C595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A1D2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0D413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4AE1F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222D1ED6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2BCA1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B35FF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3262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09CA9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6EF09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3C7B13F4" w14:textId="77777777" w:rsidTr="000C6717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C72B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984C7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79D0F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12F5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16C0E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51EDF5C9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3A53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F7551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853B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1C59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45C19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104DA418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FAFD88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DD1842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F86B40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3756D5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0B086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2E0F54B2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F64D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A9AF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783E1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B1865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A35F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7C6DF8D2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0FAB2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E43D2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C23A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41D7D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C05F8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763144CF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888D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513A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70D43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B276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1ABB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668DE13A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A0F9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16053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3143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9A67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2AB2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4ABF62B8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0663EE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3496F3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8FBAED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02D6FC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FE66ED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30EF3FC3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17C5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9BC3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4E58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1833F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4FCB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002F0424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DE26C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4271F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D9A98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073E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AADEB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349677AD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E7E8B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6D71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8733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3BC7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A095F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2B871154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9EC8F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4F31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2AE5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06ADB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415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1D08AEBA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B086E0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332487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70D3147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28294A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C4D412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03C990AF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D688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A0BC2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B7C3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AD1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387B2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57E44" w:rsidRPr="00792375" w14:paraId="59223609" w14:textId="77777777" w:rsidTr="00792375">
        <w:trPr>
          <w:trHeight w:val="28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034F5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C7B5C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68E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BF09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E6554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6E4EA7AB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7FCE1D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12F605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74DC3A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31A90A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2EA3CC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57E44" w:rsidRPr="00792375" w14:paraId="72E462F2" w14:textId="77777777" w:rsidTr="00792375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832DCD" w14:textId="77777777" w:rsidR="00D57E44" w:rsidRPr="00792375" w:rsidRDefault="00D57E44" w:rsidP="00D57E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80F3DA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17DEFD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-88 698 006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2863A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-102 507 379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740B5B" w14:textId="77777777" w:rsidR="00D57E44" w:rsidRPr="00792375" w:rsidRDefault="00D57E44" w:rsidP="00D57E4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9237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-129 046 930</w:t>
            </w:r>
          </w:p>
        </w:tc>
      </w:tr>
    </w:tbl>
    <w:p w14:paraId="3EB4DA49" w14:textId="77777777" w:rsidR="00E963A3" w:rsidRDefault="00E963A3" w:rsidP="00CD24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3B27014E" w14:textId="77777777" w:rsidR="0041793D" w:rsidRDefault="007D5748" w:rsidP="00417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</w:t>
      </w:r>
      <w:r w:rsidR="0041793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vých pravidlách verejnej správy</w:t>
      </w:r>
    </w:p>
    <w:p w14:paraId="6269DE8E" w14:textId="77777777" w:rsidR="0010069A" w:rsidRDefault="0010069A" w:rsidP="00100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8BE9E5" w14:textId="77777777" w:rsidR="00F9754D" w:rsidRPr="00E76528" w:rsidRDefault="00F9754D" w:rsidP="00F9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765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 v aktuálnej podobe nezakladá negatívny vplyv na rozpočet verejnej správy, t. j. nedochádza k úbytku príjmov ani k zvýšeniu výdavkov vo verejnej správe.</w:t>
      </w:r>
    </w:p>
    <w:p w14:paraId="1C98B6C8" w14:textId="77777777" w:rsidR="0010069A" w:rsidRPr="007D5748" w:rsidRDefault="0010069A" w:rsidP="00100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29A8E02A" w14:textId="77777777" w:rsidR="00487CB3" w:rsidRDefault="00487CB3" w:rsidP="001006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AC6600" w14:textId="77777777" w:rsidR="0010069A" w:rsidRPr="007D5748" w:rsidRDefault="0010069A" w:rsidP="001006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46D1F76D" w14:textId="77777777" w:rsidR="0010069A" w:rsidRPr="007D5748" w:rsidRDefault="0010069A" w:rsidP="00100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0DD9E2" w14:textId="77777777" w:rsidR="002439B0" w:rsidRDefault="00176F5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2E6C58F1" w14:textId="77777777" w:rsidR="009E2092" w:rsidRPr="009E2092" w:rsidRDefault="009E209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9CE4FB" w14:textId="77777777" w:rsidR="00792375" w:rsidRDefault="00724098" w:rsidP="00E326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3303C">
        <w:rPr>
          <w:rFonts w:ascii="Times New Roman" w:hAnsi="Times New Roman" w:cs="Times New Roman"/>
          <w:bCs/>
          <w:sz w:val="24"/>
          <w:szCs w:val="24"/>
        </w:rPr>
        <w:t>Vládnym n</w:t>
      </w:r>
      <w:r w:rsidR="00792375" w:rsidRPr="00CA0079">
        <w:rPr>
          <w:rFonts w:ascii="Times New Roman" w:hAnsi="Times New Roman" w:cs="Times New Roman"/>
          <w:bCs/>
          <w:sz w:val="24"/>
          <w:szCs w:val="24"/>
        </w:rPr>
        <w:t>ávrhom zákona</w:t>
      </w:r>
      <w:r w:rsidR="00CA0079">
        <w:rPr>
          <w:rFonts w:ascii="Times New Roman" w:hAnsi="Times New Roman" w:cs="Times New Roman"/>
          <w:bCs/>
          <w:sz w:val="24"/>
          <w:szCs w:val="24"/>
        </w:rPr>
        <w:t>,</w:t>
      </w:r>
      <w:r w:rsidR="00792375" w:rsidRPr="00CA00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079" w:rsidRPr="00CA0079">
        <w:rPr>
          <w:rFonts w:ascii="Times New Roman" w:hAnsi="Times New Roman" w:cs="Times New Roman"/>
          <w:sz w:val="24"/>
          <w:szCs w:val="24"/>
        </w:rPr>
        <w:t>ktorým sa mení a dopĺňa zákon č. 461/2003 Z. z. o sociálnom poistení v znení neskorších predpisov</w:t>
      </w:r>
      <w:r w:rsidR="00CA0079">
        <w:rPr>
          <w:rFonts w:ascii="Times New Roman" w:hAnsi="Times New Roman" w:cs="Times New Roman"/>
          <w:sz w:val="24"/>
          <w:szCs w:val="24"/>
        </w:rPr>
        <w:t>,</w:t>
      </w:r>
      <w:r w:rsidR="00792375">
        <w:rPr>
          <w:rFonts w:ascii="Times New Roman" w:hAnsi="Times New Roman" w:cs="Times New Roman"/>
          <w:bCs/>
          <w:sz w:val="24"/>
          <w:szCs w:val="24"/>
        </w:rPr>
        <w:t xml:space="preserve"> sa navrhuje:</w:t>
      </w:r>
    </w:p>
    <w:p w14:paraId="5709209D" w14:textId="77777777" w:rsidR="00792375" w:rsidRDefault="00792375" w:rsidP="00E326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5000E" w14:textId="77777777" w:rsidR="00792375" w:rsidRPr="00F9754D" w:rsidRDefault="00792375" w:rsidP="00123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9754D">
        <w:rPr>
          <w:rFonts w:ascii="Times New Roman" w:hAnsi="Times New Roman" w:cs="Times New Roman"/>
          <w:bCs/>
          <w:i/>
          <w:sz w:val="24"/>
          <w:szCs w:val="24"/>
          <w:u w:val="single"/>
        </w:rPr>
        <w:t>A: Zmrazenie súm životného minima na úrovni nominálnych hodnôt z roka 2020</w:t>
      </w:r>
      <w:r w:rsidR="00123254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a opätovné  zavedenie tzv. kvalifikovaných období dôchodkového poistenia</w:t>
      </w:r>
      <w:r w:rsidRPr="00F9754D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</w:p>
    <w:p w14:paraId="504FC478" w14:textId="77777777" w:rsidR="00792375" w:rsidRPr="00F9754D" w:rsidRDefault="00792375" w:rsidP="00E3269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1F310FF4" w14:textId="77777777" w:rsidR="00792375" w:rsidRPr="00F9754D" w:rsidRDefault="00792375" w:rsidP="001A1DA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9754D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B: Zrušenie existujúcich výnimiek pre zahrňovanie príjmu do vymeriavacieho základu na     </w:t>
      </w:r>
      <w:r w:rsidR="001A1DAF" w:rsidRPr="00F9754D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F9754D">
        <w:rPr>
          <w:rFonts w:ascii="Times New Roman" w:hAnsi="Times New Roman" w:cs="Times New Roman"/>
          <w:bCs/>
          <w:i/>
          <w:sz w:val="24"/>
          <w:szCs w:val="24"/>
          <w:u w:val="single"/>
        </w:rPr>
        <w:t>platenie poistného na sociálne poistenie.</w:t>
      </w:r>
    </w:p>
    <w:p w14:paraId="383DCDBF" w14:textId="77777777" w:rsidR="00866554" w:rsidRPr="002C047B" w:rsidRDefault="00792375" w:rsidP="00E3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0AE484" w14:textId="77777777" w:rsidR="003A5363" w:rsidRDefault="003A5363" w:rsidP="00E32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AED6468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6031DC6B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E1F1A0" w14:textId="77777777" w:rsidR="007D5748" w:rsidRPr="007D5748" w:rsidRDefault="00E86F51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X</w:t>
      </w:r>
      <w:r w:rsidR="0001195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3DFF7186" w14:textId="77777777" w:rsidR="007D5748" w:rsidRPr="007D5748" w:rsidRDefault="00011952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X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0BB2F8D3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6C0073A4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6861553C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790FC5F8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2ABFDD" w14:textId="77777777" w:rsidR="007D5748" w:rsidRPr="009E2092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0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1C0F7C65" w14:textId="77777777" w:rsidR="005846C9" w:rsidRDefault="005846C9" w:rsidP="00CD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23F2F4" w14:textId="77777777" w:rsidR="00151256" w:rsidRPr="001A1DAF" w:rsidRDefault="001A1DAF" w:rsidP="001A1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Zmrazenie súm životného minima na úrovni nominálnych hodnôt z roka 2020 a z</w:t>
      </w:r>
      <w:r w:rsidRPr="00792375">
        <w:rPr>
          <w:rFonts w:ascii="Times New Roman" w:hAnsi="Times New Roman" w:cs="Times New Roman"/>
          <w:bCs/>
          <w:sz w:val="24"/>
          <w:szCs w:val="24"/>
        </w:rPr>
        <w:t>rušenie existujúcich výnimiek pre zahrňovanie príj</w:t>
      </w:r>
      <w:r>
        <w:rPr>
          <w:rFonts w:ascii="Times New Roman" w:hAnsi="Times New Roman" w:cs="Times New Roman"/>
          <w:bCs/>
          <w:sz w:val="24"/>
          <w:szCs w:val="24"/>
        </w:rPr>
        <w:t xml:space="preserve">mu do vymeriavacieho základu na </w:t>
      </w:r>
      <w:r w:rsidRPr="00792375">
        <w:rPr>
          <w:rFonts w:ascii="Times New Roman" w:hAnsi="Times New Roman" w:cs="Times New Roman"/>
          <w:bCs/>
          <w:sz w:val="24"/>
          <w:szCs w:val="24"/>
        </w:rPr>
        <w:t xml:space="preserve">platenie poistného na sociálne poistenie </w:t>
      </w:r>
      <w:r w:rsidR="0041793D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 </w:t>
      </w:r>
      <w:r w:rsidR="009E2092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>vyžiada</w:t>
      </w:r>
      <w:r w:rsidR="0041793D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drobné zmeny</w:t>
      </w:r>
      <w:r w:rsidR="009E2092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informačného systému Sociálne</w:t>
      </w:r>
      <w:r w:rsidR="0041793D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>j poisťovne</w:t>
      </w:r>
      <w:r w:rsidR="00FA27A0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32C4054" w14:textId="77777777" w:rsidR="00A376A4" w:rsidRPr="00045303" w:rsidRDefault="00A376A4" w:rsidP="00A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AC8725" w14:textId="77777777" w:rsidR="00A376A4" w:rsidRPr="001C7640" w:rsidRDefault="00A376A4" w:rsidP="00A37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</w:pPr>
      <w:r w:rsidRPr="00F77641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 w:rsidRPr="001C7640"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A376A4" w:rsidRPr="001C7640" w14:paraId="7B6075DA" w14:textId="77777777" w:rsidTr="001D04BF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2CC96BDC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463BB375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</w:p>
        </w:tc>
      </w:tr>
      <w:tr w:rsidR="00A376A4" w:rsidRPr="001C7640" w14:paraId="39B70327" w14:textId="77777777" w:rsidTr="001D04BF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3E96310B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2E44EC9" w14:textId="77777777" w:rsidR="00A376A4" w:rsidRPr="00623247" w:rsidRDefault="002F046D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AF3C0E" w14:textId="77777777" w:rsidR="00A376A4" w:rsidRPr="00623247" w:rsidRDefault="002F046D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9FA00D" w14:textId="77777777" w:rsidR="00A376A4" w:rsidRPr="00623247" w:rsidRDefault="002F046D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2CC110E" w14:textId="77777777" w:rsidR="00A376A4" w:rsidRPr="00623247" w:rsidRDefault="002F046D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A376A4" w:rsidRPr="001C7640" w14:paraId="6BA68694" w14:textId="77777777" w:rsidTr="001D04BF">
        <w:trPr>
          <w:trHeight w:val="70"/>
        </w:trPr>
        <w:tc>
          <w:tcPr>
            <w:tcW w:w="4530" w:type="dxa"/>
          </w:tcPr>
          <w:p w14:paraId="3D00CA6E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6262C0F0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0190B55F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78AAC7E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0E083359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376A4" w:rsidRPr="001C7640" w14:paraId="1A56A344" w14:textId="77777777" w:rsidTr="001D04BF">
        <w:trPr>
          <w:trHeight w:val="70"/>
        </w:trPr>
        <w:tc>
          <w:tcPr>
            <w:tcW w:w="4530" w:type="dxa"/>
          </w:tcPr>
          <w:p w14:paraId="6E85C886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1D6A9C5E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DFD73FA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F570FA5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69FFEDE7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376A4" w:rsidRPr="007D5748" w14:paraId="21B43158" w14:textId="77777777" w:rsidTr="001D04BF">
        <w:trPr>
          <w:trHeight w:val="70"/>
        </w:trPr>
        <w:tc>
          <w:tcPr>
            <w:tcW w:w="4530" w:type="dxa"/>
          </w:tcPr>
          <w:p w14:paraId="08C23435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1D599A31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17D017A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03AE573A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5254FE7F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8D5C354" w14:textId="77777777" w:rsidR="00A376A4" w:rsidRDefault="00A376A4" w:rsidP="0096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B3367F" w14:textId="77777777" w:rsidR="00ED7BC8" w:rsidRPr="007D5748" w:rsidRDefault="00ED7BC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3E7CD5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4947B0EC" w14:textId="77777777" w:rsid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5B3AC1" w14:textId="77777777" w:rsidR="00631D94" w:rsidRPr="00631D94" w:rsidRDefault="00631D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 w:rsidRPr="00631D94"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2.2.4.1</w:t>
      </w: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 xml:space="preserve"> Kvantifikácia príjmov</w:t>
      </w:r>
    </w:p>
    <w:p w14:paraId="6CE9E2F7" w14:textId="77777777" w:rsidR="00631D94" w:rsidRDefault="00631D94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B50A4D" w14:textId="77777777" w:rsidR="00F9754D" w:rsidRPr="00F9754D" w:rsidRDefault="00F9754D" w:rsidP="00CD24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B: </w:t>
      </w:r>
      <w:r w:rsidRPr="00F9754D">
        <w:rPr>
          <w:rFonts w:ascii="Times New Roman" w:hAnsi="Times New Roman" w:cs="Times New Roman"/>
          <w:bCs/>
          <w:i/>
          <w:sz w:val="24"/>
          <w:szCs w:val="24"/>
          <w:u w:val="single"/>
        </w:rPr>
        <w:t>Zrušenie existujúcich výnimiek pre zahrňovanie príjmu do vymeriavacieho základu na      platenie poistného na sociálne poistenie a  konsolidácia verejných financií.</w:t>
      </w:r>
    </w:p>
    <w:p w14:paraId="33590D75" w14:textId="77777777" w:rsidR="00F9754D" w:rsidRDefault="00F9754D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66010A" w14:textId="77777777" w:rsidR="00F9754D" w:rsidRDefault="0013303C" w:rsidP="001A1D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Vládnym n</w:t>
      </w:r>
      <w:r w:rsidR="001A1DAF" w:rsidRPr="00792375">
        <w:rPr>
          <w:rFonts w:ascii="Times New Roman" w:hAnsi="Times New Roman" w:cs="Times New Roman"/>
          <w:bCs/>
          <w:sz w:val="24"/>
          <w:szCs w:val="24"/>
        </w:rPr>
        <w:t>ávrh</w:t>
      </w:r>
      <w:r w:rsidR="001A1DAF">
        <w:rPr>
          <w:rFonts w:ascii="Times New Roman" w:hAnsi="Times New Roman" w:cs="Times New Roman"/>
          <w:bCs/>
          <w:sz w:val="24"/>
          <w:szCs w:val="24"/>
        </w:rPr>
        <w:t>om</w:t>
      </w:r>
      <w:r w:rsidR="00CA0079">
        <w:rPr>
          <w:rFonts w:ascii="Times New Roman" w:hAnsi="Times New Roman" w:cs="Times New Roman"/>
          <w:bCs/>
          <w:sz w:val="24"/>
          <w:szCs w:val="24"/>
        </w:rPr>
        <w:t xml:space="preserve"> zákona</w:t>
      </w:r>
      <w:r w:rsidR="00CA0079" w:rsidRPr="00CA00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0079" w:rsidRPr="00CA0079">
        <w:rPr>
          <w:rFonts w:ascii="Times New Roman" w:hAnsi="Times New Roman" w:cs="Times New Roman"/>
          <w:sz w:val="24"/>
          <w:szCs w:val="24"/>
        </w:rPr>
        <w:t>ktorým sa mení a dopĺňa zákon č. 461/2003 Z. z. o sociálnom poistení v znení neskorších predpisov</w:t>
      </w:r>
      <w:r w:rsidR="00CA0079">
        <w:rPr>
          <w:rFonts w:ascii="Times New Roman" w:hAnsi="Times New Roman" w:cs="Times New Roman"/>
          <w:sz w:val="24"/>
          <w:szCs w:val="24"/>
        </w:rPr>
        <w:t>,</w:t>
      </w:r>
      <w:r w:rsidR="001A1DAF" w:rsidRPr="00CA0079">
        <w:rPr>
          <w:rFonts w:ascii="Times New Roman" w:hAnsi="Times New Roman" w:cs="Times New Roman"/>
          <w:bCs/>
          <w:sz w:val="24"/>
          <w:szCs w:val="24"/>
        </w:rPr>
        <w:t xml:space="preserve"> sa</w:t>
      </w:r>
      <w:r w:rsidR="001A1DAF">
        <w:rPr>
          <w:rFonts w:ascii="Times New Roman" w:hAnsi="Times New Roman" w:cs="Times New Roman"/>
          <w:bCs/>
          <w:sz w:val="24"/>
          <w:szCs w:val="24"/>
        </w:rPr>
        <w:t xml:space="preserve"> okrem iného navrhuje z</w:t>
      </w:r>
      <w:r w:rsidR="001A1DAF" w:rsidRPr="00792375">
        <w:rPr>
          <w:rFonts w:ascii="Times New Roman" w:hAnsi="Times New Roman" w:cs="Times New Roman"/>
          <w:bCs/>
          <w:sz w:val="24"/>
          <w:szCs w:val="24"/>
        </w:rPr>
        <w:t>rušenie existujúcich výnimiek pre zahrňovanie príj</w:t>
      </w:r>
      <w:r w:rsidR="001A1DAF">
        <w:rPr>
          <w:rFonts w:ascii="Times New Roman" w:hAnsi="Times New Roman" w:cs="Times New Roman"/>
          <w:bCs/>
          <w:sz w:val="24"/>
          <w:szCs w:val="24"/>
        </w:rPr>
        <w:t xml:space="preserve">mu do vymeriavacieho základu na </w:t>
      </w:r>
      <w:r w:rsidR="001A1DAF" w:rsidRPr="00792375">
        <w:rPr>
          <w:rFonts w:ascii="Times New Roman" w:hAnsi="Times New Roman" w:cs="Times New Roman"/>
          <w:bCs/>
          <w:sz w:val="24"/>
          <w:szCs w:val="24"/>
        </w:rPr>
        <w:t>platenie poistného na sociálne poistenie.</w:t>
      </w:r>
      <w:r w:rsidR="001A1DAF">
        <w:rPr>
          <w:rFonts w:ascii="Times New Roman" w:hAnsi="Times New Roman" w:cs="Times New Roman"/>
          <w:bCs/>
          <w:sz w:val="24"/>
          <w:szCs w:val="24"/>
        </w:rPr>
        <w:t xml:space="preserve"> Uvedená právna úprav</w:t>
      </w:r>
      <w:r w:rsidR="00E76528">
        <w:rPr>
          <w:rFonts w:ascii="Times New Roman" w:hAnsi="Times New Roman" w:cs="Times New Roman"/>
          <w:bCs/>
          <w:sz w:val="24"/>
          <w:szCs w:val="24"/>
        </w:rPr>
        <w:t>a</w:t>
      </w:r>
      <w:r w:rsidR="001A1DAF">
        <w:rPr>
          <w:rFonts w:ascii="Times New Roman" w:hAnsi="Times New Roman" w:cs="Times New Roman"/>
          <w:bCs/>
          <w:sz w:val="24"/>
          <w:szCs w:val="24"/>
        </w:rPr>
        <w:t xml:space="preserve"> zakladá pozitívny vplyv na príjmy Sociálnej poisťovne. Celkové zvýšenie príjmov na sociálne poistenie sa v roku 2021 odhaduje na úrovni približne 30,0 mil. eur, v roku 2022 na úrovni približne 26,1 mil. eur a v roku 2023 na úrovni približne 26,0 mil. eur.</w:t>
      </w:r>
    </w:p>
    <w:p w14:paraId="3642DE09" w14:textId="77777777" w:rsidR="00C224C6" w:rsidRDefault="0013303C" w:rsidP="00F9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9754D">
        <w:rPr>
          <w:rFonts w:ascii="Times New Roman" w:hAnsi="Times New Roman" w:cs="Times New Roman"/>
          <w:bCs/>
          <w:sz w:val="24"/>
          <w:szCs w:val="24"/>
        </w:rPr>
        <w:t>Uvedená kvantifikácia vplyvov vychádza z údajov zdravotných poisťovní o využití 13. a 14. platu</w:t>
      </w:r>
      <w:r w:rsidR="001A1DAF" w:rsidRPr="001A1DAF">
        <w:rPr>
          <w:rFonts w:ascii="Times New Roman" w:hAnsi="Times New Roman" w:cs="Times New Roman"/>
          <w:bCs/>
          <w:sz w:val="24"/>
          <w:szCs w:val="24"/>
        </w:rPr>
        <w:t>, ktoré sledujú využívanie 13. a 14. platu z hľadiska platenia poistného. Vybrané poisťovne poskytli na základe žiadosti počty poberateľov a oslobodené sum</w:t>
      </w:r>
      <w:r w:rsidR="00E76528">
        <w:rPr>
          <w:rFonts w:ascii="Times New Roman" w:hAnsi="Times New Roman" w:cs="Times New Roman"/>
          <w:bCs/>
          <w:sz w:val="24"/>
          <w:szCs w:val="24"/>
        </w:rPr>
        <w:t>y</w:t>
      </w:r>
      <w:r w:rsidR="001A1DAF" w:rsidRPr="001A1DAF">
        <w:rPr>
          <w:rFonts w:ascii="Times New Roman" w:hAnsi="Times New Roman" w:cs="Times New Roman"/>
          <w:bCs/>
          <w:sz w:val="24"/>
          <w:szCs w:val="24"/>
        </w:rPr>
        <w:t xml:space="preserve"> 13. a 14. platu. Následne sa cez trhový podiel poisťovní prerátal vplyv na celú ekonomiku.</w:t>
      </w:r>
      <w:r w:rsidR="00F9754D">
        <w:rPr>
          <w:rFonts w:ascii="Times New Roman" w:hAnsi="Times New Roman" w:cs="Times New Roman"/>
          <w:bCs/>
          <w:sz w:val="24"/>
          <w:szCs w:val="24"/>
        </w:rPr>
        <w:t xml:space="preserve"> Na záver sa </w:t>
      </w:r>
      <w:r w:rsidR="001A1DAF" w:rsidRPr="001A1DAF">
        <w:rPr>
          <w:rFonts w:ascii="Times New Roman" w:hAnsi="Times New Roman" w:cs="Times New Roman"/>
          <w:bCs/>
          <w:sz w:val="24"/>
          <w:szCs w:val="24"/>
        </w:rPr>
        <w:t xml:space="preserve"> v rámci daňového výboru v</w:t>
      </w:r>
      <w:r w:rsidR="00E76528">
        <w:rPr>
          <w:rFonts w:ascii="Times New Roman" w:hAnsi="Times New Roman" w:cs="Times New Roman"/>
          <w:bCs/>
          <w:sz w:val="24"/>
          <w:szCs w:val="24"/>
        </w:rPr>
        <w:t> </w:t>
      </w:r>
      <w:r w:rsidR="00F9754D">
        <w:rPr>
          <w:rFonts w:ascii="Times New Roman" w:hAnsi="Times New Roman" w:cs="Times New Roman"/>
          <w:bCs/>
          <w:sz w:val="24"/>
          <w:szCs w:val="24"/>
        </w:rPr>
        <w:t>júni</w:t>
      </w:r>
      <w:r w:rsidR="00E76528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F9754D">
        <w:rPr>
          <w:rFonts w:ascii="Times New Roman" w:hAnsi="Times New Roman" w:cs="Times New Roman"/>
          <w:bCs/>
          <w:sz w:val="24"/>
          <w:szCs w:val="24"/>
        </w:rPr>
        <w:t xml:space="preserve"> upravil</w:t>
      </w:r>
      <w:r w:rsidR="001A1DAF" w:rsidRPr="001A1D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54D">
        <w:rPr>
          <w:rFonts w:ascii="Times New Roman" w:hAnsi="Times New Roman" w:cs="Times New Roman"/>
          <w:bCs/>
          <w:sz w:val="24"/>
          <w:szCs w:val="24"/>
        </w:rPr>
        <w:t xml:space="preserve">pôvodný odhad </w:t>
      </w:r>
      <w:r w:rsidR="001A1DAF" w:rsidRPr="001A1DAF">
        <w:rPr>
          <w:rFonts w:ascii="Times New Roman" w:hAnsi="Times New Roman" w:cs="Times New Roman"/>
          <w:bCs/>
          <w:sz w:val="24"/>
          <w:szCs w:val="24"/>
        </w:rPr>
        <w:t xml:space="preserve">vzhľadom na aktuálne plnenie. </w:t>
      </w:r>
      <w:r w:rsidR="00F9754D">
        <w:rPr>
          <w:rFonts w:ascii="Times New Roman" w:hAnsi="Times New Roman" w:cs="Times New Roman"/>
          <w:bCs/>
          <w:sz w:val="24"/>
          <w:szCs w:val="24"/>
        </w:rPr>
        <w:t>Počet dotknutých zamestnancov sa v rokoch 2021 až 2023 odhaduje na úrovni približne 116 tis. osôb ročne.</w:t>
      </w:r>
    </w:p>
    <w:p w14:paraId="3E4CCD6C" w14:textId="77777777" w:rsidR="001A1DAF" w:rsidRDefault="001A1DAF" w:rsidP="000613A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3716D05" w14:textId="77777777" w:rsidR="00096D41" w:rsidRPr="00096D41" w:rsidRDefault="000613A5" w:rsidP="00E7652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E14014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3</w:t>
      </w:r>
    </w:p>
    <w:tbl>
      <w:tblPr>
        <w:tblW w:w="9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709"/>
        <w:gridCol w:w="1105"/>
        <w:gridCol w:w="970"/>
        <w:gridCol w:w="1105"/>
        <w:gridCol w:w="943"/>
      </w:tblGrid>
      <w:tr w:rsidR="001A1DAF" w:rsidRPr="001A1DAF" w14:paraId="08A8BE87" w14:textId="77777777" w:rsidTr="001A1DAF">
        <w:trPr>
          <w:trHeight w:val="270"/>
        </w:trPr>
        <w:tc>
          <w:tcPr>
            <w:tcW w:w="4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7028EA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38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DE7984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E894F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1A1DAF" w:rsidRPr="001A1DAF" w14:paraId="78FD1109" w14:textId="77777777" w:rsidTr="001A1DAF">
        <w:trPr>
          <w:trHeight w:val="270"/>
        </w:trPr>
        <w:tc>
          <w:tcPr>
            <w:tcW w:w="4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1E3E2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B040B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AEE69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D05D4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968E4E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E44AA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A1DAF" w:rsidRPr="001A1DAF" w14:paraId="09878A29" w14:textId="77777777" w:rsidTr="001A1DA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379F6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Daňové príjmy (100)</w:t>
            </w: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973B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632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29 961 000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121B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26 129 000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47E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25 956 000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8986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382B14C4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0E61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Daň z príjmov fyzickej osoby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05DA7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B546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7FD98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8EC8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A4AF9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322EF7F4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862AA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na nemocenské poistenie (151)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0E3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33FF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2 424 590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FD7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2 114 486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9AFCB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2 100 486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CD1E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173B33C5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B0F60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na starobné poistenie (152)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9B78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C3B4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15 586 647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A32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13 593 121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374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13 503 121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E279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5806DC32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DD10D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na úrazové poistenie (153)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BA50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59B1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692 740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B1D7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604 139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17D70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600 139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6271A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6ACAEED9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A5C82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na zdravotné poistenie (154)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A1B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8F0E9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EC9ED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542E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B1C56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04B8AD86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9F259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na poistenie v nezamestnanosti (155)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E904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307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1 731 850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3D4D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1 510 347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5930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1 500 347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95257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03F892F6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59FF5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na garančné poistenie (156)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4F45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FF09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216 481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9E36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188 793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96251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187 543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C26D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21E1D609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AA628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do rezervného fondu solidarity (157)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2E9C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0E09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4 113 143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93050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3 587 074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F13A6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3 563 324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1B60D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60B49DA8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CCB6B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na invalidné poistenie (158)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B1E6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78E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5 195 549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1B07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4 531 040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A9D9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4 501 040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9630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3D58D478" w14:textId="77777777" w:rsidTr="001A1DA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175E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Nedaňové príjmy (200)</w:t>
            </w: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22C1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0308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173C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1DA8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38D19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79F53B72" w14:textId="77777777" w:rsidTr="001A1DA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BD803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Granty a transfery (300)</w:t>
            </w: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AB73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5C1A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3F11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3F20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C8133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672CECF3" w14:textId="77777777" w:rsidTr="001A1DAF">
        <w:trPr>
          <w:trHeight w:val="52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6DEA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BE37A4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0D5FE0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C80553F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2533CE2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92A0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52F45450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049D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D3CC8D0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FF09BDE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C987859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04DF355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CC73D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1A1DAF" w:rsidRPr="001A1DAF" w14:paraId="14D475B4" w14:textId="77777777" w:rsidTr="001A1DAF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537189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373A88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CD623B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29 961 000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3E2E5A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26 129 000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850005" w14:textId="77777777" w:rsidR="001A1DAF" w:rsidRPr="001A1DAF" w:rsidRDefault="001A1DAF" w:rsidP="001A1D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25 956 000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5EAB0A" w14:textId="77777777" w:rsidR="001A1DAF" w:rsidRPr="001A1DAF" w:rsidRDefault="001A1DAF" w:rsidP="001A1DA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1A1DAF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</w:tbl>
    <w:p w14:paraId="35B4306A" w14:textId="77777777" w:rsidR="00BF1E8B" w:rsidRDefault="00BF1E8B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</w:p>
    <w:p w14:paraId="5CB22AEC" w14:textId="77777777" w:rsidR="00631D94" w:rsidRDefault="00631D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14:paraId="3A258676" w14:textId="77777777" w:rsidR="001A3DB7" w:rsidRDefault="001A3DB7" w:rsidP="004D284A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14:paraId="4CA437D4" w14:textId="56AC8768" w:rsidR="00CB22A7" w:rsidRPr="006C5350" w:rsidRDefault="00E84620" w:rsidP="002A5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Pri kvantifikácii </w:t>
      </w:r>
      <w:r w:rsidR="00B70C7A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úspory na výdavkoch v súvislosti so zmrazením súm životného minima na nominálnych hodnotách platných v roku 2020 </w:t>
      </w:r>
      <w:r w:rsidR="00E24A8D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>boli použité údaje o vyplatených dávkach z dôchodkového poistenia na tzv. mikro</w:t>
      </w:r>
      <w:r w:rsidR="00B72F80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>úrovni</w:t>
      </w:r>
      <w:r w:rsidR="00B70C7A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za mesiac február 2020. N</w:t>
      </w:r>
      <w:r w:rsidR="00B72F80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a základe </w:t>
      </w:r>
      <w:r w:rsidR="00B70C7A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týchto údajov bol kvantifikovaný priemerný mesačný počet poberateľov minimálneho dôchodku a priemerná mesačná suma doplatku do minimálneho dôchodku v prípade ak by </w:t>
      </w:r>
      <w:r w:rsidR="007B235D">
        <w:rPr>
          <w:rFonts w:ascii="Times New Roman" w:eastAsia="Times New Roman" w:hAnsi="Times New Roman" w:cs="Verdana"/>
          <w:bCs/>
          <w:iCs/>
          <w:sz w:val="24"/>
          <w:szCs w:val="24"/>
        </w:rPr>
        <w:t>zostal v platnosti pôvodný</w:t>
      </w:r>
      <w:r w:rsidR="00B70C7A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zákon a v prípade zmrazenia súm minimálneho dôchodku. Následne boli po zohľadnení odhadu n</w:t>
      </w:r>
      <w:r w:rsidR="00CA00F7">
        <w:rPr>
          <w:rFonts w:ascii="Times New Roman" w:eastAsia="Times New Roman" w:hAnsi="Times New Roman" w:cs="Verdana"/>
          <w:bCs/>
          <w:iCs/>
          <w:sz w:val="24"/>
          <w:szCs w:val="24"/>
        </w:rPr>
        <w:t>o</w:t>
      </w:r>
      <w:r w:rsidR="00B70C7A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vých poberateľov a úmrtnosti vypočítané v obidvoch scenároch celkové výdavky na minimálny dôchodok a rozdiel v týchto očakávaných výdavkoch. </w:t>
      </w:r>
    </w:p>
    <w:p w14:paraId="52FEAD7C" w14:textId="77777777" w:rsidR="004A3350" w:rsidRPr="004A3350" w:rsidRDefault="004A3350" w:rsidP="002A56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3350">
        <w:rPr>
          <w:rFonts w:ascii="Times New Roman" w:hAnsi="Times New Roman"/>
          <w:sz w:val="24"/>
          <w:szCs w:val="24"/>
        </w:rPr>
        <w:t xml:space="preserve">Výpočet predpokladá priemernú úmrtnosť poberateľov minimálneho dôchodku na úrovni približne 2 % ročne – východiskom je priemerný vek poberateľov minimálneho dôchodku, ktorý v roku 2020 predstavuje </w:t>
      </w:r>
      <w:r>
        <w:rPr>
          <w:rFonts w:ascii="Times New Roman" w:hAnsi="Times New Roman"/>
          <w:sz w:val="24"/>
          <w:szCs w:val="24"/>
        </w:rPr>
        <w:t xml:space="preserve">približne </w:t>
      </w:r>
      <w:r w:rsidRPr="004A3350">
        <w:rPr>
          <w:rFonts w:ascii="Times New Roman" w:hAnsi="Times New Roman"/>
          <w:sz w:val="24"/>
          <w:szCs w:val="24"/>
        </w:rPr>
        <w:t>69 rokov.</w:t>
      </w:r>
    </w:p>
    <w:p w14:paraId="0F52565A" w14:textId="77777777" w:rsidR="002A560B" w:rsidRDefault="004A3350" w:rsidP="002A56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3350">
        <w:rPr>
          <w:rFonts w:ascii="Times New Roman" w:hAnsi="Times New Roman"/>
          <w:sz w:val="24"/>
          <w:szCs w:val="24"/>
        </w:rPr>
        <w:lastRenderedPageBreak/>
        <w:t xml:space="preserve">Nábeh nových poberateľov minimálneho dôchodku sa odhaduje pri súčasnom právnom stave na úrovni cca 6 až 7 tis. </w:t>
      </w:r>
      <w:r>
        <w:rPr>
          <w:rFonts w:ascii="Times New Roman" w:hAnsi="Times New Roman"/>
          <w:sz w:val="24"/>
          <w:szCs w:val="24"/>
        </w:rPr>
        <w:t>osôb ročne; v prípade zmrazenia súm</w:t>
      </w:r>
      <w:r w:rsidRPr="004A3350">
        <w:rPr>
          <w:rFonts w:ascii="Times New Roman" w:hAnsi="Times New Roman"/>
          <w:sz w:val="24"/>
          <w:szCs w:val="24"/>
        </w:rPr>
        <w:t xml:space="preserve"> minimálneho dôchodku sa odhaduje nábeh no</w:t>
      </w:r>
      <w:r>
        <w:rPr>
          <w:rFonts w:ascii="Times New Roman" w:hAnsi="Times New Roman"/>
          <w:sz w:val="24"/>
          <w:szCs w:val="24"/>
        </w:rPr>
        <w:t>vých poberateľov na úrovni cca 5 až 6</w:t>
      </w:r>
      <w:r w:rsidRPr="004A3350">
        <w:rPr>
          <w:rFonts w:ascii="Times New Roman" w:hAnsi="Times New Roman"/>
          <w:sz w:val="24"/>
          <w:szCs w:val="24"/>
        </w:rPr>
        <w:t xml:space="preserve"> tis. osôb ročne.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C7682D" w14:textId="77777777" w:rsidR="002A560B" w:rsidRDefault="002A560B" w:rsidP="004A33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F46A00" w14:textId="77777777" w:rsidR="00B72F80" w:rsidRDefault="004A3350" w:rsidP="002A56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Zmrazením súm minimálneho dôchodku na úrovni nominálnych súm platných v roku 2020 sa očakáva</w:t>
      </w:r>
      <w:r w:rsidR="002A560B">
        <w:rPr>
          <w:rFonts w:ascii="Times New Roman" w:hAnsi="Times New Roman"/>
          <w:sz w:val="24"/>
          <w:szCs w:val="24"/>
        </w:rPr>
        <w:t xml:space="preserve"> zníženie výdavkov verejnej správy v roku 2021 na úrovni približne 58,7 mil. eur</w:t>
      </w:r>
      <w:r w:rsidR="00E76528">
        <w:rPr>
          <w:rFonts w:ascii="Times New Roman" w:hAnsi="Times New Roman"/>
          <w:sz w:val="24"/>
          <w:szCs w:val="24"/>
        </w:rPr>
        <w:t>;</w:t>
      </w:r>
      <w:r w:rsidR="002A560B">
        <w:rPr>
          <w:rFonts w:ascii="Times New Roman" w:hAnsi="Times New Roman"/>
          <w:sz w:val="24"/>
          <w:szCs w:val="24"/>
        </w:rPr>
        <w:t xml:space="preserve"> v roku 2022 na úrovni približne 76,4 mil. eur a v roku 2023 na úrovni približne 103 mil. eur. </w:t>
      </w:r>
      <w:r>
        <w:rPr>
          <w:rFonts w:ascii="Times New Roman" w:hAnsi="Times New Roman"/>
          <w:sz w:val="24"/>
          <w:szCs w:val="24"/>
        </w:rPr>
        <w:t>Celkový počet dotknutých osôb sa v roku 2021 odhaduje na</w:t>
      </w:r>
      <w:r w:rsidR="00E76528">
        <w:rPr>
          <w:rFonts w:ascii="Times New Roman" w:hAnsi="Times New Roman"/>
          <w:sz w:val="24"/>
          <w:szCs w:val="24"/>
        </w:rPr>
        <w:t xml:space="preserve"> úrovni približne 216 tis. osôb;</w:t>
      </w:r>
      <w:r>
        <w:rPr>
          <w:rFonts w:ascii="Times New Roman" w:hAnsi="Times New Roman"/>
          <w:sz w:val="24"/>
          <w:szCs w:val="24"/>
        </w:rPr>
        <w:t xml:space="preserve"> v roku 2022 na úrovni približne 234 tis. osôb ročne a v roku 2023 na úrovni približne 251 tis. osôb. </w:t>
      </w:r>
    </w:p>
    <w:p w14:paraId="4B93722B" w14:textId="77777777" w:rsidR="004A3350" w:rsidRDefault="004A3350" w:rsidP="00B72F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FB23C" w14:textId="77777777" w:rsidR="00CA00F7" w:rsidRPr="00CA00F7" w:rsidRDefault="00CA00F7" w:rsidP="00CA00F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 w:rsidRPr="00CA00F7">
        <w:rPr>
          <w:rFonts w:ascii="Times New Roman" w:eastAsia="Times New Roman" w:hAnsi="Times New Roman" w:cs="Verdana"/>
          <w:bCs/>
          <w:iCs/>
          <w:sz w:val="24"/>
          <w:szCs w:val="24"/>
        </w:rPr>
        <w:t>Pri kvantifikácii uvedených vplyvov bola použitá makroekonomická prognóza IFP z júna 2020.</w:t>
      </w:r>
    </w:p>
    <w:p w14:paraId="0DB5A71A" w14:textId="77777777" w:rsidR="00CA00F7" w:rsidRDefault="00CA00F7" w:rsidP="00CA00F7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</w:t>
      </w:r>
    </w:p>
    <w:p w14:paraId="0CD85B4D" w14:textId="77777777" w:rsidR="00CA00F7" w:rsidRPr="00780570" w:rsidRDefault="00CA00F7" w:rsidP="00CA00F7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Tab.</w:t>
      </w:r>
      <w:r w:rsidRPr="00780570"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Základné predpoklady použité pri kvantifikácii uvedených vplyvov</w:t>
      </w:r>
    </w:p>
    <w:tbl>
      <w:tblPr>
        <w:tblW w:w="8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713"/>
        <w:gridCol w:w="713"/>
        <w:gridCol w:w="713"/>
        <w:gridCol w:w="713"/>
        <w:gridCol w:w="713"/>
      </w:tblGrid>
      <w:tr w:rsidR="00CA00F7" w:rsidRPr="00816225" w14:paraId="61BE53C6" w14:textId="77777777" w:rsidTr="004A3350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5E0E" w14:textId="77777777" w:rsidR="00CA00F7" w:rsidRPr="00816225" w:rsidRDefault="00CA00F7" w:rsidP="00A0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B0F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E7A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317F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14C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9A7B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CA00F7" w:rsidRPr="00816225" w14:paraId="1E8947B0" w14:textId="77777777" w:rsidTr="004A335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ACC4" w14:textId="77777777" w:rsidR="00CA00F7" w:rsidRPr="00816225" w:rsidRDefault="00CA00F7" w:rsidP="00A0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Priemerná mzda v hospodárstve SR v eur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D33C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A48D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8386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7E67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D46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1239</w:t>
            </w:r>
          </w:p>
        </w:tc>
      </w:tr>
      <w:tr w:rsidR="00CA00F7" w:rsidRPr="00816225" w14:paraId="647A42E8" w14:textId="77777777" w:rsidTr="004A335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FC16" w14:textId="77777777" w:rsidR="00CA00F7" w:rsidRPr="00816225" w:rsidRDefault="00CA00F7" w:rsidP="00A0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Medziročný rast inflácie nízkopríjmových domácností 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apríl</w:t>
            </w: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A6F8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3CCF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2,</w:t>
            </w:r>
            <w:r w:rsidR="004A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73F8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F5D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3F97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1,1</w:t>
            </w:r>
          </w:p>
        </w:tc>
      </w:tr>
      <w:tr w:rsidR="00CA00F7" w:rsidRPr="00816225" w14:paraId="4AFF40A7" w14:textId="77777777" w:rsidTr="004A335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A592" w14:textId="77777777" w:rsidR="00CA00F7" w:rsidRPr="00816225" w:rsidRDefault="00CA00F7" w:rsidP="00A0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Medziročný rast dôchodcovskej inflácie za prvý polrok kalendárneho roka v 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A7C1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62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8F87" w14:textId="77777777" w:rsidR="00CA00F7" w:rsidRPr="00816225" w:rsidRDefault="004A3350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DDA0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03B7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4CFB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1,1</w:t>
            </w:r>
          </w:p>
        </w:tc>
      </w:tr>
      <w:tr w:rsidR="00CA00F7" w:rsidRPr="00816225" w14:paraId="4105F511" w14:textId="77777777" w:rsidTr="004A3350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3018" w14:textId="77777777" w:rsidR="00CA00F7" w:rsidRPr="00816225" w:rsidRDefault="00CA00F7" w:rsidP="00A0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Medziročný rast čistého disponibilného príjmu</w:t>
            </w:r>
            <w:r w:rsidRPr="003253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člena domácnosti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 prvý kvartál kalendárneho roka v %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D200" w14:textId="77777777" w:rsidR="00CA00F7" w:rsidRPr="003253DC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253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5,8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1633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5,3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9851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2395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1,6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E1E6" w14:textId="77777777" w:rsidR="00CA00F7" w:rsidRPr="00816225" w:rsidRDefault="00CA00F7" w:rsidP="00A0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3,1</w:t>
            </w:r>
          </w:p>
        </w:tc>
      </w:tr>
    </w:tbl>
    <w:p w14:paraId="1C977614" w14:textId="77777777" w:rsidR="004A3350" w:rsidRPr="00851966" w:rsidRDefault="00CA00F7" w:rsidP="004A3350">
      <w:pPr>
        <w:pStyle w:val="Odsekzoznamu"/>
        <w:ind w:left="0"/>
        <w:rPr>
          <w:rFonts w:ascii="Times New Roman" w:hAnsi="Times New Roman"/>
          <w:color w:val="0000FF" w:themeColor="hyperlink"/>
          <w:sz w:val="18"/>
          <w:u w:val="single"/>
          <w:lang w:val="de-DE"/>
        </w:rPr>
      </w:pPr>
      <w:r w:rsidRPr="00851966">
        <w:rPr>
          <w:rFonts w:ascii="Times New Roman" w:hAnsi="Times New Roman"/>
          <w:sz w:val="18"/>
          <w:lang w:val="de-DE"/>
        </w:rPr>
        <w:t xml:space="preserve">Zdroj: </w:t>
      </w:r>
      <w:hyperlink r:id="rId13" w:history="1">
        <w:r w:rsidRPr="00851966">
          <w:rPr>
            <w:rStyle w:val="Hypertextovprepojenie"/>
            <w:rFonts w:ascii="Times New Roman" w:hAnsi="Times New Roman"/>
            <w:sz w:val="20"/>
            <w:lang w:val="de-DE"/>
          </w:rPr>
          <w:t>https://www.mfsr.sk/sk/financie/institut-financnej-politiky/ekonomicke-prognozy/makroekonomicke-prognozy/51-zasadnutie-vyboru-makroekonomicke-prognozy-jun-2020.html</w:t>
        </w:r>
      </w:hyperlink>
    </w:p>
    <w:p w14:paraId="79999C21" w14:textId="77777777" w:rsidR="00762A3F" w:rsidRPr="007D5748" w:rsidRDefault="00762A3F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07870A" w14:textId="77777777" w:rsidR="00C2384C" w:rsidRDefault="005E0539" w:rsidP="005E053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4</w:t>
      </w:r>
      <w:r w:rsidR="00E76528">
        <w:rPr>
          <w:rFonts w:ascii="Times New Roman" w:eastAsia="Times New Roman" w:hAnsi="Times New Roman" w:cs="Times New Roman"/>
          <w:sz w:val="20"/>
          <w:szCs w:val="20"/>
          <w:lang w:eastAsia="sk-SK"/>
        </w:rPr>
        <w:t>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4"/>
        <w:gridCol w:w="707"/>
        <w:gridCol w:w="1128"/>
        <w:gridCol w:w="1128"/>
        <w:gridCol w:w="1128"/>
        <w:gridCol w:w="897"/>
      </w:tblGrid>
      <w:tr w:rsidR="002A560B" w:rsidRPr="002A560B" w14:paraId="5946D716" w14:textId="77777777" w:rsidTr="002A560B">
        <w:trPr>
          <w:trHeight w:val="1005"/>
        </w:trPr>
        <w:tc>
          <w:tcPr>
            <w:tcW w:w="4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D45795" w14:textId="77777777" w:rsidR="002A560B" w:rsidRPr="002A560B" w:rsidRDefault="002A560B" w:rsidP="002A5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štátneho rozpočtu MPSVR SR (v eurách)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930DDDF" w14:textId="77777777" w:rsidR="002A560B" w:rsidRPr="002A560B" w:rsidRDefault="002A560B" w:rsidP="002A5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 xml:space="preserve">Vplyv na štátny rozpočet MPSVR SR        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BC9FAF" w14:textId="77777777" w:rsidR="002A560B" w:rsidRPr="002A560B" w:rsidRDefault="002A560B" w:rsidP="002A5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2A560B" w:rsidRPr="002A560B" w14:paraId="5B778E68" w14:textId="77777777" w:rsidTr="002A560B">
        <w:trPr>
          <w:trHeight w:val="270"/>
        </w:trPr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5105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4EE11E" w14:textId="77777777" w:rsidR="002A560B" w:rsidRPr="002A560B" w:rsidRDefault="002A560B" w:rsidP="002A5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1F0D7F" w14:textId="77777777" w:rsidR="002A560B" w:rsidRPr="002A560B" w:rsidRDefault="002A560B" w:rsidP="002A5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55938F" w14:textId="77777777" w:rsidR="002A560B" w:rsidRPr="002A560B" w:rsidRDefault="002A560B" w:rsidP="002A5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0AA74C" w14:textId="77777777" w:rsidR="002A560B" w:rsidRPr="002A560B" w:rsidRDefault="002A560B" w:rsidP="002A5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0D9FD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2A560B" w:rsidRPr="002A560B" w14:paraId="6C6FBDC4" w14:textId="77777777" w:rsidTr="002A560B">
        <w:trPr>
          <w:trHeight w:val="6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F2146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26B7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5FB5F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92A87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4DAA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5DAE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4F7CF588" w14:textId="77777777" w:rsidTr="002A560B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F514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B0E4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169C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3B36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469A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86CC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5EF302B6" w14:textId="77777777" w:rsidTr="002A560B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44FCE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4CCE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52CE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65C1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26A71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35EA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634CE66C" w14:textId="77777777" w:rsidTr="002A560B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DC81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71947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19F84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8C49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F6D43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F8BA4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1FCE8D56" w14:textId="77777777" w:rsidTr="002A560B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A0E4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14A3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6178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1188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7F8D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80256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2C9B5B7F" w14:textId="77777777" w:rsidTr="002A560B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0EBE4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666E3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033C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D682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1E88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0110F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66B1F0B6" w14:textId="77777777" w:rsidTr="002A560B">
        <w:trPr>
          <w:trHeight w:val="58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D1F4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9B06E08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07A146E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6E8C8A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A125609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712F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1EDC8814" w14:textId="77777777" w:rsidTr="002A560B">
        <w:trPr>
          <w:trHeight w:val="6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6C71BF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k-SK"/>
              </w:rPr>
              <w:t>Dopad na výdavky štátneho rozpočtu MPSVR SR celkom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54A15B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BEC1EE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227ED6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68AB20" w14:textId="77777777" w:rsidR="002A560B" w:rsidRPr="002A560B" w:rsidRDefault="002A560B" w:rsidP="002A560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79E1E9" w14:textId="77777777" w:rsidR="002A560B" w:rsidRPr="002A560B" w:rsidRDefault="002A560B" w:rsidP="002A560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0D5D3857" w14:textId="77777777" w:rsidR="003B2A62" w:rsidRDefault="003B2A62" w:rsidP="003B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7299C" w14:textId="77777777" w:rsidR="00E76528" w:rsidRDefault="00E76528" w:rsidP="003B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434DD" w14:textId="77777777" w:rsidR="00E76528" w:rsidRDefault="00E76528" w:rsidP="003B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CF167" w14:textId="77777777" w:rsidR="00E76528" w:rsidRDefault="00E76528" w:rsidP="003B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5E492" w14:textId="77777777" w:rsidR="00E76528" w:rsidRDefault="00E76528" w:rsidP="003B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E7AF3" w14:textId="77777777" w:rsidR="003B2A62" w:rsidRPr="00F838ED" w:rsidRDefault="002A560B" w:rsidP="002A5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4</w:t>
      </w:r>
      <w:r w:rsidR="00E76528">
        <w:rPr>
          <w:rFonts w:ascii="Times New Roman" w:eastAsia="Times New Roman" w:hAnsi="Times New Roman" w:cs="Times New Roman"/>
          <w:sz w:val="20"/>
          <w:szCs w:val="20"/>
          <w:lang w:eastAsia="sk-SK"/>
        </w:rPr>
        <w:t>B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4"/>
        <w:gridCol w:w="707"/>
        <w:gridCol w:w="1128"/>
        <w:gridCol w:w="1128"/>
        <w:gridCol w:w="1128"/>
        <w:gridCol w:w="897"/>
      </w:tblGrid>
      <w:tr w:rsidR="002A560B" w:rsidRPr="002A560B" w14:paraId="5343B33C" w14:textId="77777777" w:rsidTr="00A06368">
        <w:trPr>
          <w:trHeight w:val="1005"/>
        </w:trPr>
        <w:tc>
          <w:tcPr>
            <w:tcW w:w="4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5F81CF" w14:textId="77777777" w:rsidR="002A560B" w:rsidRPr="002A560B" w:rsidRDefault="002A560B" w:rsidP="00A063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03D19E" w14:textId="77777777" w:rsidR="002A560B" w:rsidRPr="002A560B" w:rsidRDefault="002A560B" w:rsidP="00A063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Vply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 na výdavky verejnej správy</w:t>
            </w: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 xml:space="preserve">        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8D780F" w14:textId="77777777" w:rsidR="002A560B" w:rsidRPr="002A560B" w:rsidRDefault="002A560B" w:rsidP="00A063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2A560B" w:rsidRPr="002A560B" w14:paraId="30CB1E7A" w14:textId="77777777" w:rsidTr="00A06368">
        <w:trPr>
          <w:trHeight w:val="270"/>
        </w:trPr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FF231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3B2323" w14:textId="77777777" w:rsidR="002A560B" w:rsidRPr="002A560B" w:rsidRDefault="002A560B" w:rsidP="00A063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BFA751" w14:textId="77777777" w:rsidR="002A560B" w:rsidRPr="002A560B" w:rsidRDefault="002A560B" w:rsidP="00A063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82B1B5" w14:textId="77777777" w:rsidR="002A560B" w:rsidRPr="002A560B" w:rsidRDefault="002A560B" w:rsidP="00A063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E83A14" w14:textId="77777777" w:rsidR="002A560B" w:rsidRPr="002A560B" w:rsidRDefault="002A560B" w:rsidP="00A063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8FC7C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2A560B" w:rsidRPr="002A560B" w14:paraId="1098C082" w14:textId="77777777" w:rsidTr="00A06368">
        <w:trPr>
          <w:trHeight w:val="6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0AB4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9A2B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4A58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C134D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11B8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81C8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702E99AD" w14:textId="77777777" w:rsidTr="00A06368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DEF9A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DBF83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D2E4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478D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B415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14485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2BABDB74" w14:textId="77777777" w:rsidTr="00A06368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6953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6925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A209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F4D4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66BE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7F4A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3036FD2E" w14:textId="77777777" w:rsidTr="00A06368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B300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113D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564E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E5FE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3448D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91B1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2D777CBD" w14:textId="77777777" w:rsidTr="00A06368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AB4C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576E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E21E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537E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E443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0AFDD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1B5CC23B" w14:textId="77777777" w:rsidTr="00A06368">
        <w:trPr>
          <w:trHeight w:val="34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93520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FDFF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7CC4B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53CFA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2A99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BF903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79A33B9E" w14:textId="77777777" w:rsidTr="00A06368">
        <w:trPr>
          <w:trHeight w:val="58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189D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C812E4D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2DA360F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858C17A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00351F8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C591C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2A560B" w:rsidRPr="002A560B" w14:paraId="3B37E256" w14:textId="77777777" w:rsidTr="00A06368">
        <w:trPr>
          <w:trHeight w:val="6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33224D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k-SK"/>
              </w:rPr>
              <w:t>Dopad na výdavky štátneho rozpočtu MPSVR SR celkom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B787DC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E4035A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-58 737 006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615410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-76 378 379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E29E6A" w14:textId="77777777" w:rsidR="002A560B" w:rsidRPr="002A560B" w:rsidRDefault="002A560B" w:rsidP="00A063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-103 090 930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E40F9E" w14:textId="77777777" w:rsidR="002A560B" w:rsidRPr="002A560B" w:rsidRDefault="002A560B" w:rsidP="00A063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2A560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69F2D116" w14:textId="77777777" w:rsidR="003B2A62" w:rsidRDefault="003B2A62" w:rsidP="002A56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C1CA6" w14:textId="77777777" w:rsidR="004D290A" w:rsidRPr="007D5748" w:rsidRDefault="004D290A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4D290A" w:rsidRPr="007D5748" w:rsidSect="0051724E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39F3D61C" w14:textId="77777777" w:rsidR="007D5748" w:rsidRPr="007D5748" w:rsidRDefault="007D5748" w:rsidP="00CD246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A69C6CA" w14:textId="77777777" w:rsidR="007D5748" w:rsidRPr="007D5748" w:rsidRDefault="007D5748" w:rsidP="00F7764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6FC0C53" w14:textId="77777777" w:rsidR="007D5748" w:rsidRPr="00D80712" w:rsidRDefault="00D80712" w:rsidP="00D8071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</w:t>
      </w: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670"/>
        <w:gridCol w:w="1701"/>
        <w:gridCol w:w="2389"/>
      </w:tblGrid>
      <w:tr w:rsidR="007D5748" w:rsidRPr="007D5748" w14:paraId="2982F0CF" w14:textId="77777777" w:rsidTr="002E63F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196EF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B80CF0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D54347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5658F0" w:rsidRPr="007D5748" w14:paraId="1E6737CF" w14:textId="77777777" w:rsidTr="002E63F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5CEBF9" w14:textId="77777777"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580D4" w14:textId="77777777" w:rsidR="005658F0" w:rsidRPr="00623247" w:rsidRDefault="00472CFD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BC28E4" w14:textId="77777777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472CF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79B7E6" w14:textId="77777777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472CF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90E32C" w14:textId="77777777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472CF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67E920" w14:textId="77777777"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7D5748" w:rsidRPr="007D5748" w14:paraId="00A4D052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91A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3E08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9A56F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C7FF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6357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E1768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4746CB02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D9B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7766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4395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B6FC3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B745D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FC9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D5748" w14:paraId="52B198C9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982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2F22C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14055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DA5CA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E16F6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3E0B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376B298B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46F7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23371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C5B5C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992B8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E5C76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D683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16C00BC6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259E0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2D296C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9ADFC2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871947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E17FBF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4EEC31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5AD199B6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7568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505C1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A70F6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C81E2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F7FF6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CD76F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41DC813D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389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E4F23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EA650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F388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8A1B4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709A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38321A65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AF7" w14:textId="77777777" w:rsidR="007D5748" w:rsidRPr="00E7652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53C58" w14:textId="77777777" w:rsidR="007D5748" w:rsidRPr="00E7652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FB47" w14:textId="77777777" w:rsidR="007D5748" w:rsidRPr="00E7652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C7749" w14:textId="77777777" w:rsidR="007D5748" w:rsidRPr="00E7652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F09A" w14:textId="77777777" w:rsidR="007D5748" w:rsidRPr="00E7652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32FEB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5478E184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E3A" w14:textId="77777777" w:rsidR="007D5748" w:rsidRPr="00E7652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A999" w14:textId="77777777" w:rsidR="007D5748" w:rsidRPr="00E7652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7163E" w14:textId="77777777" w:rsidR="007D5748" w:rsidRPr="00E7652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D232F" w14:textId="77777777" w:rsidR="007D5748" w:rsidRPr="00E7652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BBA08" w14:textId="77777777" w:rsidR="007D5748" w:rsidRPr="00E7652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65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CBDC4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50AE62D9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07293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84147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D0C66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16318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378D8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FCA3C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D12ECD5" w14:textId="77777777" w:rsidR="00CB3623" w:rsidRDefault="00CB3623" w:rsidP="00D80712">
      <w:pPr>
        <w:spacing w:after="0" w:line="240" w:lineRule="auto"/>
      </w:pPr>
    </w:p>
    <w:sectPr w:rsidR="00CB3623" w:rsidSect="00D807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2F6D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373A4" w14:textId="77777777" w:rsidR="00B45610" w:rsidRDefault="00B45610">
      <w:pPr>
        <w:spacing w:after="0" w:line="240" w:lineRule="auto"/>
      </w:pPr>
      <w:r>
        <w:separator/>
      </w:r>
    </w:p>
  </w:endnote>
  <w:endnote w:type="continuationSeparator" w:id="0">
    <w:p w14:paraId="32D6CE10" w14:textId="77777777" w:rsidR="00B45610" w:rsidRDefault="00B4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791F5" w14:textId="77777777" w:rsidR="001A1DAF" w:rsidRDefault="001A1DA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26D73288" w14:textId="77777777" w:rsidR="001A1DAF" w:rsidRDefault="001A1DA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C1DFB" w14:textId="77777777" w:rsidR="001A1DAF" w:rsidRDefault="001A1DA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76647">
      <w:rPr>
        <w:noProof/>
      </w:rPr>
      <w:t>6</w:t>
    </w:r>
    <w:r>
      <w:fldChar w:fldCharType="end"/>
    </w:r>
  </w:p>
  <w:p w14:paraId="67B6E233" w14:textId="77777777" w:rsidR="001A1DAF" w:rsidRDefault="001A1DAF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C89C" w14:textId="77777777" w:rsidR="001A1DAF" w:rsidRDefault="001A1DA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2F29C7B0" w14:textId="77777777" w:rsidR="001A1DAF" w:rsidRDefault="001A1D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999A3" w14:textId="77777777" w:rsidR="00B45610" w:rsidRDefault="00B45610">
      <w:pPr>
        <w:spacing w:after="0" w:line="240" w:lineRule="auto"/>
      </w:pPr>
      <w:r>
        <w:separator/>
      </w:r>
    </w:p>
  </w:footnote>
  <w:footnote w:type="continuationSeparator" w:id="0">
    <w:p w14:paraId="7364AA79" w14:textId="77777777" w:rsidR="00B45610" w:rsidRDefault="00B4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A9398" w14:textId="77777777" w:rsidR="001A1DAF" w:rsidRDefault="001A1DAF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155CF8C6" w14:textId="77777777" w:rsidR="001A1DAF" w:rsidRPr="00EB59C8" w:rsidRDefault="001A1DAF" w:rsidP="0051724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95F1B" w14:textId="77777777" w:rsidR="001A1DAF" w:rsidRPr="000A15AE" w:rsidRDefault="001A1DAF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C37A35"/>
    <w:multiLevelType w:val="hybridMultilevel"/>
    <w:tmpl w:val="32544E1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5C0ABF"/>
    <w:multiLevelType w:val="hybridMultilevel"/>
    <w:tmpl w:val="E80841DA"/>
    <w:lvl w:ilvl="0" w:tplc="85B620E2">
      <w:start w:val="6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735BC"/>
    <w:multiLevelType w:val="hybridMultilevel"/>
    <w:tmpl w:val="41C0D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F15BC"/>
    <w:multiLevelType w:val="hybridMultilevel"/>
    <w:tmpl w:val="273EF8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F6211"/>
    <w:multiLevelType w:val="hybridMultilevel"/>
    <w:tmpl w:val="FFD8950E"/>
    <w:lvl w:ilvl="0" w:tplc="7B20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8784C"/>
    <w:multiLevelType w:val="hybridMultilevel"/>
    <w:tmpl w:val="831E8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riska Slavomir">
    <w15:presenceInfo w15:providerId="AD" w15:userId="S-1-5-21-623720501-4287158864-1464952876-3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159D"/>
    <w:rsid w:val="0000558D"/>
    <w:rsid w:val="000067DE"/>
    <w:rsid w:val="00007824"/>
    <w:rsid w:val="00007EA1"/>
    <w:rsid w:val="00011952"/>
    <w:rsid w:val="00020ACC"/>
    <w:rsid w:val="00035AA1"/>
    <w:rsid w:val="00035EB6"/>
    <w:rsid w:val="00040767"/>
    <w:rsid w:val="00045303"/>
    <w:rsid w:val="00047D6C"/>
    <w:rsid w:val="0005313A"/>
    <w:rsid w:val="00056127"/>
    <w:rsid w:val="00057135"/>
    <w:rsid w:val="000613A5"/>
    <w:rsid w:val="000737C6"/>
    <w:rsid w:val="0008462A"/>
    <w:rsid w:val="00091A4C"/>
    <w:rsid w:val="00092D89"/>
    <w:rsid w:val="00096D19"/>
    <w:rsid w:val="00096D41"/>
    <w:rsid w:val="000A1096"/>
    <w:rsid w:val="000C6717"/>
    <w:rsid w:val="000D4AB9"/>
    <w:rsid w:val="000F1438"/>
    <w:rsid w:val="0010069A"/>
    <w:rsid w:val="00102A8D"/>
    <w:rsid w:val="00106747"/>
    <w:rsid w:val="00111923"/>
    <w:rsid w:val="001127A8"/>
    <w:rsid w:val="00114A69"/>
    <w:rsid w:val="00123254"/>
    <w:rsid w:val="0013303C"/>
    <w:rsid w:val="00151256"/>
    <w:rsid w:val="001576F5"/>
    <w:rsid w:val="00160666"/>
    <w:rsid w:val="00167440"/>
    <w:rsid w:val="00170D2B"/>
    <w:rsid w:val="00176F52"/>
    <w:rsid w:val="00184F37"/>
    <w:rsid w:val="00192E67"/>
    <w:rsid w:val="001A1DAF"/>
    <w:rsid w:val="001A209F"/>
    <w:rsid w:val="001A3DB7"/>
    <w:rsid w:val="001C7640"/>
    <w:rsid w:val="001D04BF"/>
    <w:rsid w:val="001D1199"/>
    <w:rsid w:val="001D29AE"/>
    <w:rsid w:val="001E4C91"/>
    <w:rsid w:val="001E6659"/>
    <w:rsid w:val="001F1E87"/>
    <w:rsid w:val="001F1E90"/>
    <w:rsid w:val="001F3439"/>
    <w:rsid w:val="001F67F0"/>
    <w:rsid w:val="00200898"/>
    <w:rsid w:val="00200F37"/>
    <w:rsid w:val="00203A73"/>
    <w:rsid w:val="00212894"/>
    <w:rsid w:val="00213D57"/>
    <w:rsid w:val="00214F52"/>
    <w:rsid w:val="00215DD3"/>
    <w:rsid w:val="00232363"/>
    <w:rsid w:val="00242666"/>
    <w:rsid w:val="002439B0"/>
    <w:rsid w:val="0025180D"/>
    <w:rsid w:val="002531B7"/>
    <w:rsid w:val="0026481F"/>
    <w:rsid w:val="002670F2"/>
    <w:rsid w:val="00270104"/>
    <w:rsid w:val="002723FA"/>
    <w:rsid w:val="0027540B"/>
    <w:rsid w:val="00280D99"/>
    <w:rsid w:val="00290C7A"/>
    <w:rsid w:val="00290DEA"/>
    <w:rsid w:val="002951C1"/>
    <w:rsid w:val="002A560B"/>
    <w:rsid w:val="002B28AA"/>
    <w:rsid w:val="002B7B0A"/>
    <w:rsid w:val="002C047B"/>
    <w:rsid w:val="002C0CCB"/>
    <w:rsid w:val="002C6587"/>
    <w:rsid w:val="002D3A1B"/>
    <w:rsid w:val="002E63F5"/>
    <w:rsid w:val="002F046D"/>
    <w:rsid w:val="002F34D7"/>
    <w:rsid w:val="0030748E"/>
    <w:rsid w:val="003162D5"/>
    <w:rsid w:val="00317B90"/>
    <w:rsid w:val="0032360E"/>
    <w:rsid w:val="0032768E"/>
    <w:rsid w:val="003360F1"/>
    <w:rsid w:val="003361CB"/>
    <w:rsid w:val="00375B00"/>
    <w:rsid w:val="00377C39"/>
    <w:rsid w:val="00390633"/>
    <w:rsid w:val="00392BD8"/>
    <w:rsid w:val="00394973"/>
    <w:rsid w:val="003A2866"/>
    <w:rsid w:val="003A3765"/>
    <w:rsid w:val="003A4B8C"/>
    <w:rsid w:val="003A5363"/>
    <w:rsid w:val="003B2A62"/>
    <w:rsid w:val="003B3C84"/>
    <w:rsid w:val="003C2519"/>
    <w:rsid w:val="003E504C"/>
    <w:rsid w:val="003E78B1"/>
    <w:rsid w:val="00402E1D"/>
    <w:rsid w:val="00403AE3"/>
    <w:rsid w:val="004071A3"/>
    <w:rsid w:val="0041793D"/>
    <w:rsid w:val="00426B78"/>
    <w:rsid w:val="00432070"/>
    <w:rsid w:val="00435A66"/>
    <w:rsid w:val="00436870"/>
    <w:rsid w:val="0044387F"/>
    <w:rsid w:val="004466DD"/>
    <w:rsid w:val="00467959"/>
    <w:rsid w:val="00472CFD"/>
    <w:rsid w:val="0048020F"/>
    <w:rsid w:val="0048630B"/>
    <w:rsid w:val="00487203"/>
    <w:rsid w:val="00487CB3"/>
    <w:rsid w:val="00496A9D"/>
    <w:rsid w:val="00497661"/>
    <w:rsid w:val="004A22DC"/>
    <w:rsid w:val="004A3350"/>
    <w:rsid w:val="004A7B08"/>
    <w:rsid w:val="004B5855"/>
    <w:rsid w:val="004C26E7"/>
    <w:rsid w:val="004C42DE"/>
    <w:rsid w:val="004D284A"/>
    <w:rsid w:val="004D290A"/>
    <w:rsid w:val="004D2ED6"/>
    <w:rsid w:val="004D3E61"/>
    <w:rsid w:val="004E6AB2"/>
    <w:rsid w:val="004F5A28"/>
    <w:rsid w:val="004F6A62"/>
    <w:rsid w:val="005005EC"/>
    <w:rsid w:val="0050303F"/>
    <w:rsid w:val="00507678"/>
    <w:rsid w:val="005145FE"/>
    <w:rsid w:val="0051724E"/>
    <w:rsid w:val="005329BE"/>
    <w:rsid w:val="0054141B"/>
    <w:rsid w:val="00542AD2"/>
    <w:rsid w:val="005658F0"/>
    <w:rsid w:val="00567A1C"/>
    <w:rsid w:val="00573ADA"/>
    <w:rsid w:val="005747C4"/>
    <w:rsid w:val="00577EB8"/>
    <w:rsid w:val="00582CBC"/>
    <w:rsid w:val="005846C9"/>
    <w:rsid w:val="0059386A"/>
    <w:rsid w:val="005940E4"/>
    <w:rsid w:val="00597118"/>
    <w:rsid w:val="005A5635"/>
    <w:rsid w:val="005B236E"/>
    <w:rsid w:val="005B41E4"/>
    <w:rsid w:val="005B5EC8"/>
    <w:rsid w:val="005B7A4A"/>
    <w:rsid w:val="005C617E"/>
    <w:rsid w:val="005D0F6E"/>
    <w:rsid w:val="005E0539"/>
    <w:rsid w:val="005F5966"/>
    <w:rsid w:val="006016FB"/>
    <w:rsid w:val="00623247"/>
    <w:rsid w:val="00626998"/>
    <w:rsid w:val="00627918"/>
    <w:rsid w:val="00631D94"/>
    <w:rsid w:val="006365B4"/>
    <w:rsid w:val="00636D1D"/>
    <w:rsid w:val="006474C3"/>
    <w:rsid w:val="00651213"/>
    <w:rsid w:val="00665748"/>
    <w:rsid w:val="00685841"/>
    <w:rsid w:val="00692F4F"/>
    <w:rsid w:val="006A33A5"/>
    <w:rsid w:val="006A6EE1"/>
    <w:rsid w:val="006B2BA4"/>
    <w:rsid w:val="006C5350"/>
    <w:rsid w:val="006C64E4"/>
    <w:rsid w:val="006F2816"/>
    <w:rsid w:val="006F2F15"/>
    <w:rsid w:val="00700678"/>
    <w:rsid w:val="00701611"/>
    <w:rsid w:val="007036B6"/>
    <w:rsid w:val="0070388F"/>
    <w:rsid w:val="007039F9"/>
    <w:rsid w:val="00724098"/>
    <w:rsid w:val="007246BD"/>
    <w:rsid w:val="00725319"/>
    <w:rsid w:val="00762A3F"/>
    <w:rsid w:val="00770E74"/>
    <w:rsid w:val="007863C0"/>
    <w:rsid w:val="00792375"/>
    <w:rsid w:val="00795C33"/>
    <w:rsid w:val="007B235D"/>
    <w:rsid w:val="007C6B16"/>
    <w:rsid w:val="007D5748"/>
    <w:rsid w:val="007E5287"/>
    <w:rsid w:val="007E7359"/>
    <w:rsid w:val="007E7BF0"/>
    <w:rsid w:val="008123BF"/>
    <w:rsid w:val="008144ED"/>
    <w:rsid w:val="0082177D"/>
    <w:rsid w:val="00821D83"/>
    <w:rsid w:val="0082585A"/>
    <w:rsid w:val="0085097D"/>
    <w:rsid w:val="00851966"/>
    <w:rsid w:val="00863A90"/>
    <w:rsid w:val="00866554"/>
    <w:rsid w:val="0086701E"/>
    <w:rsid w:val="00872995"/>
    <w:rsid w:val="00890F15"/>
    <w:rsid w:val="00894E59"/>
    <w:rsid w:val="00896E6C"/>
    <w:rsid w:val="008A387B"/>
    <w:rsid w:val="008B3A67"/>
    <w:rsid w:val="008B6A9F"/>
    <w:rsid w:val="008B7CC6"/>
    <w:rsid w:val="008D339D"/>
    <w:rsid w:val="008D5288"/>
    <w:rsid w:val="008D660F"/>
    <w:rsid w:val="008D7015"/>
    <w:rsid w:val="008E2736"/>
    <w:rsid w:val="008E5C3D"/>
    <w:rsid w:val="008F4995"/>
    <w:rsid w:val="009012E2"/>
    <w:rsid w:val="00902080"/>
    <w:rsid w:val="009072C9"/>
    <w:rsid w:val="00924D8D"/>
    <w:rsid w:val="00954878"/>
    <w:rsid w:val="009603BB"/>
    <w:rsid w:val="00965BC8"/>
    <w:rsid w:val="009706B7"/>
    <w:rsid w:val="00972CF3"/>
    <w:rsid w:val="00990CCA"/>
    <w:rsid w:val="009A78DA"/>
    <w:rsid w:val="009C0431"/>
    <w:rsid w:val="009C743D"/>
    <w:rsid w:val="009C7B31"/>
    <w:rsid w:val="009D01A0"/>
    <w:rsid w:val="009E11CB"/>
    <w:rsid w:val="009E2092"/>
    <w:rsid w:val="00A0254A"/>
    <w:rsid w:val="00A06126"/>
    <w:rsid w:val="00A1056A"/>
    <w:rsid w:val="00A11D3A"/>
    <w:rsid w:val="00A1201D"/>
    <w:rsid w:val="00A20072"/>
    <w:rsid w:val="00A22F33"/>
    <w:rsid w:val="00A3724B"/>
    <w:rsid w:val="00A376A4"/>
    <w:rsid w:val="00A41389"/>
    <w:rsid w:val="00A47591"/>
    <w:rsid w:val="00A81D48"/>
    <w:rsid w:val="00A973F2"/>
    <w:rsid w:val="00AA1009"/>
    <w:rsid w:val="00AB656A"/>
    <w:rsid w:val="00AC4B75"/>
    <w:rsid w:val="00AC6CC6"/>
    <w:rsid w:val="00AD623C"/>
    <w:rsid w:val="00AE0221"/>
    <w:rsid w:val="00AE5F67"/>
    <w:rsid w:val="00AF05FE"/>
    <w:rsid w:val="00AF0718"/>
    <w:rsid w:val="00AF764B"/>
    <w:rsid w:val="00B04A3F"/>
    <w:rsid w:val="00B260BE"/>
    <w:rsid w:val="00B45610"/>
    <w:rsid w:val="00B52BA2"/>
    <w:rsid w:val="00B5535C"/>
    <w:rsid w:val="00B63817"/>
    <w:rsid w:val="00B70C7A"/>
    <w:rsid w:val="00B72F80"/>
    <w:rsid w:val="00B8402F"/>
    <w:rsid w:val="00B92C5F"/>
    <w:rsid w:val="00BB2B49"/>
    <w:rsid w:val="00BC3E19"/>
    <w:rsid w:val="00BC60AE"/>
    <w:rsid w:val="00BE1F89"/>
    <w:rsid w:val="00BE7E7C"/>
    <w:rsid w:val="00BF1E8B"/>
    <w:rsid w:val="00C07A77"/>
    <w:rsid w:val="00C104F8"/>
    <w:rsid w:val="00C15212"/>
    <w:rsid w:val="00C1676E"/>
    <w:rsid w:val="00C224C6"/>
    <w:rsid w:val="00C2384C"/>
    <w:rsid w:val="00C26A34"/>
    <w:rsid w:val="00C35651"/>
    <w:rsid w:val="00C42A15"/>
    <w:rsid w:val="00C51FD4"/>
    <w:rsid w:val="00C529EF"/>
    <w:rsid w:val="00C603C8"/>
    <w:rsid w:val="00C65C1F"/>
    <w:rsid w:val="00C820A3"/>
    <w:rsid w:val="00C965FE"/>
    <w:rsid w:val="00CA0079"/>
    <w:rsid w:val="00CA00F7"/>
    <w:rsid w:val="00CA20AC"/>
    <w:rsid w:val="00CB1CFE"/>
    <w:rsid w:val="00CB22A7"/>
    <w:rsid w:val="00CB3623"/>
    <w:rsid w:val="00CD0A02"/>
    <w:rsid w:val="00CD2466"/>
    <w:rsid w:val="00CE299A"/>
    <w:rsid w:val="00CF1CE5"/>
    <w:rsid w:val="00D00B7A"/>
    <w:rsid w:val="00D27FE8"/>
    <w:rsid w:val="00D32B0A"/>
    <w:rsid w:val="00D368A9"/>
    <w:rsid w:val="00D51173"/>
    <w:rsid w:val="00D57E44"/>
    <w:rsid w:val="00D61AAD"/>
    <w:rsid w:val="00D6597B"/>
    <w:rsid w:val="00D75E86"/>
    <w:rsid w:val="00D76647"/>
    <w:rsid w:val="00D80712"/>
    <w:rsid w:val="00D85622"/>
    <w:rsid w:val="00DB2A1A"/>
    <w:rsid w:val="00DB4E90"/>
    <w:rsid w:val="00DC675E"/>
    <w:rsid w:val="00DD2805"/>
    <w:rsid w:val="00DD472E"/>
    <w:rsid w:val="00DE46D3"/>
    <w:rsid w:val="00DE5BF1"/>
    <w:rsid w:val="00DF7B51"/>
    <w:rsid w:val="00E003B8"/>
    <w:rsid w:val="00E065D3"/>
    <w:rsid w:val="00E0746D"/>
    <w:rsid w:val="00E07CE9"/>
    <w:rsid w:val="00E14014"/>
    <w:rsid w:val="00E22286"/>
    <w:rsid w:val="00E24A8D"/>
    <w:rsid w:val="00E26305"/>
    <w:rsid w:val="00E32693"/>
    <w:rsid w:val="00E45F02"/>
    <w:rsid w:val="00E53873"/>
    <w:rsid w:val="00E601ED"/>
    <w:rsid w:val="00E626F5"/>
    <w:rsid w:val="00E731BC"/>
    <w:rsid w:val="00E76528"/>
    <w:rsid w:val="00E775CB"/>
    <w:rsid w:val="00E82AB4"/>
    <w:rsid w:val="00E8460A"/>
    <w:rsid w:val="00E84620"/>
    <w:rsid w:val="00E86F51"/>
    <w:rsid w:val="00E9239A"/>
    <w:rsid w:val="00E93BA1"/>
    <w:rsid w:val="00E963A3"/>
    <w:rsid w:val="00EA1E90"/>
    <w:rsid w:val="00EA2EE3"/>
    <w:rsid w:val="00EA3D75"/>
    <w:rsid w:val="00EA6BA8"/>
    <w:rsid w:val="00EC0988"/>
    <w:rsid w:val="00ED01B4"/>
    <w:rsid w:val="00ED1068"/>
    <w:rsid w:val="00ED6E41"/>
    <w:rsid w:val="00ED7041"/>
    <w:rsid w:val="00ED7BC8"/>
    <w:rsid w:val="00EE04E8"/>
    <w:rsid w:val="00EE1A67"/>
    <w:rsid w:val="00EF579A"/>
    <w:rsid w:val="00F04F5D"/>
    <w:rsid w:val="00F063AC"/>
    <w:rsid w:val="00F0652C"/>
    <w:rsid w:val="00F1238B"/>
    <w:rsid w:val="00F253D0"/>
    <w:rsid w:val="00F40136"/>
    <w:rsid w:val="00F44F48"/>
    <w:rsid w:val="00F7071C"/>
    <w:rsid w:val="00F72BF1"/>
    <w:rsid w:val="00F757ED"/>
    <w:rsid w:val="00F77641"/>
    <w:rsid w:val="00F811F9"/>
    <w:rsid w:val="00F83159"/>
    <w:rsid w:val="00F838ED"/>
    <w:rsid w:val="00F9754D"/>
    <w:rsid w:val="00FA27A0"/>
    <w:rsid w:val="00FA690B"/>
    <w:rsid w:val="00FB10AB"/>
    <w:rsid w:val="00FB47C5"/>
    <w:rsid w:val="00FB5FC0"/>
    <w:rsid w:val="00FC2E87"/>
    <w:rsid w:val="00FC5253"/>
    <w:rsid w:val="00FC5EC4"/>
    <w:rsid w:val="00FD72D4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mfsr.sk/sk/financie/institut-financnej-politiky/ekonomicke-prognozy/makroekonomicke-prognozy/51-zasadnutie-vyboru-makroekonomicke-prognozy-jun-2020.htm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f:fields xmlns:f="http://schemas.fabasoft.com/folio/2007/fields">
  <f:record ref="">
    <f:field ref="objname" par="" edit="true" text="vplyvy-na-rozpočet-verejnej-správy"/>
    <f:field ref="objsubject" par="" edit="true" text=""/>
    <f:field ref="objcreatedby" par="" text="Kapel, Ján, JUDr."/>
    <f:field ref="objcreatedat" par="" text="3.9.2020 15:41:55"/>
    <f:field ref="objchangedby" par="" text="Administrator, System"/>
    <f:field ref="objmodifiedat" par="" text="3.9.2020 15:41:5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29474D2-08A4-4F90-B282-23C9238C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2016-05-17T10:25:00Z</cp:lastPrinted>
  <dcterms:created xsi:type="dcterms:W3CDTF">2020-09-30T11:26:00Z</dcterms:created>
  <dcterms:modified xsi:type="dcterms:W3CDTF">2020-09-30T11:26:00Z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nebola o príprave návrhu zákona, ktorým sa mení a&amp;nbsp;dopĺňa zákon č. 461/2003 Z. z. o&amp;nbsp;sociálnom poistení v&amp;nbsp;znení neskorších predpisov informovaná prostredníctvom predbežnej informácie pre&amp;nbsp;krátkosť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Ján Kapel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461/2003 Z. z. o sociálnom poistení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Zákon, ktorým sa mení a dopĺňa zákon č. 461/2003 Z. z. o sociálnom poistení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22826/2020-M_OPVA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LP/2020/370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zákona, ktorým sa mení a&amp;nbsp;dopĺňa zákon č. 461/2003 Z. z. o&amp;nbsp;sociálnom poistení v&amp;nbsp;znení neskorších predpisov sa predkladá ako iniciatívny materiál. Jeho cieľom je upraviť podmienky poskytovania minimálneho</vt:lpwstr>
  </property>
  <property fmtid="{D5CDD505-2E9C-101B-9397-08002B2CF9AE}" pid="150" name="FSC#SKEDITIONSLOVLEX@103.510:vytvorenedna">
    <vt:lpwstr>3. 9. 2020</vt:lpwstr>
  </property>
  <property fmtid="{D5CDD505-2E9C-101B-9397-08002B2CF9AE}" pid="151" name="FSC#COOSYSTEM@1.1:Container">
    <vt:lpwstr>COO.2145.1000.3.3994626</vt:lpwstr>
  </property>
  <property fmtid="{D5CDD505-2E9C-101B-9397-08002B2CF9AE}" pid="152" name="FSC#FSCFOLIO@1.1001:docpropproject">
    <vt:lpwstr/>
  </property>
</Properties>
</file>