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F3D25" w14:textId="77777777"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14:paraId="7C5960CC" w14:textId="77777777" w:rsidR="008A5C2E" w:rsidRDefault="008A5C2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8A5C2E" w14:paraId="2CF357D9" w14:textId="77777777">
        <w:trPr>
          <w:divId w:val="12250174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BE36055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8A5C2E" w14:paraId="11983064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E7DF7CD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8A5C2E" w14:paraId="1001A6E5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8539A8" w14:textId="2AC2316C" w:rsidR="008A5C2E" w:rsidRPr="00CC720D" w:rsidRDefault="00491341" w:rsidP="00491341">
            <w:pPr>
              <w:jc w:val="both"/>
            </w:pPr>
            <w:r>
              <w:rPr>
                <w:sz w:val="20"/>
                <w:szCs w:val="20"/>
              </w:rPr>
              <w:t>Vládny n</w:t>
            </w:r>
            <w:r w:rsidR="00245385" w:rsidRPr="001123CD">
              <w:rPr>
                <w:sz w:val="20"/>
                <w:szCs w:val="20"/>
              </w:rPr>
              <w:t>ávrh z</w:t>
            </w:r>
            <w:r w:rsidR="008A5C2E" w:rsidRPr="001123CD">
              <w:rPr>
                <w:sz w:val="20"/>
                <w:szCs w:val="20"/>
              </w:rPr>
              <w:t>ákon</w:t>
            </w:r>
            <w:r w:rsidR="00245385" w:rsidRPr="001123CD">
              <w:rPr>
                <w:sz w:val="20"/>
                <w:szCs w:val="20"/>
              </w:rPr>
              <w:t>a</w:t>
            </w:r>
            <w:r w:rsidR="00CC720D">
              <w:rPr>
                <w:sz w:val="20"/>
                <w:szCs w:val="20"/>
              </w:rPr>
              <w:t>,</w:t>
            </w:r>
            <w:r w:rsidR="00CC720D">
              <w:rPr>
                <w:b/>
              </w:rPr>
              <w:t xml:space="preserve"> </w:t>
            </w:r>
            <w:r w:rsidR="00CC720D" w:rsidRPr="00CC720D">
              <w:rPr>
                <w:sz w:val="20"/>
                <w:szCs w:val="20"/>
              </w:rPr>
              <w:t>ktorým sa mení a dopĺňa zákon č. 461/2003 Z. z. o sociálnom poistení v znení neskorších predpisov</w:t>
            </w:r>
          </w:p>
        </w:tc>
      </w:tr>
      <w:tr w:rsidR="008A5C2E" w14:paraId="1841E095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A6C4FE5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8A5C2E" w14:paraId="77C9D96F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51662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práce, sociálnych vecí a rodiny Slovenskej republiky</w:t>
            </w:r>
          </w:p>
        </w:tc>
      </w:tr>
      <w:tr w:rsidR="008A5C2E" w14:paraId="406F04F9" w14:textId="77777777">
        <w:trPr>
          <w:divId w:val="12250174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5A778A7" w14:textId="77777777" w:rsidR="008A5C2E" w:rsidRDefault="008A5C2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C65E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8A5C2E" w14:paraId="352E5B52" w14:textId="77777777">
        <w:trPr>
          <w:divId w:val="12250174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E900E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973DA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8A5C2E" w14:paraId="31FD1308" w14:textId="77777777">
        <w:trPr>
          <w:divId w:val="12250174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22CA2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72682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8A5C2E" w14:paraId="484B1D9F" w14:textId="77777777">
        <w:trPr>
          <w:divId w:val="12250174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CFF086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A5C2E" w14:paraId="2B87F9C4" w14:textId="77777777">
        <w:trPr>
          <w:divId w:val="12250174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4BC278B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5BD9D" w14:textId="77777777" w:rsidR="008A5C2E" w:rsidRPr="00974981" w:rsidRDefault="008A5C2E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</w:tc>
      </w:tr>
      <w:tr w:rsidR="008A5C2E" w14:paraId="56151161" w14:textId="77777777">
        <w:trPr>
          <w:divId w:val="12250174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A85A3DB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EBBF42" w14:textId="77777777" w:rsidR="008A5C2E" w:rsidRPr="00974981" w:rsidRDefault="008D4902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1123CD">
              <w:rPr>
                <w:rFonts w:ascii="Times" w:hAnsi="Times" w:cs="Times"/>
                <w:sz w:val="20"/>
                <w:szCs w:val="20"/>
              </w:rPr>
              <w:t>4.9.2020</w:t>
            </w:r>
          </w:p>
        </w:tc>
      </w:tr>
      <w:tr w:rsidR="008A5C2E" w14:paraId="37149DEA" w14:textId="77777777">
        <w:trPr>
          <w:divId w:val="12250174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1489E3E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EB687E" w14:textId="77777777" w:rsidR="008A5C2E" w:rsidRPr="00974981" w:rsidRDefault="008A5C2E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</w:tc>
      </w:tr>
    </w:tbl>
    <w:p w14:paraId="2CFAEDC7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180C7FB" w14:textId="77777777" w:rsidR="008A5C2E" w:rsidRDefault="008A5C2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8A5C2E" w14:paraId="624B266A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484B61C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8A5C2E" w14:paraId="7E43DB53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0D8CF7" w14:textId="77777777" w:rsidR="008A5C2E" w:rsidRDefault="005C0254" w:rsidP="009506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Naviazanie súm minimálneho dôchodku na </w:t>
            </w:r>
            <w:r w:rsidR="001123CD">
              <w:rPr>
                <w:sz w:val="20"/>
                <w:szCs w:val="20"/>
              </w:rPr>
              <w:t>33 % priemernej mzdy v n</w:t>
            </w:r>
            <w:r w:rsidR="00AD39FF">
              <w:rPr>
                <w:sz w:val="20"/>
                <w:szCs w:val="20"/>
              </w:rPr>
              <w:t>árodnom hospodárstve</w:t>
            </w:r>
            <w:r w:rsidR="00950620">
              <w:rPr>
                <w:sz w:val="20"/>
                <w:szCs w:val="20"/>
              </w:rPr>
              <w:t xml:space="preserve"> znamenalo v roku 2020 razantn</w:t>
            </w:r>
            <w:r>
              <w:rPr>
                <w:sz w:val="20"/>
                <w:szCs w:val="20"/>
              </w:rPr>
              <w:t>é zvýšenie súm minimálneho dôchodku</w:t>
            </w:r>
            <w:r w:rsidR="00AD39FF">
              <w:rPr>
                <w:sz w:val="20"/>
                <w:szCs w:val="20"/>
              </w:rPr>
              <w:t>, čím bol</w:t>
            </w:r>
            <w:r>
              <w:rPr>
                <w:sz w:val="20"/>
                <w:szCs w:val="20"/>
              </w:rPr>
              <w:t xml:space="preserve"> výrazným </w:t>
            </w:r>
            <w:r w:rsidR="00AD39FF">
              <w:rPr>
                <w:sz w:val="20"/>
                <w:szCs w:val="20"/>
              </w:rPr>
              <w:t>spôsobom prekročený</w:t>
            </w:r>
            <w:r>
              <w:rPr>
                <w:sz w:val="20"/>
                <w:szCs w:val="20"/>
              </w:rPr>
              <w:t xml:space="preserve"> účel minimálneho dôchodk</w:t>
            </w:r>
            <w:r w:rsidR="00AD39FF">
              <w:rPr>
                <w:sz w:val="20"/>
                <w:szCs w:val="20"/>
              </w:rPr>
              <w:t xml:space="preserve">u, ktorým je ochrana </w:t>
            </w:r>
            <w:r>
              <w:rPr>
                <w:sz w:val="20"/>
                <w:szCs w:val="20"/>
              </w:rPr>
              <w:t xml:space="preserve">dôchodcu </w:t>
            </w:r>
            <w:r w:rsidR="00AD39FF">
              <w:rPr>
                <w:sz w:val="20"/>
                <w:szCs w:val="20"/>
              </w:rPr>
              <w:t xml:space="preserve">pred pádom </w:t>
            </w:r>
            <w:r>
              <w:rPr>
                <w:sz w:val="20"/>
                <w:szCs w:val="20"/>
              </w:rPr>
              <w:t>do hmotnej núdze.</w:t>
            </w:r>
            <w:r w:rsidR="00950620">
              <w:rPr>
                <w:sz w:val="20"/>
                <w:szCs w:val="20"/>
              </w:rPr>
              <w:t xml:space="preserve"> Ponechaním súčasného právneho stavu by sa uvedený problém každoročne prehlboval a dochádzalo by k ešte výraznejšiemu potieraniu zásluhovosti v dôchodkovom systéme predovšetkým v kontexte zvyšovania</w:t>
            </w:r>
            <w:r w:rsidR="00737CD0">
              <w:rPr>
                <w:sz w:val="20"/>
                <w:szCs w:val="20"/>
              </w:rPr>
              <w:t xml:space="preserve"> systémových dôchodkových dávok.</w:t>
            </w:r>
          </w:p>
          <w:p w14:paraId="3AE5E57A" w14:textId="77777777" w:rsidR="001123CD" w:rsidRDefault="001123CD" w:rsidP="00950620">
            <w:pPr>
              <w:jc w:val="both"/>
              <w:rPr>
                <w:sz w:val="20"/>
                <w:szCs w:val="20"/>
              </w:rPr>
            </w:pPr>
          </w:p>
          <w:p w14:paraId="20A15C01" w14:textId="77777777" w:rsidR="00737CD0" w:rsidRDefault="0093703F" w:rsidP="00950620">
            <w:pPr>
              <w:jc w:val="both"/>
              <w:rPr>
                <w:sz w:val="20"/>
                <w:szCs w:val="20"/>
              </w:rPr>
            </w:pPr>
            <w:r w:rsidRPr="0093703F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rušením</w:t>
            </w:r>
            <w:r w:rsidRPr="0093703F">
              <w:rPr>
                <w:sz w:val="20"/>
                <w:szCs w:val="20"/>
              </w:rPr>
              <w:t xml:space="preserve"> kvalifikovaných období dôchodkového poistenia (t. j. období dôchodkového poistenia s priemerným osobným mzdovým bodom</w:t>
            </w:r>
            <w:r>
              <w:rPr>
                <w:sz w:val="20"/>
                <w:szCs w:val="20"/>
              </w:rPr>
              <w:t xml:space="preserve"> </w:t>
            </w:r>
            <w:r w:rsidRPr="0093703F">
              <w:rPr>
                <w:sz w:val="20"/>
                <w:szCs w:val="20"/>
              </w:rPr>
              <w:t>najmenej na úrovni 24,1 % priemernej mzdy v národnom hospodárstve Slovenskej republiky</w:t>
            </w:r>
            <w:r>
              <w:rPr>
                <w:sz w:val="20"/>
                <w:szCs w:val="20"/>
              </w:rPr>
              <w:t xml:space="preserve">), došlo k oslabeniu princípu zásluhovosti v dôchodkovom systéme a možnosti účelového znižovania vymeriavacích základov zo strany niektorých zamestnancov. </w:t>
            </w:r>
          </w:p>
          <w:p w14:paraId="69534E4E" w14:textId="77777777" w:rsidR="0037262E" w:rsidRDefault="0037262E" w:rsidP="00950620">
            <w:pPr>
              <w:jc w:val="both"/>
              <w:rPr>
                <w:sz w:val="20"/>
                <w:szCs w:val="20"/>
              </w:rPr>
            </w:pPr>
          </w:p>
          <w:p w14:paraId="3BEFEC2A" w14:textId="77777777" w:rsidR="00950620" w:rsidRPr="00694BB7" w:rsidRDefault="002C56BE" w:rsidP="00465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Vyplácanie </w:t>
            </w:r>
            <w:r w:rsidRPr="002C56BE">
              <w:rPr>
                <w:sz w:val="20"/>
                <w:szCs w:val="20"/>
              </w:rPr>
              <w:t xml:space="preserve">13. a 14. platu </w:t>
            </w:r>
            <w:r>
              <w:rPr>
                <w:sz w:val="20"/>
                <w:szCs w:val="20"/>
              </w:rPr>
              <w:t xml:space="preserve">oslobodeného od  sociálnych  odvodov </w:t>
            </w:r>
            <w:r w:rsidR="00CC6998">
              <w:rPr>
                <w:sz w:val="20"/>
                <w:szCs w:val="20"/>
              </w:rPr>
              <w:t xml:space="preserve">podľa súčasného právneho stavu </w:t>
            </w:r>
            <w:r>
              <w:rPr>
                <w:sz w:val="20"/>
                <w:szCs w:val="20"/>
              </w:rPr>
              <w:t xml:space="preserve">zakladá v aktuálnom  období ekonomickej </w:t>
            </w:r>
            <w:r w:rsidR="00465D9A">
              <w:rPr>
                <w:sz w:val="20"/>
                <w:szCs w:val="20"/>
              </w:rPr>
              <w:t>recesie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signifikantný</w:t>
            </w:r>
            <w:proofErr w:type="spellEnd"/>
            <w:r>
              <w:rPr>
                <w:sz w:val="20"/>
                <w:szCs w:val="20"/>
              </w:rPr>
              <w:t xml:space="preserve"> výpadok príjmov v rozpočet verejnej správy. </w:t>
            </w:r>
          </w:p>
        </w:tc>
      </w:tr>
      <w:tr w:rsidR="008A5C2E" w14:paraId="59C8E4FF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41F7B7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8A5C2E" w14:paraId="3B48E29B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05E95A" w14:textId="5302F63D" w:rsidR="001123CD" w:rsidRPr="003E502A" w:rsidRDefault="001123CD" w:rsidP="001123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E502A">
              <w:rPr>
                <w:sz w:val="20"/>
                <w:szCs w:val="20"/>
              </w:rPr>
              <w:t>V nadväznosti na bod 2. a aj v súlade so záväzkom vyplývajúcom z Programového vyhlásenia vlády SR na roky 2020-2024 „zaviesť spravodlivosť a upraviť podmienky poskytovania minimálneho dôchodku a zvážiť spravodlivú valorizáciu minimálnych dôchodkov“ sa navrhuje „zmrazenie“ nominálnych súm minimálneho dôchodku na úroveň roku 2020. To znamená, že napríklad suma minimálneho dôchodku za 30 rokov obdobia dôchodkového poistenia bude</w:t>
            </w:r>
            <w:r w:rsidR="003E502A">
              <w:rPr>
                <w:sz w:val="20"/>
                <w:szCs w:val="20"/>
              </w:rPr>
              <w:t xml:space="preserve"> 334,3 eura mesačne</w:t>
            </w:r>
            <w:r w:rsidRPr="003E502A">
              <w:rPr>
                <w:sz w:val="20"/>
                <w:szCs w:val="20"/>
              </w:rPr>
              <w:t xml:space="preserve"> s účinnosťou od 1. januára  2021</w:t>
            </w:r>
            <w:r w:rsidRPr="003E502A">
              <w:rPr>
                <w:bCs/>
                <w:color w:val="000000"/>
                <w:sz w:val="20"/>
                <w:szCs w:val="20"/>
              </w:rPr>
              <w:t>.</w:t>
            </w:r>
            <w:r w:rsidRPr="003E502A">
              <w:rPr>
                <w:sz w:val="20"/>
                <w:szCs w:val="20"/>
              </w:rPr>
              <w:t xml:space="preserve"> K opätovnému zvyšovaniu sumy minimálneho dôchodku </w:t>
            </w:r>
            <w:r w:rsidR="00AB7128">
              <w:rPr>
                <w:sz w:val="20"/>
                <w:szCs w:val="20"/>
              </w:rPr>
              <w:t xml:space="preserve">je dôvodné pristúpiť </w:t>
            </w:r>
            <w:r w:rsidRPr="003E502A">
              <w:rPr>
                <w:sz w:val="20"/>
                <w:szCs w:val="20"/>
              </w:rPr>
              <w:t>až po tom, keď suma predstavujúca 136% sumy životného minima pre jednu plnoletú fyzickú osobu prekročí sumu 334</w:t>
            </w:r>
            <w:r w:rsidR="003E502A">
              <w:rPr>
                <w:sz w:val="20"/>
                <w:szCs w:val="20"/>
              </w:rPr>
              <w:t>,3</w:t>
            </w:r>
            <w:r w:rsidRPr="003E502A">
              <w:rPr>
                <w:sz w:val="20"/>
                <w:szCs w:val="20"/>
              </w:rPr>
              <w:t xml:space="preserve"> eur</w:t>
            </w:r>
            <w:r w:rsidR="003E502A">
              <w:rPr>
                <w:sz w:val="20"/>
                <w:szCs w:val="20"/>
              </w:rPr>
              <w:t>a</w:t>
            </w:r>
            <w:r w:rsidRPr="003E502A">
              <w:rPr>
                <w:sz w:val="20"/>
                <w:szCs w:val="20"/>
              </w:rPr>
              <w:t xml:space="preserve">.  </w:t>
            </w:r>
          </w:p>
          <w:p w14:paraId="7CD5C595" w14:textId="77777777" w:rsidR="00737CD0" w:rsidRDefault="00737CD0" w:rsidP="002C56B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3009E58F" w14:textId="33AD6750" w:rsidR="0037262E" w:rsidRDefault="0037262E" w:rsidP="002C56B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n</w:t>
            </w:r>
            <w:r w:rsidRPr="0037262E">
              <w:rPr>
                <w:rFonts w:ascii="Times" w:hAnsi="Times" w:cs="Times"/>
                <w:sz w:val="20"/>
                <w:szCs w:val="20"/>
              </w:rPr>
              <w:t>astaveni</w:t>
            </w:r>
            <w:r w:rsidR="00AB7128">
              <w:rPr>
                <w:rFonts w:ascii="Times" w:hAnsi="Times" w:cs="Times"/>
                <w:sz w:val="20"/>
                <w:szCs w:val="20"/>
              </w:rPr>
              <w:t>a</w:t>
            </w:r>
            <w:r w:rsidRPr="0037262E">
              <w:rPr>
                <w:rFonts w:ascii="Times" w:hAnsi="Times" w:cs="Times"/>
                <w:sz w:val="20"/>
                <w:szCs w:val="20"/>
              </w:rPr>
              <w:t xml:space="preserve"> hranice zárobku pri posudzovaní kvalifikovaných rokov dôchodkového poistenia  na účely minimálneho dôchodku vo výške aspoň 24,1% priem</w:t>
            </w:r>
            <w:r>
              <w:rPr>
                <w:rFonts w:ascii="Times" w:hAnsi="Times" w:cs="Times"/>
                <w:sz w:val="20"/>
                <w:szCs w:val="20"/>
              </w:rPr>
              <w:t>ernej mzdy je</w:t>
            </w:r>
            <w:r w:rsidRPr="0037262E">
              <w:rPr>
                <w:rFonts w:ascii="Times" w:hAnsi="Times" w:cs="Times"/>
                <w:sz w:val="20"/>
                <w:szCs w:val="20"/>
              </w:rPr>
              <w:t xml:space="preserve"> vylúčiť </w:t>
            </w:r>
            <w:r>
              <w:rPr>
                <w:rFonts w:ascii="Times" w:hAnsi="Times" w:cs="Times"/>
                <w:sz w:val="20"/>
                <w:szCs w:val="20"/>
              </w:rPr>
              <w:t>z nároku na minimálny dôchodok obdobia dôchodkového poistenia</w:t>
            </w:r>
            <w:r w:rsidRPr="0037262E">
              <w:rPr>
                <w:rFonts w:ascii="Times" w:hAnsi="Times" w:cs="Times"/>
                <w:sz w:val="20"/>
                <w:szCs w:val="20"/>
              </w:rPr>
              <w:t>, bez významnejších príjmov</w:t>
            </w:r>
            <w:r>
              <w:rPr>
                <w:rFonts w:ascii="Times" w:hAnsi="Times" w:cs="Times"/>
                <w:sz w:val="20"/>
                <w:szCs w:val="20"/>
              </w:rPr>
              <w:t xml:space="preserve"> tak</w:t>
            </w:r>
            <w:r w:rsidRPr="0037262E">
              <w:rPr>
                <w:rFonts w:ascii="Times" w:hAnsi="Times" w:cs="Times"/>
                <w:sz w:val="20"/>
                <w:szCs w:val="20"/>
              </w:rPr>
              <w:t xml:space="preserve">, aby nedochádzalo k </w:t>
            </w:r>
            <w:proofErr w:type="spellStart"/>
            <w:r w:rsidRPr="0037262E">
              <w:rPr>
                <w:rFonts w:ascii="Times" w:hAnsi="Times" w:cs="Times"/>
                <w:sz w:val="20"/>
                <w:szCs w:val="20"/>
              </w:rPr>
              <w:t>demotivácii</w:t>
            </w:r>
            <w:proofErr w:type="spellEnd"/>
            <w:r w:rsidRPr="0037262E">
              <w:rPr>
                <w:rFonts w:ascii="Times" w:hAnsi="Times" w:cs="Times"/>
                <w:sz w:val="20"/>
                <w:szCs w:val="20"/>
              </w:rPr>
              <w:t xml:space="preserve"> poistencov platiť poi</w:t>
            </w:r>
            <w:r>
              <w:rPr>
                <w:rFonts w:ascii="Times" w:hAnsi="Times" w:cs="Times"/>
                <w:sz w:val="20"/>
                <w:szCs w:val="20"/>
              </w:rPr>
              <w:t>stné na dôchodkové poistenie, t. j.</w:t>
            </w:r>
            <w:r w:rsidRPr="0037262E">
              <w:rPr>
                <w:rFonts w:ascii="Times" w:hAnsi="Times" w:cs="Times"/>
                <w:sz w:val="20"/>
                <w:szCs w:val="20"/>
              </w:rPr>
              <w:t xml:space="preserve"> aby platila zásada, že „pracovať a platiť poistné sa oplatí“.</w:t>
            </w:r>
          </w:p>
          <w:p w14:paraId="06B85F51" w14:textId="77777777" w:rsidR="0037262E" w:rsidRDefault="0037262E" w:rsidP="002C56B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6A2D5B06" w14:textId="77777777" w:rsidR="002C56BE" w:rsidRDefault="002C56BE" w:rsidP="002C56B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</w:t>
            </w:r>
            <w:r w:rsidR="008D4902">
              <w:rPr>
                <w:rFonts w:ascii="Times" w:hAnsi="Times" w:cs="Times"/>
                <w:sz w:val="20"/>
                <w:szCs w:val="20"/>
              </w:rPr>
              <w:t>zmien v oblasti</w:t>
            </w:r>
            <w:r>
              <w:rPr>
                <w:rFonts w:ascii="Times" w:hAnsi="Times" w:cs="Times"/>
                <w:sz w:val="20"/>
                <w:szCs w:val="20"/>
              </w:rPr>
              <w:t xml:space="preserve"> 13. a 14. platu je</w:t>
            </w:r>
            <w:r w:rsidR="00465D9A">
              <w:rPr>
                <w:rFonts w:ascii="Times" w:hAnsi="Times" w:cs="Times"/>
                <w:sz w:val="20"/>
                <w:szCs w:val="20"/>
              </w:rPr>
              <w:t xml:space="preserve"> zrušenie existujúcich výnimiek pre zahrňovanie príjmu do vymeriavacieho základu na platenie poistného na sociálne poistenie a </w:t>
            </w:r>
            <w:r>
              <w:rPr>
                <w:rFonts w:ascii="Times" w:hAnsi="Times" w:cs="Times"/>
                <w:sz w:val="20"/>
                <w:szCs w:val="20"/>
              </w:rPr>
              <w:t>konsolidácia verejných financií.</w:t>
            </w:r>
          </w:p>
          <w:p w14:paraId="76EEC164" w14:textId="77777777" w:rsidR="008A5C2E" w:rsidRDefault="008A5C2E" w:rsidP="002C56B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14:paraId="6909E2A6" w14:textId="77777777" w:rsidR="00491341" w:rsidRDefault="00491341" w:rsidP="002C56B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A5C2E" w14:paraId="4A5343D3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62A2826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4.  Dotknuté subjekty</w:t>
            </w:r>
          </w:p>
        </w:tc>
      </w:tr>
      <w:tr w:rsidR="008A5C2E" w14:paraId="435ECC22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5DBF9B" w14:textId="77777777" w:rsidR="00D14890" w:rsidRDefault="00D14890" w:rsidP="00BE1A94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Poberatelia minimálneho dôchodku.</w:t>
            </w:r>
          </w:p>
          <w:p w14:paraId="628C81DC" w14:textId="77777777" w:rsidR="008A5C2E" w:rsidRDefault="00D14890" w:rsidP="00465D9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Zamestnanci, ktorí by poberali 13. a 14. plat oslobodený od sociálnych  odvodov</w:t>
            </w:r>
            <w:r w:rsidR="00CC6998">
              <w:rPr>
                <w:rFonts w:ascii="Times" w:hAnsi="Times" w:cs="Times"/>
                <w:sz w:val="20"/>
                <w:szCs w:val="20"/>
              </w:rPr>
              <w:t xml:space="preserve"> podľa súčasného právneho stavu</w:t>
            </w:r>
            <w:r>
              <w:rPr>
                <w:rFonts w:ascii="Times" w:hAnsi="Times" w:cs="Times"/>
                <w:sz w:val="20"/>
                <w:szCs w:val="20"/>
              </w:rPr>
              <w:t xml:space="preserve"> a ich zamestnávatelia.</w:t>
            </w:r>
          </w:p>
        </w:tc>
      </w:tr>
      <w:tr w:rsidR="008A5C2E" w14:paraId="3080E01F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6CA0DD1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8A5C2E" w14:paraId="6C7B66DB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22CCE4" w14:textId="77777777" w:rsidR="008A5C2E" w:rsidRDefault="00D14890" w:rsidP="00737CD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 súvislosti so zmenami v inštitúte minimálneho dôchodku sa alternatívne uvažovalo </w:t>
            </w:r>
            <w:r w:rsidR="00737CD0">
              <w:rPr>
                <w:bCs/>
                <w:sz w:val="20"/>
                <w:szCs w:val="20"/>
              </w:rPr>
              <w:t>s opätovným naviazaním základnej sumy minimálneho dôchodku na percento sumy životného minima pre jednu plnoletú fyzickú osobu, resp. s naviazaním valorizácie základnej sumy minimálneho dôchodku na rast spotrebiteľských cien za domácnosti dôchodcov</w:t>
            </w:r>
            <w:r w:rsidR="00CC6998">
              <w:rPr>
                <w:bCs/>
                <w:sz w:val="20"/>
                <w:szCs w:val="20"/>
              </w:rPr>
              <w:t>.</w:t>
            </w:r>
          </w:p>
          <w:p w14:paraId="611B398B" w14:textId="0676CD81" w:rsidR="00CC6998" w:rsidRPr="00076B3C" w:rsidRDefault="00420ED1" w:rsidP="008D49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 zrušení</w:t>
            </w:r>
            <w:r w:rsidR="00CC6998">
              <w:rPr>
                <w:bCs/>
                <w:sz w:val="20"/>
                <w:szCs w:val="20"/>
              </w:rPr>
              <w:t xml:space="preserve"> </w:t>
            </w:r>
            <w:r w:rsidR="008D4902" w:rsidRPr="001123CD">
              <w:rPr>
                <w:rStyle w:val="Zvraznenie"/>
                <w:rFonts w:ascii="Times" w:hAnsi="Times" w:cs="Times"/>
                <w:i w:val="0"/>
                <w:sz w:val="20"/>
                <w:szCs w:val="20"/>
              </w:rPr>
              <w:t>výnimky pre nezapočítavanie  13. a 14. platu do vymeriavacieho základu z ktorého sa platí poistné na sociálne poistenie</w:t>
            </w:r>
            <w:r w:rsidR="008D4902" w:rsidRPr="00CC6998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</w:t>
            </w:r>
            <w:r w:rsidR="00CC6998">
              <w:rPr>
                <w:bCs/>
                <w:sz w:val="20"/>
                <w:szCs w:val="20"/>
              </w:rPr>
              <w:t>sa neuvažovalo so žiadnym alternatívnym riešením.</w:t>
            </w:r>
          </w:p>
        </w:tc>
      </w:tr>
      <w:tr w:rsidR="008A5C2E" w14:paraId="25237A56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525C5D6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8A5C2E" w14:paraId="2195F625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18F5A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8A5C2E" w14:paraId="47B3BA46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110AC6E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8A5C2E" w14:paraId="2A7DBE2A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FDDFC0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8A5C2E" w14:paraId="3A63E832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4F51CF0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8A5C2E" w14:paraId="2AE664C4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CFAB2B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2079D1D6" w14:textId="77777777" w:rsidR="00543B8E" w:rsidRPr="00543B8E" w:rsidRDefault="00543B8E" w:rsidP="00491341">
      <w:pPr>
        <w:ind w:left="142" w:hanging="142"/>
        <w:jc w:val="both"/>
        <w:rPr>
          <w:sz w:val="20"/>
          <w:szCs w:val="20"/>
        </w:rPr>
      </w:pPr>
      <w:r w:rsidRPr="00543B8E">
        <w:rPr>
          <w:sz w:val="20"/>
          <w:szCs w:val="20"/>
        </w:rPr>
        <w:t xml:space="preserve">* </w:t>
      </w:r>
      <w:bookmarkStart w:id="0" w:name="_GoBack"/>
      <w:bookmarkEnd w:id="0"/>
      <w:r w:rsidRPr="00543B8E">
        <w:rPr>
          <w:sz w:val="20"/>
          <w:szCs w:val="20"/>
        </w:rPr>
        <w:t xml:space="preserve">vyplniť iba v prípade, ak materiál nie je zahrnutý do Plánu práce vlády Slovenskej republiky alebo Plánu        legislatívnych úloh vlády Slovenskej republiky. </w:t>
      </w:r>
    </w:p>
    <w:p w14:paraId="7C73B07E" w14:textId="77777777"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14:paraId="7D46C2FD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1EB34F6F" w14:textId="77777777" w:rsidR="008A5C2E" w:rsidRDefault="008A5C2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8A5C2E" w14:paraId="405346B1" w14:textId="77777777">
        <w:trPr>
          <w:divId w:val="1983390996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FFB21F9" w14:textId="77777777" w:rsidR="008A5C2E" w:rsidRDefault="008A5C2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8A5C2E" w14:paraId="7C3AA829" w14:textId="77777777">
        <w:trPr>
          <w:divId w:val="198339099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5CBCA18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4D3BD" w14:textId="77777777" w:rsidR="008A5C2E" w:rsidRDefault="00737CD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A5C2E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  </w:t>
            </w:r>
            <w:r w:rsidR="008A5C2E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BA50B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7775B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37CD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37CD0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6D7F8457" w14:textId="77777777">
        <w:trPr>
          <w:divId w:val="198339099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21F62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AE16B" w14:textId="77777777" w:rsidR="008A5C2E" w:rsidRPr="00076B3C" w:rsidRDefault="008A5C2E">
            <w:pPr>
              <w:rPr>
                <w:rFonts w:ascii="Times" w:hAnsi="Times" w:cs="Times"/>
                <w:sz w:val="20"/>
                <w:szCs w:val="20"/>
              </w:rPr>
            </w:pPr>
            <w:r w:rsidRPr="00076B3C">
              <w:rPr>
                <w:rFonts w:ascii="Times" w:hAnsi="Times" w:cs="Times"/>
                <w:sz w:val="20"/>
                <w:szCs w:val="20"/>
              </w:rPr>
              <w:t> </w:t>
            </w:r>
            <w:r w:rsidR="00625053" w:rsidRPr="00076B3C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25053" w:rsidRPr="00076B3C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076B3C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6B896" w14:textId="77777777" w:rsidR="008A5C2E" w:rsidRPr="00076B3C" w:rsidRDefault="008A5C2E">
            <w:pPr>
              <w:rPr>
                <w:rFonts w:ascii="Times" w:hAnsi="Times" w:cs="Times"/>
                <w:sz w:val="20"/>
                <w:szCs w:val="20"/>
              </w:rPr>
            </w:pPr>
            <w:r w:rsidRPr="00076B3C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076B3C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076B3C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42FEE" w14:textId="77777777" w:rsidR="008A5C2E" w:rsidRPr="00076B3C" w:rsidRDefault="00625053">
            <w:pPr>
              <w:rPr>
                <w:rFonts w:ascii="Times" w:hAnsi="Times" w:cs="Times"/>
                <w:sz w:val="20"/>
                <w:szCs w:val="20"/>
              </w:rPr>
            </w:pPr>
            <w:r w:rsidRPr="00076B3C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076B3C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8A5C2E" w:rsidRPr="00076B3C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8A5C2E" w14:paraId="4929C42A" w14:textId="77777777">
        <w:trPr>
          <w:divId w:val="198339099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004F75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28B11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DF4A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37CD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37CD0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0611A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37CD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37CD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1DEC5FAA" w14:textId="77777777">
        <w:trPr>
          <w:divId w:val="198339099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4F0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0B715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C8927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685EB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37CD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37CD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0271A62F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1EC7B0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F76FE" w14:textId="40510B3C" w:rsidR="008A5C2E" w:rsidRDefault="00EA702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A5C2E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    </w:t>
            </w:r>
            <w:r w:rsidR="008A5C2E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4AFC3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79C3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37CD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37CD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777FFF35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D00FA44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DEE75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1AA44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DA92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697DF931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46E889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BF2B0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A02E1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D73B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05243F79" w14:textId="77777777">
        <w:trPr>
          <w:divId w:val="1983390996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0CDBD58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5AC11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6CC82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08A3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2F1359C9" w14:textId="77777777">
        <w:trPr>
          <w:divId w:val="1983390996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3BB5B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766F4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570C2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3C5A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5B78B452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46848F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4EAF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837B7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E43B7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40AA9CC2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6C4C98B0" w14:textId="77777777" w:rsidR="008A5C2E" w:rsidRDefault="008A5C2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8A5C2E" w14:paraId="4B3B0300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18A8C73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8A5C2E" w14:paraId="2ED76D1F" w14:textId="77777777">
        <w:trPr>
          <w:divId w:val="38433362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EEEE11" w14:textId="387762A2" w:rsidR="00CC6998" w:rsidRDefault="008A5C2E" w:rsidP="00CC6998">
            <w:pPr>
              <w:pStyle w:val="Normlnywebov"/>
              <w:spacing w:before="0" w:beforeAutospacing="0" w:after="0" w:afterAutospacing="0"/>
              <w:jc w:val="both"/>
              <w:rPr>
                <w:rStyle w:val="Zvraznenie"/>
                <w:rFonts w:ascii="Times" w:hAnsi="Times" w:cs="Times"/>
                <w:sz w:val="20"/>
                <w:szCs w:val="20"/>
              </w:rPr>
            </w:pPr>
            <w:r w:rsidRPr="00E82B41">
              <w:rPr>
                <w:rStyle w:val="Zvraznenie"/>
                <w:rFonts w:ascii="Times" w:hAnsi="Times" w:cs="Times"/>
                <w:sz w:val="20"/>
                <w:szCs w:val="20"/>
                <w:u w:val="single"/>
              </w:rPr>
              <w:t>Vplyvy na rozpočet verejnej správy</w:t>
            </w:r>
            <w:r w:rsidRPr="00E82B41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– vplyv na rozpoče</w:t>
            </w:r>
            <w:r w:rsidR="00737CD0">
              <w:rPr>
                <w:rStyle w:val="Zvraznenie"/>
                <w:rFonts w:ascii="Times" w:hAnsi="Times" w:cs="Times"/>
                <w:sz w:val="20"/>
                <w:szCs w:val="20"/>
              </w:rPr>
              <w:t>t verejnej správy bude pozitívny z dôvodu zníženia očakávaných výdavkov na  minimáln</w:t>
            </w:r>
            <w:r w:rsidR="00A4434B">
              <w:rPr>
                <w:rStyle w:val="Zvraznenie"/>
                <w:rFonts w:ascii="Times" w:hAnsi="Times" w:cs="Times"/>
                <w:sz w:val="20"/>
                <w:szCs w:val="20"/>
              </w:rPr>
              <w:t>y</w:t>
            </w:r>
            <w:r w:rsidR="00737CD0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dôchod</w:t>
            </w:r>
            <w:r w:rsidR="00A4434B">
              <w:rPr>
                <w:rStyle w:val="Zvraznenie"/>
                <w:rFonts w:ascii="Times" w:hAnsi="Times" w:cs="Times"/>
                <w:sz w:val="20"/>
                <w:szCs w:val="20"/>
              </w:rPr>
              <w:t>ok</w:t>
            </w:r>
            <w:r w:rsidR="00737CD0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a z dôvodu zvýšenia príjmov, ktoré zakladá zrušenie </w:t>
            </w:r>
            <w:r w:rsidR="00A4434B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výnimky pre nezapočítavanie </w:t>
            </w:r>
            <w:r w:rsidR="00737CD0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</w:t>
            </w:r>
            <w:r w:rsidR="00CC6998">
              <w:rPr>
                <w:rStyle w:val="Zvraznenie"/>
                <w:rFonts w:ascii="Times" w:hAnsi="Times" w:cs="Times"/>
                <w:sz w:val="20"/>
                <w:szCs w:val="20"/>
              </w:rPr>
              <w:t>13. a 14. platu</w:t>
            </w:r>
            <w:r w:rsidR="00A4434B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do vymeriavacieho základu </w:t>
            </w:r>
            <w:r w:rsidR="00EA7027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z ktorého sa platí poistné </w:t>
            </w:r>
            <w:r w:rsidR="00A4434B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na sociálne poistenie. </w:t>
            </w:r>
            <w:r w:rsidR="00CC6998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</w:t>
            </w:r>
          </w:p>
          <w:p w14:paraId="362FDE90" w14:textId="77777777" w:rsidR="00CC6998" w:rsidRDefault="00CC6998" w:rsidP="00CC6998">
            <w:pPr>
              <w:pStyle w:val="Normlnywebov"/>
              <w:spacing w:before="0" w:beforeAutospacing="0" w:after="0" w:afterAutospacing="0"/>
              <w:jc w:val="both"/>
              <w:rPr>
                <w:rStyle w:val="Zvraznenie"/>
                <w:rFonts w:ascii="Times" w:hAnsi="Times" w:cs="Times"/>
                <w:sz w:val="20"/>
                <w:szCs w:val="20"/>
              </w:rPr>
            </w:pPr>
          </w:p>
          <w:p w14:paraId="657A12BA" w14:textId="20F34C21" w:rsidR="00A4434B" w:rsidRDefault="00A4434B" w:rsidP="00A4434B">
            <w:pPr>
              <w:pStyle w:val="Normlnywebov"/>
              <w:spacing w:before="0" w:beforeAutospacing="0" w:after="0" w:afterAutospacing="0"/>
              <w:jc w:val="both"/>
              <w:rPr>
                <w:rStyle w:val="Zvraznenie"/>
                <w:rFonts w:ascii="Times" w:hAnsi="Times" w:cs="Times"/>
                <w:sz w:val="20"/>
                <w:szCs w:val="20"/>
              </w:rPr>
            </w:pPr>
            <w:r w:rsidRPr="00CC6998">
              <w:rPr>
                <w:rStyle w:val="Zvraznenie"/>
                <w:rFonts w:ascii="Times" w:hAnsi="Times" w:cs="Times"/>
                <w:sz w:val="20"/>
                <w:szCs w:val="20"/>
                <w:u w:val="single"/>
              </w:rPr>
              <w:t>Vplyvy na podnikateľské prostredie</w:t>
            </w:r>
            <w:r>
              <w:rPr>
                <w:rStyle w:val="Zvraznenie"/>
                <w:rFonts w:ascii="Times" w:hAnsi="Times" w:cs="Times"/>
                <w:sz w:val="20"/>
                <w:szCs w:val="20"/>
                <w:u w:val="single"/>
              </w:rPr>
              <w:t xml:space="preserve"> </w:t>
            </w:r>
            <w:r w:rsidR="00B31EFB">
              <w:rPr>
                <w:rStyle w:val="Zvraznenie"/>
                <w:rFonts w:ascii="Times" w:hAnsi="Times" w:cs="Times"/>
                <w:sz w:val="20"/>
                <w:szCs w:val="20"/>
                <w:u w:val="single"/>
              </w:rPr>
              <w:t>–</w:t>
            </w:r>
            <w:r>
              <w:rPr>
                <w:rStyle w:val="Zvraznenie"/>
                <w:rFonts w:ascii="Times" w:hAnsi="Times" w:cs="Times"/>
                <w:sz w:val="20"/>
                <w:szCs w:val="20"/>
                <w:u w:val="single"/>
              </w:rPr>
              <w:t xml:space="preserve"> </w:t>
            </w:r>
            <w:r w:rsidR="00B31EFB">
              <w:rPr>
                <w:rStyle w:val="Zvraznenie"/>
                <w:rFonts w:ascii="Times" w:hAnsi="Times" w:cs="Times"/>
                <w:sz w:val="20"/>
                <w:szCs w:val="20"/>
              </w:rPr>
              <w:t>z</w:t>
            </w:r>
            <w:r w:rsidRPr="00CC6998">
              <w:rPr>
                <w:rStyle w:val="Zvraznenie"/>
                <w:rFonts w:ascii="Times" w:hAnsi="Times" w:cs="Times"/>
                <w:sz w:val="20"/>
                <w:szCs w:val="20"/>
              </w:rPr>
              <w:t>rušenie</w:t>
            </w:r>
            <w:r w:rsidR="00B31EFB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výnimky pre nezapočítavanie  13. a 14. platu do vymeriavacieho základu z ktorého sa platí poistné na sociálne poistenie</w:t>
            </w:r>
            <w:r w:rsidRPr="00CC6998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</w:t>
            </w:r>
            <w:r w:rsidR="008D4902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prináša</w:t>
            </w:r>
            <w:r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negatívny vplyv na zamestnávateľov, ktor</w:t>
            </w:r>
            <w:r w:rsidR="00B31EFB">
              <w:rPr>
                <w:rStyle w:val="Zvraznenie"/>
                <w:rFonts w:ascii="Times" w:hAnsi="Times" w:cs="Times"/>
                <w:sz w:val="20"/>
                <w:szCs w:val="20"/>
              </w:rPr>
              <w:t>í by pre svojich zamestnancov využili inštitút vyplatenia 13. a 14. platu</w:t>
            </w:r>
            <w:r w:rsidR="008D4902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so zvýhodnením na strane sociálneho poistenia</w:t>
            </w:r>
            <w:r w:rsidR="00EA7027">
              <w:rPr>
                <w:rStyle w:val="Zvraznenie"/>
                <w:rFonts w:ascii="Times" w:hAnsi="Times" w:cs="Times"/>
                <w:sz w:val="20"/>
                <w:szCs w:val="20"/>
              </w:rPr>
              <w:t>.</w:t>
            </w:r>
          </w:p>
          <w:p w14:paraId="172D504D" w14:textId="77777777" w:rsidR="00A4434B" w:rsidRDefault="00A4434B" w:rsidP="00CC6998">
            <w:pPr>
              <w:pStyle w:val="Normlnywebov"/>
              <w:spacing w:before="0" w:beforeAutospacing="0" w:after="0" w:afterAutospacing="0"/>
              <w:jc w:val="both"/>
              <w:rPr>
                <w:rStyle w:val="Zvraznenie"/>
                <w:rFonts w:ascii="Times" w:hAnsi="Times" w:cs="Times"/>
                <w:sz w:val="20"/>
                <w:szCs w:val="20"/>
              </w:rPr>
            </w:pPr>
          </w:p>
          <w:p w14:paraId="301849E4" w14:textId="03441303" w:rsidR="008A5C2E" w:rsidRPr="00CC6998" w:rsidRDefault="008A5C2E" w:rsidP="00420ED1">
            <w:pPr>
              <w:pStyle w:val="Normlnywebov"/>
              <w:spacing w:before="0" w:beforeAutospacing="0" w:after="0" w:afterAutospacing="0"/>
              <w:jc w:val="both"/>
              <w:rPr>
                <w:rFonts w:ascii="Times" w:hAnsi="Times" w:cs="Times"/>
                <w:i/>
                <w:iCs/>
                <w:sz w:val="20"/>
                <w:szCs w:val="20"/>
              </w:rPr>
            </w:pPr>
            <w:r>
              <w:rPr>
                <w:rStyle w:val="Zvraznenie"/>
                <w:rFonts w:ascii="Times" w:hAnsi="Times" w:cs="Times"/>
                <w:sz w:val="20"/>
                <w:szCs w:val="20"/>
                <w:u w:val="single"/>
              </w:rPr>
              <w:t>Sociálne vplyvy</w:t>
            </w:r>
            <w:r w:rsidR="00CC6998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– </w:t>
            </w:r>
            <w:r w:rsidR="00CC6998" w:rsidRPr="00CC6998">
              <w:rPr>
                <w:rStyle w:val="Zvraznenie"/>
                <w:rFonts w:ascii="Times" w:hAnsi="Times" w:cs="Times"/>
                <w:sz w:val="20"/>
                <w:szCs w:val="20"/>
              </w:rPr>
              <w:t>zmrazenie súm minimálnych dôchodkov má negatívny vplyv na hospodárenie domácností dôchodcov. Zrušenie</w:t>
            </w:r>
            <w:r w:rsidR="008D4902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výnimky pre nezapočítavanie  13. a 14. platu do vymeriavacieho základu z ktorého sa platí </w:t>
            </w:r>
            <w:r w:rsidR="008D4902">
              <w:rPr>
                <w:rStyle w:val="Zvraznenie"/>
                <w:rFonts w:ascii="Times" w:hAnsi="Times" w:cs="Times"/>
                <w:sz w:val="20"/>
                <w:szCs w:val="20"/>
              </w:rPr>
              <w:lastRenderedPageBreak/>
              <w:t>poistné na sociálne poistenie</w:t>
            </w:r>
            <w:r w:rsidR="00CC6998" w:rsidRPr="00CC6998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zakladá</w:t>
            </w:r>
            <w:r w:rsidR="00CC6998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negatívny sociálny vplyv na domácnosti zamestnancov</w:t>
            </w:r>
            <w:r w:rsidR="008D4902">
              <w:rPr>
                <w:rStyle w:val="Zvraznenie"/>
                <w:rFonts w:ascii="Times" w:hAnsi="Times" w:cs="Times"/>
                <w:sz w:val="20"/>
                <w:szCs w:val="20"/>
              </w:rPr>
              <w:t>, ktorým sa uvedené 13. a 14. platy vyplácali so zvýhodnením na strane sociálneho poistenia</w:t>
            </w:r>
            <w:r w:rsidR="00CC6998">
              <w:rPr>
                <w:rStyle w:val="Zvraznenie"/>
                <w:rFonts w:ascii="Times" w:hAnsi="Times" w:cs="Times"/>
                <w:sz w:val="20"/>
                <w:szCs w:val="20"/>
              </w:rPr>
              <w:t>.</w:t>
            </w:r>
            <w:r w:rsidR="00EA7027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Na druhej strane však vyšší vymeriavací základ na platenie poistného bude znamenať v budúcnosti vyššiu sumu dávky sociálneho poistenia, čo bude znamenať pozitívny vplyv na hospodárenie domácností v prípade vzniku konkrétnej sociálnej udalosti. </w:t>
            </w:r>
          </w:p>
        </w:tc>
      </w:tr>
      <w:tr w:rsidR="008A5C2E" w14:paraId="2C7C4ACB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9820812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11.  Kontakt na spracovateľa</w:t>
            </w:r>
          </w:p>
        </w:tc>
      </w:tr>
      <w:tr w:rsidR="008A5C2E" w14:paraId="3745E1BB" w14:textId="77777777" w:rsidTr="00420ED1">
        <w:trPr>
          <w:divId w:val="38433362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F6F18" w14:textId="77777777" w:rsidR="008A5C2E" w:rsidRPr="00625053" w:rsidRDefault="008A5C2E">
            <w:pPr>
              <w:rPr>
                <w:rFonts w:ascii="Times" w:hAnsi="Times" w:cs="Times"/>
                <w:bCs/>
                <w:sz w:val="22"/>
                <w:szCs w:val="22"/>
                <w:lang w:val="en-US"/>
              </w:rPr>
            </w:pPr>
          </w:p>
        </w:tc>
      </w:tr>
      <w:tr w:rsidR="008A5C2E" w14:paraId="6696A3E9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EF1A013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8A5C2E" w14:paraId="68530044" w14:textId="77777777">
        <w:trPr>
          <w:divId w:val="38433362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1B0586" w14:textId="77777777" w:rsidR="008A5C2E" w:rsidRDefault="008A5C2E" w:rsidP="00974981">
            <w:pPr>
              <w:pStyle w:val="Normlnywebov"/>
              <w:spacing w:before="0" w:beforeAutospacing="0" w:after="0" w:afterAutospacing="0"/>
              <w:jc w:val="both"/>
              <w:rPr>
                <w:rStyle w:val="Zvraznenie"/>
                <w:rFonts w:ascii="Times" w:hAnsi="Times" w:cs="Times"/>
                <w:sz w:val="20"/>
                <w:szCs w:val="20"/>
              </w:rPr>
            </w:pPr>
            <w:r w:rsidRPr="00CB129D">
              <w:rPr>
                <w:rStyle w:val="Zvraznenie"/>
                <w:rFonts w:ascii="Times" w:hAnsi="Times" w:cs="Times"/>
                <w:sz w:val="20"/>
                <w:szCs w:val="20"/>
                <w:u w:val="single"/>
              </w:rPr>
              <w:t>Sociálna poisťovňa:</w:t>
            </w:r>
            <w:r w:rsidR="00CB129D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Ú</w:t>
            </w:r>
            <w:r w:rsidRPr="00E82B41">
              <w:rPr>
                <w:rStyle w:val="Zvraznenie"/>
                <w:rFonts w:ascii="Times" w:hAnsi="Times" w:cs="Times"/>
                <w:sz w:val="20"/>
                <w:szCs w:val="20"/>
              </w:rPr>
              <w:t>daje o vyplácaných dôchodkoch Sociálnou poisťovňou na individuálnej báze a makroekonomická prognóza IFP z júna 2020.</w:t>
            </w:r>
          </w:p>
          <w:p w14:paraId="73AFC463" w14:textId="77777777" w:rsidR="00974981" w:rsidRDefault="00974981" w:rsidP="00974981">
            <w:pPr>
              <w:pStyle w:val="Normlnywebov"/>
              <w:spacing w:before="0" w:beforeAutospacing="0" w:after="0" w:afterAutospacing="0"/>
              <w:jc w:val="both"/>
              <w:rPr>
                <w:rStyle w:val="Zvraznenie"/>
                <w:rFonts w:ascii="Times" w:hAnsi="Times" w:cs="Times"/>
                <w:sz w:val="20"/>
                <w:szCs w:val="20"/>
              </w:rPr>
            </w:pPr>
            <w:r w:rsidRPr="00974981">
              <w:rPr>
                <w:rFonts w:ascii="Times" w:hAnsi="Times" w:cs="Times"/>
                <w:sz w:val="20"/>
                <w:szCs w:val="20"/>
                <w:u w:val="single"/>
              </w:rPr>
              <w:t>MF SR</w:t>
            </w:r>
            <w:r>
              <w:rPr>
                <w:rFonts w:ascii="Times" w:hAnsi="Times" w:cs="Times"/>
                <w:sz w:val="20"/>
                <w:szCs w:val="20"/>
                <w:u w:val="single"/>
              </w:rPr>
              <w:t>: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974981">
              <w:rPr>
                <w:rStyle w:val="Zvraznenie"/>
                <w:rFonts w:ascii="Times" w:hAnsi="Times" w:cs="Times"/>
                <w:sz w:val="20"/>
                <w:szCs w:val="20"/>
              </w:rPr>
              <w:t>Aktualizácia vplyvov 13. a 14. platu na rozpočet verenej správy</w:t>
            </w:r>
          </w:p>
          <w:p w14:paraId="390DFA95" w14:textId="77777777" w:rsidR="00974981" w:rsidRPr="00E82B41" w:rsidRDefault="00974981" w:rsidP="00974981">
            <w:pPr>
              <w:pStyle w:val="Normlnywebov"/>
              <w:spacing w:before="0" w:beforeAutospacing="0" w:after="0" w:afterAutospacing="0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A5C2E" w14:paraId="111B4629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33E1E3F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8A5C2E" w14:paraId="65FB6884" w14:textId="77777777">
        <w:trPr>
          <w:divId w:val="384333620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5F3C41" w14:textId="77777777" w:rsidR="00465D9A" w:rsidRPr="00420ED1" w:rsidRDefault="00465D9A" w:rsidP="00465D9A">
            <w:pPr>
              <w:jc w:val="both"/>
              <w:rPr>
                <w:i/>
                <w:sz w:val="20"/>
                <w:szCs w:val="20"/>
              </w:rPr>
            </w:pPr>
            <w:r w:rsidRPr="00420ED1">
              <w:rPr>
                <w:i/>
                <w:sz w:val="20"/>
                <w:szCs w:val="20"/>
              </w:rPr>
              <w:t>V prípade predloženého návrhu zákona Stála pracovná komisia Legislatívnej rady vlády Slovenskej republiky na posudzovanie vybraných vplyvov pri Ministerstve hospodárstva Slovenskej republiky </w:t>
            </w:r>
            <w:r w:rsidRPr="00420ED1">
              <w:rPr>
                <w:b/>
                <w:i/>
                <w:sz w:val="20"/>
                <w:szCs w:val="20"/>
              </w:rPr>
              <w:t>udelila výnimku</w:t>
            </w:r>
            <w:r w:rsidRPr="00420ED1">
              <w:rPr>
                <w:i/>
                <w:sz w:val="20"/>
                <w:szCs w:val="20"/>
              </w:rPr>
              <w:t xml:space="preserve">                                   z uplatňovania postupu podľa Jednotnej metodiky na posudzovanie vybraných vplyvov (predbežné pripomienkové konanie, záverečné posúdenie vybraných vplyvov) podľa bodu 2.6. tejto metodiky.</w:t>
            </w:r>
          </w:p>
          <w:p w14:paraId="06976DA5" w14:textId="77777777" w:rsidR="00E84F60" w:rsidRDefault="00E84F60" w:rsidP="00E84F60">
            <w:pPr>
              <w:ind w:right="-2"/>
            </w:pPr>
          </w:p>
          <w:p w14:paraId="7A561939" w14:textId="77777777" w:rsidR="00E84F60" w:rsidRDefault="00E84F6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  <w:p w14:paraId="54128815" w14:textId="77777777" w:rsidR="00E84F60" w:rsidRDefault="00E84F6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78E57674" w14:textId="77777777"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EEA8F" w14:textId="77777777" w:rsidR="00F00DD6" w:rsidRDefault="00F00DD6">
      <w:r>
        <w:separator/>
      </w:r>
    </w:p>
  </w:endnote>
  <w:endnote w:type="continuationSeparator" w:id="0">
    <w:p w14:paraId="22FBC045" w14:textId="77777777" w:rsidR="00F00DD6" w:rsidRDefault="00F0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139655"/>
      <w:docPartObj>
        <w:docPartGallery w:val="Page Numbers (Bottom of Page)"/>
        <w:docPartUnique/>
      </w:docPartObj>
    </w:sdtPr>
    <w:sdtEndPr/>
    <w:sdtContent>
      <w:p w14:paraId="46DCFCDA" w14:textId="0CC8F694" w:rsidR="00793000" w:rsidRDefault="007930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41">
          <w:rPr>
            <w:noProof/>
          </w:rPr>
          <w:t>3</w:t>
        </w:r>
        <w:r>
          <w:fldChar w:fldCharType="end"/>
        </w:r>
      </w:p>
    </w:sdtContent>
  </w:sdt>
  <w:p w14:paraId="40D5CBB7" w14:textId="77777777" w:rsidR="00793000" w:rsidRDefault="007930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DB101" w14:textId="77777777" w:rsidR="00F00DD6" w:rsidRDefault="00F00DD6">
      <w:r>
        <w:separator/>
      </w:r>
    </w:p>
  </w:footnote>
  <w:footnote w:type="continuationSeparator" w:id="0">
    <w:p w14:paraId="79100A95" w14:textId="77777777" w:rsidR="00F00DD6" w:rsidRDefault="00F00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33E1"/>
    <w:rsid w:val="00065A30"/>
    <w:rsid w:val="000665C2"/>
    <w:rsid w:val="00071BF8"/>
    <w:rsid w:val="0007385D"/>
    <w:rsid w:val="00076B3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6958"/>
    <w:rsid w:val="00097170"/>
    <w:rsid w:val="000B0731"/>
    <w:rsid w:val="000B0953"/>
    <w:rsid w:val="000B3341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23CD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385"/>
    <w:rsid w:val="00245FA9"/>
    <w:rsid w:val="00246C1E"/>
    <w:rsid w:val="002532E5"/>
    <w:rsid w:val="002574A3"/>
    <w:rsid w:val="002604ED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4CB"/>
    <w:rsid w:val="002A67FB"/>
    <w:rsid w:val="002A6BA2"/>
    <w:rsid w:val="002A7CB2"/>
    <w:rsid w:val="002B0F6B"/>
    <w:rsid w:val="002C2145"/>
    <w:rsid w:val="002C2805"/>
    <w:rsid w:val="002C55F1"/>
    <w:rsid w:val="002C56BE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2EDC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684"/>
    <w:rsid w:val="003409D2"/>
    <w:rsid w:val="00341294"/>
    <w:rsid w:val="00344849"/>
    <w:rsid w:val="00347709"/>
    <w:rsid w:val="003513AE"/>
    <w:rsid w:val="00351D80"/>
    <w:rsid w:val="003562FC"/>
    <w:rsid w:val="00357F38"/>
    <w:rsid w:val="003606E9"/>
    <w:rsid w:val="00362A9B"/>
    <w:rsid w:val="003636C0"/>
    <w:rsid w:val="0036409B"/>
    <w:rsid w:val="00366FF3"/>
    <w:rsid w:val="0037262E"/>
    <w:rsid w:val="00376C16"/>
    <w:rsid w:val="0038271D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411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E502A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0ED1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674D"/>
    <w:rsid w:val="004570D2"/>
    <w:rsid w:val="00457459"/>
    <w:rsid w:val="00457498"/>
    <w:rsid w:val="00457CFF"/>
    <w:rsid w:val="00465B09"/>
    <w:rsid w:val="00465D9A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1341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1FF4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41C8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4EF5"/>
    <w:rsid w:val="005A1884"/>
    <w:rsid w:val="005A4A17"/>
    <w:rsid w:val="005A4F8C"/>
    <w:rsid w:val="005B2622"/>
    <w:rsid w:val="005B2876"/>
    <w:rsid w:val="005B35B5"/>
    <w:rsid w:val="005B4619"/>
    <w:rsid w:val="005B57DE"/>
    <w:rsid w:val="005C0018"/>
    <w:rsid w:val="005C0254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053"/>
    <w:rsid w:val="00625F21"/>
    <w:rsid w:val="00626827"/>
    <w:rsid w:val="00626E9A"/>
    <w:rsid w:val="00627B86"/>
    <w:rsid w:val="006314A5"/>
    <w:rsid w:val="006330CB"/>
    <w:rsid w:val="006346F5"/>
    <w:rsid w:val="006411E7"/>
    <w:rsid w:val="00642BF4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4BB7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5258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37CD0"/>
    <w:rsid w:val="0075242C"/>
    <w:rsid w:val="007542D5"/>
    <w:rsid w:val="00756401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000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D780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1BEA"/>
    <w:rsid w:val="00814827"/>
    <w:rsid w:val="00814E3E"/>
    <w:rsid w:val="008152AB"/>
    <w:rsid w:val="00821659"/>
    <w:rsid w:val="00822E28"/>
    <w:rsid w:val="00823142"/>
    <w:rsid w:val="008244A9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1C60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5C2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902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422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03F"/>
    <w:rsid w:val="00937C91"/>
    <w:rsid w:val="00940A59"/>
    <w:rsid w:val="00940D0C"/>
    <w:rsid w:val="009415AB"/>
    <w:rsid w:val="00941984"/>
    <w:rsid w:val="00943CA7"/>
    <w:rsid w:val="00944C45"/>
    <w:rsid w:val="00946F53"/>
    <w:rsid w:val="00950620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74981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D7F92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434B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128"/>
    <w:rsid w:val="00AB787B"/>
    <w:rsid w:val="00AC0B91"/>
    <w:rsid w:val="00AC1D35"/>
    <w:rsid w:val="00AC2978"/>
    <w:rsid w:val="00AC323E"/>
    <w:rsid w:val="00AC40E0"/>
    <w:rsid w:val="00AC5D0D"/>
    <w:rsid w:val="00AC705D"/>
    <w:rsid w:val="00AC7672"/>
    <w:rsid w:val="00AD1059"/>
    <w:rsid w:val="00AD2636"/>
    <w:rsid w:val="00AD2D31"/>
    <w:rsid w:val="00AD39FF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1EFB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5BB4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853C3"/>
    <w:rsid w:val="00B946F4"/>
    <w:rsid w:val="00B97824"/>
    <w:rsid w:val="00BA0A86"/>
    <w:rsid w:val="00BA30E9"/>
    <w:rsid w:val="00BA333F"/>
    <w:rsid w:val="00BA3720"/>
    <w:rsid w:val="00BA380E"/>
    <w:rsid w:val="00BB1663"/>
    <w:rsid w:val="00BB272B"/>
    <w:rsid w:val="00BB2E4A"/>
    <w:rsid w:val="00BB77BD"/>
    <w:rsid w:val="00BC073F"/>
    <w:rsid w:val="00BC681F"/>
    <w:rsid w:val="00BC6888"/>
    <w:rsid w:val="00BC6B75"/>
    <w:rsid w:val="00BD7A52"/>
    <w:rsid w:val="00BE1A94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2903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0518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29D"/>
    <w:rsid w:val="00CB1AD4"/>
    <w:rsid w:val="00CB1ECB"/>
    <w:rsid w:val="00CB2856"/>
    <w:rsid w:val="00CB47D5"/>
    <w:rsid w:val="00CB53B9"/>
    <w:rsid w:val="00CB6769"/>
    <w:rsid w:val="00CC24FC"/>
    <w:rsid w:val="00CC4020"/>
    <w:rsid w:val="00CC6998"/>
    <w:rsid w:val="00CC720D"/>
    <w:rsid w:val="00CC7445"/>
    <w:rsid w:val="00CD1DC3"/>
    <w:rsid w:val="00CD3ED1"/>
    <w:rsid w:val="00CD7368"/>
    <w:rsid w:val="00CE07E4"/>
    <w:rsid w:val="00CE0CDC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890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5E1D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5A1A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413F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2733D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4F60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A7027"/>
    <w:rsid w:val="00EB089E"/>
    <w:rsid w:val="00EB5E55"/>
    <w:rsid w:val="00EB7541"/>
    <w:rsid w:val="00EC026F"/>
    <w:rsid w:val="00EC3A1D"/>
    <w:rsid w:val="00EC3EA6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0DD6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042"/>
    <w:rsid w:val="00F43E15"/>
    <w:rsid w:val="00F450B7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0941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C6C08"/>
    <w:rsid w:val="00FD04BD"/>
    <w:rsid w:val="00FD2978"/>
    <w:rsid w:val="00FD36F3"/>
    <w:rsid w:val="00FD42DA"/>
    <w:rsid w:val="00FD5AAF"/>
    <w:rsid w:val="00FE0A9B"/>
    <w:rsid w:val="00FE0D3F"/>
    <w:rsid w:val="00FE2869"/>
    <w:rsid w:val="00FE2D30"/>
    <w:rsid w:val="00FE4EA9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D4A2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y"/>
    <w:next w:val="Zkladntext"/>
    <w:link w:val="Nadpis4Char"/>
    <w:qFormat/>
    <w:rsid w:val="00E84F60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Zvraznenie">
    <w:name w:val="Emphasis"/>
    <w:uiPriority w:val="20"/>
    <w:qFormat/>
    <w:rsid w:val="008A5C2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05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25053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052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52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52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52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5258"/>
    <w:rPr>
      <w:b/>
      <w:bCs/>
      <w:sz w:val="20"/>
      <w:szCs w:val="20"/>
    </w:rPr>
  </w:style>
  <w:style w:type="character" w:customStyle="1" w:styleId="Nadpis4Char">
    <w:name w:val="Nadpis 4 Char"/>
    <w:basedOn w:val="Predvolenpsmoodseku"/>
    <w:link w:val="Nadpis4"/>
    <w:rsid w:val="00E84F60"/>
    <w:rPr>
      <w:b/>
      <w:smallCaps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y"/>
    <w:next w:val="Zkladntext"/>
    <w:link w:val="Nadpis4Char"/>
    <w:qFormat/>
    <w:rsid w:val="00E84F60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Zvraznenie">
    <w:name w:val="Emphasis"/>
    <w:uiPriority w:val="20"/>
    <w:qFormat/>
    <w:rsid w:val="008A5C2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05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25053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052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52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52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52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5258"/>
    <w:rPr>
      <w:b/>
      <w:bCs/>
      <w:sz w:val="20"/>
      <w:szCs w:val="20"/>
    </w:rPr>
  </w:style>
  <w:style w:type="character" w:customStyle="1" w:styleId="Nadpis4Char">
    <w:name w:val="Nadpis 4 Char"/>
    <w:basedOn w:val="Predvolenpsmoodseku"/>
    <w:link w:val="Nadpis4"/>
    <w:rsid w:val="00E84F60"/>
    <w:rPr>
      <w:b/>
      <w:smallCaps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5.7.2020 16:21:33"/>
    <f:field ref="objchangedby" par="" text="Administrator, System"/>
    <f:field ref="objmodifiedat" par="" text="15.7.2020 16:21:36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Cebulakova Monika</cp:lastModifiedBy>
  <cp:revision>6</cp:revision>
  <cp:lastPrinted>2020-09-22T12:52:00Z</cp:lastPrinted>
  <dcterms:created xsi:type="dcterms:W3CDTF">2020-09-22T12:46:00Z</dcterms:created>
  <dcterms:modified xsi:type="dcterms:W3CDTF">2020-09-30T10:43:00Z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sociálneho zabezpečenia_x000d_
Dôchodkové zabezpečenie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Vladimír Hornáček</vt:lpwstr>
  </property>
  <property fmtid="{D5CDD505-2E9C-101B-9397-08002B2CF9AE}" pid="9" name="FSC#SKEDITIONSLOVLEX@103.510:zodppredkladatel">
    <vt:lpwstr>Bc. Milan Krajniak</vt:lpwstr>
  </property>
  <property fmtid="{D5CDD505-2E9C-101B-9397-08002B2CF9AE}" pid="10" name="FSC#SKEDITIONSLOVLEX@103.510:nazovpredpis">
    <vt:lpwstr> o 13. dôchodku a o zmene a doplnení niektorých zákonov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návrh</vt:lpwstr>
  </property>
  <property fmtid="{D5CDD505-2E9C-101B-9397-08002B2CF9AE}" pid="16" name="FSC#SKEDITIONSLOVLEX@103.510:plnynazovpredpis">
    <vt:lpwstr> Zákon o 13. dôchodku a o zmene a doplnení niektorých zákonov</vt:lpwstr>
  </property>
  <property fmtid="{D5CDD505-2E9C-101B-9397-08002B2CF9AE}" pid="17" name="FSC#SKEDITIONSLOVLEX@103.510:rezortcislopredpis">
    <vt:lpwstr>18691/2020-M_OPVA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LP/2020/281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upravený v práve Európskej únie</vt:lpwstr>
  </property>
  <property fmtid="{D5CDD505-2E9C-101B-9397-08002B2CF9AE}" pid="36" name="FSC#SKEDITIONSLOVLEX@103.510:AttrStrListDocPropPrimarnePravoEU">
    <vt:lpwstr>čl. 151 a 153 Zmluvy o fungovaní Európskej únie (Ú. v. EÚ C 83, 30. 3. 2010)</vt:lpwstr>
  </property>
  <property fmtid="{D5CDD505-2E9C-101B-9397-08002B2CF9AE}" pid="37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znení,_x000d_
	Nariadenie Európskeho parlamentu a Rady (ES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>nie je upravená.</vt:lpwstr>
  </property>
  <property fmtid="{D5CDD505-2E9C-101B-9397-08002B2CF9AE}" pid="42" name="FSC#SKEDITIONSLOVLEX@103.510:AttrStrListDocPropLehotaPrebratieSmernice">
    <vt:lpwstr>bezpredmetné,</vt:lpwstr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>bezpredmetné,</vt:lpwstr>
  </property>
  <property fmtid="{D5CDD505-2E9C-101B-9397-08002B2CF9AE}" pid="45" name="FSC#SKEDITIONSLOVLEX@103.510:AttrStrListDocPropInfoUzPreberanePP">
    <vt:lpwstr>bezpredmetné,</vt:lpwstr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&lt;p&gt;&lt;em&gt;&lt;u&gt;Vplyvy na rozpočet verejnej správy&lt;/u&gt; – vplyv na rozpočet verejnej správy bude negatívny z&amp;nbsp;dôvodu, že sa predpokladajú vyššie výdavky na 13. dôchodok v&amp;nbsp;porovnaní so schváleným rozpočtom štátnej správy na rok 2020 a rozpočtom verejnej </vt:lpwstr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práce, sociálnych vecí a rodiny Slovenskej republiky predkladá návrh zákona o&amp;nbsp;13. dôchodku a&amp;nbsp;o&amp;nbsp;zmene a doplnení niektorých zákonov ako iniciatívny návrh.&lt;/p&gt;&lt;p style="text-align: justify;"&gt;Predlo</vt:lpwstr>
  </property>
  <property fmtid="{D5CDD505-2E9C-101B-9397-08002B2CF9AE}" pid="130" name="FSC#COOSYSTEM@1.1:Container">
    <vt:lpwstr>COO.2145.1000.3.3933385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nebola o príprave návrhu zákona o&amp;nbsp;13. dôchodku a&amp;nbsp;o&amp;nbsp;zmene a&amp;nbsp;doplnení niektorých zákonov informovaná prostredníctvom predbežnej informácie vzhľadom na postup podľa § 27 ods. 1 zákona č. 400/2015 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ministra práce, sociálnych vecí a rodiny Slovenskej republiky</vt:lpwstr>
  </property>
  <property fmtid="{D5CDD505-2E9C-101B-9397-08002B2CF9AE}" pid="146" name="FSC#SKEDITIONSLOVLEX@103.510:funkciaZodpPredDativ">
    <vt:lpwstr>ministrovi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Bc. Milan Krajniak_x000d_
minister práce, sociálnych vecí a rodiny Slovenskej republiky</vt:lpwstr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15. 7. 2020</vt:lpwstr>
  </property>
</Properties>
</file>