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A6" w:rsidRPr="00A64D2D" w:rsidRDefault="008B25A6" w:rsidP="008B25A6">
      <w:pPr>
        <w:widowControl/>
        <w:jc w:val="center"/>
        <w:rPr>
          <w:b/>
          <w:caps/>
          <w:color w:val="000000"/>
          <w:spacing w:val="30"/>
        </w:rPr>
      </w:pPr>
      <w:r w:rsidRPr="00A64D2D">
        <w:rPr>
          <w:b/>
          <w:caps/>
          <w:color w:val="000000"/>
          <w:spacing w:val="30"/>
        </w:rPr>
        <w:t>Dôvodová správa</w:t>
      </w:r>
    </w:p>
    <w:p w:rsidR="008B25A6" w:rsidRPr="00A64D2D" w:rsidRDefault="008B25A6" w:rsidP="008B25A6">
      <w:pPr>
        <w:widowControl/>
        <w:jc w:val="both"/>
        <w:rPr>
          <w:color w:val="000000"/>
        </w:rPr>
      </w:pPr>
    </w:p>
    <w:p w:rsidR="008B25A6" w:rsidRPr="00A64D2D" w:rsidRDefault="008B25A6" w:rsidP="008B25A6">
      <w:pPr>
        <w:widowControl/>
        <w:jc w:val="both"/>
        <w:rPr>
          <w:b/>
          <w:color w:val="000000"/>
        </w:rPr>
      </w:pPr>
      <w:r w:rsidRPr="00A64D2D">
        <w:rPr>
          <w:b/>
          <w:color w:val="000000"/>
        </w:rPr>
        <w:t>A. Všeobecná časť</w:t>
      </w:r>
    </w:p>
    <w:p w:rsidR="008B25A6" w:rsidRPr="00A312C6" w:rsidRDefault="008B25A6" w:rsidP="008B25A6">
      <w:pPr>
        <w:widowControl/>
        <w:jc w:val="both"/>
      </w:pPr>
    </w:p>
    <w:p w:rsidR="00D035F4" w:rsidRPr="00E117DF" w:rsidRDefault="00D035F4" w:rsidP="00D035F4">
      <w:pPr>
        <w:widowControl/>
        <w:adjustRightInd/>
        <w:spacing w:before="120" w:line="276" w:lineRule="auto"/>
        <w:ind w:firstLine="709"/>
        <w:jc w:val="both"/>
      </w:pPr>
      <w:r>
        <w:t>N</w:t>
      </w:r>
      <w:r w:rsidRPr="000066E1">
        <w:t xml:space="preserve">ávrh </w:t>
      </w:r>
      <w:r>
        <w:t xml:space="preserve">zákona, </w:t>
      </w:r>
      <w:r w:rsidRPr="009C3C87">
        <w:t>ktorým sa mení a dopĺňa zákon</w:t>
      </w:r>
      <w:r>
        <w:t xml:space="preserve"> č. 443/2010</w:t>
      </w:r>
      <w:r w:rsidR="000C62DB">
        <w:t xml:space="preserve"> Z. z.</w:t>
      </w:r>
      <w:r>
        <w:t xml:space="preserve"> o dotáciách na rozvoj bývania a o sociálnom bývaní v znení neskorších predpisov </w:t>
      </w:r>
      <w:r w:rsidRPr="005823B0">
        <w:t xml:space="preserve">sa predkladá </w:t>
      </w:r>
      <w:r w:rsidR="00E1452D" w:rsidRPr="00E117DF">
        <w:t>podľa Plánu legislatívnych úloh vlády Slovenskej republiky na mesiace september až december 2020 a Rámcového plánu legislatívnych úloh vlády Slovenskej republiky na VIII. volebné obdobie schváleného uznesením vlády SR č. 547/2020</w:t>
      </w:r>
      <w:r w:rsidRPr="00E117DF">
        <w:t>.</w:t>
      </w:r>
    </w:p>
    <w:p w:rsidR="00D035F4" w:rsidRPr="00E117DF" w:rsidRDefault="00D035F4" w:rsidP="00D035F4">
      <w:pPr>
        <w:widowControl/>
        <w:adjustRightInd/>
        <w:spacing w:before="120" w:line="276" w:lineRule="auto"/>
        <w:ind w:firstLine="709"/>
        <w:jc w:val="both"/>
      </w:pPr>
      <w:r w:rsidRPr="00E117DF">
        <w:t>Účelom návrhu zákona je v súlade s Programovým vyhlásením vlády</w:t>
      </w:r>
      <w:r w:rsidR="009528C8" w:rsidRPr="00E117DF">
        <w:t xml:space="preserve"> Slovenskej republiky </w:t>
      </w:r>
      <w:r w:rsidR="008C0B26" w:rsidRPr="00E117DF">
        <w:t>na </w:t>
      </w:r>
      <w:r w:rsidR="009528C8" w:rsidRPr="00E117DF">
        <w:t>obdobie rokov</w:t>
      </w:r>
      <w:r w:rsidRPr="00E117DF">
        <w:t xml:space="preserve"> 2020 – 2024 zvýšenie atraktivity nájomného bývania a zefektívnenie čerpania podpory obstarávania nájomných bytov a s tým súvisiaca úprava niektorých podmienok a postupov pri</w:t>
      </w:r>
      <w:r w:rsidR="009902FD" w:rsidRPr="00E117DF">
        <w:t> </w:t>
      </w:r>
      <w:r w:rsidRPr="00E117DF">
        <w:t xml:space="preserve">poskytovaní dotácií na rozvoj bývania, ako aj ďalšie úpravy, ktoré vyplynuli z aplikačnej praxe. </w:t>
      </w:r>
      <w:r w:rsidR="008C0B26" w:rsidRPr="00E117DF">
        <w:t xml:space="preserve">Podstatnou zmenou je návrh na úpravu počtu pásiem, na základe ktorých sa stanovuje podiel poskytnutej dotácie. Ich úpravou dôjde za určitých okolností k zvýšeniu podielu poskytovanej dotácie. </w:t>
      </w:r>
      <w:r w:rsidRPr="00E117DF">
        <w:t>Navrhuje sa tiež upraviť rozsah oprávnených fyzických osôb, ktorým môže byť nájomný byt pridelený, čo bude mať pozitívne sociálne vplyvy, keďže sa zvýši dostupnosť verejného nájomného bývania.</w:t>
      </w:r>
    </w:p>
    <w:p w:rsidR="00D035F4" w:rsidRDefault="00D035F4" w:rsidP="00D035F4">
      <w:pPr>
        <w:widowControl/>
        <w:adjustRightInd/>
        <w:spacing w:before="120" w:line="276" w:lineRule="auto"/>
        <w:ind w:firstLine="709"/>
        <w:jc w:val="both"/>
      </w:pPr>
      <w:r w:rsidRPr="00E117DF">
        <w:t>Predložený návrh zákona má negatívny vplyv na rozpočet verejnej správy,</w:t>
      </w:r>
      <w:r w:rsidR="004F3624">
        <w:t xml:space="preserve"> ktorý </w:t>
      </w:r>
      <w:r w:rsidR="002A5A38">
        <w:t>bude</w:t>
      </w:r>
      <w:r w:rsidR="004F3624">
        <w:t xml:space="preserve"> krytý </w:t>
      </w:r>
      <w:r w:rsidR="004F3624" w:rsidRPr="00D1220B">
        <w:t>v rámci limitu výdavkov rozpočtu kapitoly M</w:t>
      </w:r>
      <w:r w:rsidR="004F3624">
        <w:t xml:space="preserve">inisterstva dopravy a výstavby </w:t>
      </w:r>
      <w:r w:rsidR="004F3624" w:rsidRPr="00D1220B">
        <w:t>SR na príslušný rozpočtový rok</w:t>
      </w:r>
      <w:r w:rsidR="00E1452D" w:rsidRPr="00E117DF">
        <w:t xml:space="preserve">. </w:t>
      </w:r>
      <w:r w:rsidRPr="00E117DF">
        <w:t>Návrh zákona má tiež pozitívne sociálne vpl</w:t>
      </w:r>
      <w:r w:rsidRPr="008C757D">
        <w:t>yvy. Návrh zákona nemá vplyvy na podnikateľské prostredie, na životné prostredie, na informatizáciu, na služby verejnej správy pre občana a</w:t>
      </w:r>
      <w:r>
        <w:t> </w:t>
      </w:r>
      <w:r w:rsidRPr="008C757D">
        <w:t>na manželstvo, rodičovstvo a rodinu.</w:t>
      </w:r>
    </w:p>
    <w:p w:rsidR="00BA028C" w:rsidRDefault="00BA028C" w:rsidP="00BA028C">
      <w:pPr>
        <w:widowControl/>
        <w:adjustRightInd/>
        <w:spacing w:before="120" w:line="276" w:lineRule="auto"/>
        <w:ind w:firstLine="709"/>
        <w:jc w:val="both"/>
      </w:pPr>
      <w:r>
        <w:t xml:space="preserve">Návrh </w:t>
      </w:r>
      <w:r w:rsidR="00D20B07">
        <w:t xml:space="preserve">zákona </w:t>
      </w:r>
      <w:r>
        <w:t xml:space="preserve">nie je predmetom </w:t>
      </w:r>
      <w:proofErr w:type="spellStart"/>
      <w:r>
        <w:t>vnútrokomunitárneho</w:t>
      </w:r>
      <w:proofErr w:type="spellEnd"/>
      <w:r>
        <w:t xml:space="preserve"> pripomienkového konania.</w:t>
      </w:r>
    </w:p>
    <w:p w:rsidR="008C0B26" w:rsidRDefault="008C0B26" w:rsidP="008C0B26">
      <w:pPr>
        <w:widowControl/>
        <w:adjustRightInd/>
        <w:spacing w:before="120" w:line="276" w:lineRule="auto"/>
        <w:ind w:firstLine="709"/>
        <w:jc w:val="both"/>
      </w:pPr>
      <w:r w:rsidRPr="00D77F42">
        <w:t>Dátum účinnosti</w:t>
      </w:r>
      <w:r>
        <w:t xml:space="preserve"> sa </w:t>
      </w:r>
      <w:r w:rsidRPr="00050792">
        <w:t>navrhuje od 1. januára 2021</w:t>
      </w:r>
      <w:r w:rsidR="00460637">
        <w:t xml:space="preserve">, pričom sa zavádza aj prechodné obdobie, počas ktorého sa môžu vlastníci nájomných bytov podporených podľa predpisov účinných do 31. decembra 2010 pripraviť na novú povinnosť postupovať pri starostlivosti o podporený nájomný byt podľa tohto zákona. Táto povinnosť im vznikne až </w:t>
      </w:r>
      <w:r w:rsidRPr="00050792">
        <w:t>od 1. januára 2022.</w:t>
      </w:r>
      <w:r w:rsidR="00892D6F">
        <w:t xml:space="preserve"> Od 1. januára 2023 bude platná aj dodatočná podmienka poskytnutia dotácie, a to, že minimálne 10 % z celkového počtu obstarávaných nájomných bytov musí byť </w:t>
      </w:r>
      <w:r w:rsidR="00DC1E1F">
        <w:t>navrhnutých univerzálne z hľadiska stavebných konštrukcií a to tak, aby ich mohli využívať osoby so zdravotným postihnutím bez dodatočných úprav týchto konštrukcií. Podrobnosti univerzálneho navrhovania ustanoví ministerstvo vo vykonávacom predpise</w:t>
      </w:r>
      <w:r w:rsidR="00892D6F">
        <w:t>.</w:t>
      </w:r>
    </w:p>
    <w:p w:rsidR="00BA028C" w:rsidRPr="00D77F42" w:rsidRDefault="00BA028C" w:rsidP="00BA028C">
      <w:pPr>
        <w:widowControl/>
        <w:adjustRightInd/>
        <w:spacing w:before="120" w:line="276" w:lineRule="auto"/>
        <w:ind w:firstLine="709"/>
        <w:jc w:val="both"/>
      </w:pPr>
      <w:r w:rsidRPr="007A05EB">
        <w:t xml:space="preserve">Návrh </w:t>
      </w:r>
      <w:r w:rsidR="00892D6F">
        <w:t>zákona</w:t>
      </w:r>
      <w:r w:rsidR="00892D6F" w:rsidRPr="007A05EB">
        <w:t xml:space="preserve"> </w:t>
      </w:r>
      <w:r w:rsidRPr="007A05EB">
        <w:t>je v</w:t>
      </w:r>
      <w:r>
        <w:t> </w:t>
      </w:r>
      <w:r w:rsidRPr="007A05EB">
        <w:t>súlade s</w:t>
      </w:r>
      <w:r>
        <w:t> </w:t>
      </w:r>
      <w:r w:rsidRPr="007A05EB">
        <w:t>Ústavou Slovenskej republiky,</w:t>
      </w:r>
      <w:r>
        <w:t xml:space="preserve"> s </w:t>
      </w:r>
      <w:r w:rsidRPr="007A05EB">
        <w:t>ústavnými zákonmi a</w:t>
      </w:r>
      <w:r>
        <w:t> </w:t>
      </w:r>
      <w:r w:rsidRPr="007A05EB">
        <w:t>nálezmi Ústavného súdu Slovenskej republiky, s</w:t>
      </w:r>
      <w:r>
        <w:t> </w:t>
      </w:r>
      <w:r w:rsidRPr="007A05EB">
        <w:t>inými zákonmi a</w:t>
      </w:r>
      <w:r>
        <w:t> </w:t>
      </w:r>
      <w:r w:rsidRPr="007A05EB">
        <w:t>medzinárodnými zmluvami a</w:t>
      </w:r>
      <w:r>
        <w:t> </w:t>
      </w:r>
      <w:r w:rsidRPr="007A05EB">
        <w:t>inými medzinárodnými dokumentmi, ktorými je Slovenská republika viazaná a</w:t>
      </w:r>
      <w:r>
        <w:t> </w:t>
      </w:r>
      <w:r w:rsidRPr="007A05EB">
        <w:t>s</w:t>
      </w:r>
      <w:r>
        <w:t> </w:t>
      </w:r>
      <w:r w:rsidRPr="007A05EB">
        <w:t>právom Európskej únie.</w:t>
      </w:r>
    </w:p>
    <w:p w:rsidR="00A312C6" w:rsidRDefault="00A312C6" w:rsidP="00BA028C">
      <w:pPr>
        <w:pStyle w:val="Zkladntext"/>
        <w:spacing w:before="120" w:line="240" w:lineRule="auto"/>
        <w:ind w:firstLine="709"/>
      </w:pPr>
    </w:p>
    <w:p w:rsidR="00FC5A33" w:rsidRDefault="00FC5A33" w:rsidP="00BA028C">
      <w:pPr>
        <w:pStyle w:val="Zkladntext"/>
        <w:spacing w:before="120" w:line="240" w:lineRule="auto"/>
        <w:ind w:firstLine="709"/>
      </w:pPr>
    </w:p>
    <w:p w:rsidR="00FC5A33" w:rsidRDefault="00FC5A33" w:rsidP="00BA028C">
      <w:pPr>
        <w:pStyle w:val="Zkladntext"/>
        <w:spacing w:before="120" w:line="240" w:lineRule="auto"/>
        <w:ind w:firstLine="709"/>
      </w:pPr>
    </w:p>
    <w:p w:rsidR="00FC5A33" w:rsidRDefault="00FC5A33" w:rsidP="00BA028C">
      <w:pPr>
        <w:pStyle w:val="Zkladntext"/>
        <w:spacing w:before="120" w:line="240" w:lineRule="auto"/>
        <w:ind w:firstLine="709"/>
      </w:pPr>
    </w:p>
    <w:p w:rsidR="00FC5A33" w:rsidRDefault="00FC5A33" w:rsidP="00BA028C">
      <w:pPr>
        <w:pStyle w:val="Zkladntext"/>
        <w:spacing w:before="120" w:line="240" w:lineRule="auto"/>
        <w:ind w:firstLine="709"/>
      </w:pPr>
    </w:p>
    <w:p w:rsidR="00FC5A33" w:rsidRPr="00FC5A33" w:rsidRDefault="00FC5A33" w:rsidP="00FC5A33">
      <w:pPr>
        <w:widowControl/>
        <w:adjustRightInd/>
        <w:jc w:val="center"/>
        <w:rPr>
          <w:b/>
          <w:bCs/>
          <w:sz w:val="28"/>
          <w:szCs w:val="28"/>
        </w:rPr>
      </w:pPr>
      <w:r w:rsidRPr="00FC5A33">
        <w:rPr>
          <w:b/>
          <w:bCs/>
          <w:sz w:val="28"/>
          <w:szCs w:val="28"/>
        </w:rPr>
        <w:lastRenderedPageBreak/>
        <w:t>Doložka vybraných vplyvov</w:t>
      </w:r>
    </w:p>
    <w:p w:rsidR="00FC5A33" w:rsidRPr="00FC5A33" w:rsidRDefault="00FC5A33" w:rsidP="00FC5A33">
      <w:pPr>
        <w:widowControl/>
        <w:adjustRightInd/>
        <w:spacing w:after="200" w:line="276" w:lineRule="auto"/>
        <w:ind w:left="426"/>
        <w:contextualSpacing/>
        <w:rPr>
          <w:rFonts w:asciiTheme="minorHAnsi" w:eastAsiaTheme="minorHAnsi" w:hAnsiTheme="minorHAnsi" w:cstheme="minorBidi"/>
          <w:b/>
          <w:sz w:val="22"/>
          <w:szCs w:val="22"/>
          <w:lang w:eastAsia="en-US"/>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FC5A33" w:rsidRPr="00FC5A33" w:rsidTr="00FC5A33">
        <w:tc>
          <w:tcPr>
            <w:tcW w:w="9180" w:type="dxa"/>
            <w:gridSpan w:val="10"/>
            <w:tcBorders>
              <w:bottom w:val="single" w:sz="4" w:space="0" w:color="FFFFFF" w:themeColor="background1"/>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Základné údaje</w:t>
            </w:r>
          </w:p>
        </w:tc>
      </w:tr>
      <w:tr w:rsidR="00FC5A33" w:rsidRPr="00FC5A33" w:rsidTr="00FC5A33">
        <w:tc>
          <w:tcPr>
            <w:tcW w:w="9180" w:type="dxa"/>
            <w:gridSpan w:val="10"/>
            <w:tcBorders>
              <w:bottom w:val="single" w:sz="4" w:space="0" w:color="FFFFFF" w:themeColor="background1"/>
            </w:tcBorders>
            <w:shd w:val="clear" w:color="auto" w:fill="E2E2E2"/>
          </w:tcPr>
          <w:p w:rsidR="00FC5A33" w:rsidRPr="00FC5A33" w:rsidRDefault="00FC5A33" w:rsidP="00FC5A33">
            <w:pPr>
              <w:widowControl/>
              <w:adjustRightInd/>
              <w:spacing w:after="200" w:line="276" w:lineRule="auto"/>
              <w:ind w:left="142"/>
              <w:contextualSpacing/>
              <w:rPr>
                <w:b/>
                <w:sz w:val="22"/>
                <w:szCs w:val="22"/>
              </w:rPr>
            </w:pPr>
            <w:r w:rsidRPr="00FC5A33">
              <w:rPr>
                <w:b/>
                <w:sz w:val="22"/>
                <w:szCs w:val="22"/>
              </w:rPr>
              <w:t>Názov materiálu</w:t>
            </w:r>
          </w:p>
        </w:tc>
      </w:tr>
      <w:tr w:rsidR="00FC5A33" w:rsidRPr="00FC5A33" w:rsidTr="00FC5A33">
        <w:trPr>
          <w:trHeight w:val="586"/>
        </w:trPr>
        <w:tc>
          <w:tcPr>
            <w:tcW w:w="9180" w:type="dxa"/>
            <w:gridSpan w:val="10"/>
            <w:tcBorders>
              <w:top w:val="single" w:sz="4" w:space="0" w:color="FFFFFF" w:themeColor="background1"/>
              <w:bottom w:val="single" w:sz="4" w:space="0" w:color="auto"/>
            </w:tcBorders>
          </w:tcPr>
          <w:p w:rsidR="00FC5A33" w:rsidRPr="00FC5A33" w:rsidRDefault="00FC5A33" w:rsidP="00FC5A33">
            <w:pPr>
              <w:widowControl/>
              <w:adjustRightInd/>
              <w:jc w:val="both"/>
              <w:rPr>
                <w:sz w:val="20"/>
                <w:szCs w:val="20"/>
              </w:rPr>
            </w:pPr>
            <w:r w:rsidRPr="00FC5A33">
              <w:rPr>
                <w:sz w:val="20"/>
                <w:szCs w:val="20"/>
              </w:rPr>
              <w:t xml:space="preserve">Návrh zákona č........., ktorým sa mení a dopĺňa zákon č. 443/2010 Z. z. o dotáciách na rozvoj bývania a o sociálnom bývaní v znení neskorších predpisov </w:t>
            </w:r>
          </w:p>
        </w:tc>
      </w:tr>
      <w:tr w:rsidR="00FC5A33" w:rsidRPr="00FC5A33" w:rsidTr="00FC5A33">
        <w:tc>
          <w:tcPr>
            <w:tcW w:w="9180" w:type="dxa"/>
            <w:gridSpan w:val="10"/>
            <w:tcBorders>
              <w:top w:val="single" w:sz="4" w:space="0" w:color="auto"/>
              <w:left w:val="single" w:sz="4" w:space="0" w:color="auto"/>
              <w:bottom w:val="single" w:sz="4" w:space="0" w:color="FFFFFF" w:themeColor="background1"/>
            </w:tcBorders>
            <w:shd w:val="clear" w:color="auto" w:fill="E2E2E2"/>
          </w:tcPr>
          <w:p w:rsidR="00FC5A33" w:rsidRPr="00FC5A33" w:rsidRDefault="00FC5A33" w:rsidP="00FC5A33">
            <w:pPr>
              <w:widowControl/>
              <w:adjustRightInd/>
              <w:spacing w:after="200" w:line="276" w:lineRule="auto"/>
              <w:ind w:left="142"/>
              <w:contextualSpacing/>
              <w:rPr>
                <w:b/>
                <w:sz w:val="22"/>
                <w:szCs w:val="22"/>
              </w:rPr>
            </w:pPr>
            <w:r w:rsidRPr="00FC5A33">
              <w:rPr>
                <w:b/>
                <w:sz w:val="22"/>
                <w:szCs w:val="22"/>
              </w:rPr>
              <w:t>Predkladateľ (a spolupredkladateľ)</w:t>
            </w:r>
          </w:p>
        </w:tc>
      </w:tr>
      <w:tr w:rsidR="00FC5A33" w:rsidRPr="00FC5A33" w:rsidTr="00FC5A33">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FC5A33" w:rsidRPr="00FC5A33" w:rsidRDefault="00FC5A33" w:rsidP="00FC5A33">
            <w:pPr>
              <w:widowControl/>
              <w:adjustRightInd/>
              <w:rPr>
                <w:sz w:val="20"/>
                <w:szCs w:val="20"/>
              </w:rPr>
            </w:pPr>
            <w:r w:rsidRPr="00FC5A33">
              <w:rPr>
                <w:sz w:val="20"/>
                <w:szCs w:val="20"/>
              </w:rPr>
              <w:t>Ministerstvo dopravy a výstavby Slovenskej republiky (ďalej ako „MDV SR“)</w:t>
            </w:r>
          </w:p>
          <w:p w:rsidR="00FC5A33" w:rsidRPr="00FC5A33" w:rsidRDefault="00FC5A33" w:rsidP="00FC5A33">
            <w:pPr>
              <w:widowControl/>
              <w:adjustRightInd/>
              <w:rPr>
                <w:sz w:val="20"/>
                <w:szCs w:val="20"/>
              </w:rPr>
            </w:pPr>
          </w:p>
        </w:tc>
      </w:tr>
      <w:tr w:rsidR="00FC5A33" w:rsidRPr="00FC5A33" w:rsidTr="00FC5A33">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FC5A33" w:rsidRPr="00FC5A33" w:rsidRDefault="00FC5A33" w:rsidP="00FC5A33">
            <w:pPr>
              <w:widowControl/>
              <w:adjustRightInd/>
              <w:spacing w:after="200" w:line="276" w:lineRule="auto"/>
              <w:ind w:left="142"/>
              <w:contextualSpacing/>
              <w:rPr>
                <w:b/>
                <w:sz w:val="22"/>
                <w:szCs w:val="22"/>
              </w:rPr>
            </w:pPr>
            <w:r w:rsidRPr="00FC5A33">
              <w:rPr>
                <w:b/>
                <w:sz w:val="22"/>
                <w:szCs w:val="22"/>
              </w:rPr>
              <w:t>Charakter predkladaného materiálu</w:t>
            </w:r>
          </w:p>
        </w:tc>
        <w:sdt>
          <w:sdtPr>
            <w:rPr>
              <w:sz w:val="20"/>
              <w:szCs w:val="20"/>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FC5A33" w:rsidRPr="00FC5A33" w:rsidRDefault="00FC5A33" w:rsidP="00FC5A33">
                <w:pPr>
                  <w:widowControl/>
                  <w:adjustRightInd/>
                  <w:jc w:val="center"/>
                  <w:rPr>
                    <w:sz w:val="20"/>
                    <w:szCs w:val="20"/>
                  </w:rPr>
                </w:pPr>
                <w:r w:rsidRPr="00FC5A33">
                  <w:rPr>
                    <w:rFonts w:ascii="Segoe UI Symbol" w:hAnsi="Segoe UI Symbol" w:cs="Segoe UI Symbol"/>
                    <w:sz w:val="20"/>
                    <w:szCs w:val="20"/>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FC5A33" w:rsidRPr="00FC5A33" w:rsidRDefault="00FC5A33" w:rsidP="00FC5A33">
            <w:pPr>
              <w:widowControl/>
              <w:adjustRightInd/>
              <w:rPr>
                <w:sz w:val="20"/>
                <w:szCs w:val="20"/>
              </w:rPr>
            </w:pPr>
            <w:r w:rsidRPr="00FC5A33">
              <w:rPr>
                <w:sz w:val="20"/>
                <w:szCs w:val="20"/>
              </w:rPr>
              <w:t>Materiál nelegislatívnej povahy</w:t>
            </w:r>
          </w:p>
        </w:tc>
      </w:tr>
      <w:tr w:rsidR="00FC5A33" w:rsidRPr="00FC5A33" w:rsidTr="00FC5A33">
        <w:tc>
          <w:tcPr>
            <w:tcW w:w="4212" w:type="dxa"/>
            <w:gridSpan w:val="2"/>
            <w:vMerge/>
            <w:tcBorders>
              <w:top w:val="nil"/>
              <w:left w:val="single" w:sz="4" w:space="0" w:color="auto"/>
              <w:bottom w:val="single" w:sz="4" w:space="0" w:color="FFFFFF" w:themeColor="background1"/>
            </w:tcBorders>
            <w:shd w:val="clear" w:color="auto" w:fill="E2E2E2"/>
          </w:tcPr>
          <w:p w:rsidR="00FC5A33" w:rsidRPr="00FC5A33" w:rsidRDefault="00FC5A33" w:rsidP="00FC5A33">
            <w:pPr>
              <w:widowControl/>
              <w:adjustRightInd/>
              <w:rPr>
                <w:sz w:val="20"/>
                <w:szCs w:val="20"/>
              </w:rPr>
            </w:pPr>
          </w:p>
        </w:tc>
        <w:sdt>
          <w:sdtPr>
            <w:rPr>
              <w:sz w:val="20"/>
              <w:szCs w:val="20"/>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FC5A33" w:rsidRPr="00FC5A33" w:rsidRDefault="00FC5A33" w:rsidP="00FC5A33">
                <w:pPr>
                  <w:widowControl/>
                  <w:adjustRightInd/>
                  <w:jc w:val="center"/>
                  <w:rPr>
                    <w:sz w:val="20"/>
                    <w:szCs w:val="20"/>
                  </w:rPr>
                </w:pPr>
                <w:r w:rsidRPr="00FC5A33">
                  <w:rPr>
                    <w:rFonts w:ascii="Segoe UI Symbol" w:hAnsi="Segoe UI Symbol" w:cs="Segoe UI Symbol"/>
                    <w:sz w:val="20"/>
                    <w:szCs w:val="20"/>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FC5A33" w:rsidRPr="00FC5A33" w:rsidRDefault="00FC5A33" w:rsidP="00FC5A33">
            <w:pPr>
              <w:widowControl/>
              <w:adjustRightInd/>
              <w:ind w:left="175" w:hanging="175"/>
              <w:rPr>
                <w:sz w:val="20"/>
                <w:szCs w:val="20"/>
              </w:rPr>
            </w:pPr>
            <w:r w:rsidRPr="00FC5A33">
              <w:rPr>
                <w:sz w:val="20"/>
                <w:szCs w:val="20"/>
              </w:rPr>
              <w:t>Materiál legislatívnej povahy</w:t>
            </w:r>
          </w:p>
        </w:tc>
      </w:tr>
      <w:tr w:rsidR="00FC5A33" w:rsidRPr="00FC5A33" w:rsidTr="00FC5A33">
        <w:tc>
          <w:tcPr>
            <w:tcW w:w="4212" w:type="dxa"/>
            <w:gridSpan w:val="2"/>
            <w:vMerge/>
            <w:tcBorders>
              <w:top w:val="nil"/>
              <w:left w:val="single" w:sz="4" w:space="0" w:color="auto"/>
              <w:bottom w:val="single" w:sz="4" w:space="0" w:color="auto"/>
            </w:tcBorders>
            <w:shd w:val="clear" w:color="auto" w:fill="E2E2E2"/>
          </w:tcPr>
          <w:p w:rsidR="00FC5A33" w:rsidRPr="00FC5A33" w:rsidRDefault="00FC5A33" w:rsidP="00FC5A33">
            <w:pPr>
              <w:widowControl/>
              <w:adjustRightInd/>
              <w:rPr>
                <w:sz w:val="20"/>
                <w:szCs w:val="20"/>
              </w:rPr>
            </w:pPr>
          </w:p>
        </w:tc>
        <w:sdt>
          <w:sdtPr>
            <w:rPr>
              <w:sz w:val="20"/>
              <w:szCs w:val="20"/>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FC5A33" w:rsidRPr="00FC5A33" w:rsidRDefault="00FC5A33" w:rsidP="00FC5A33">
                <w:pPr>
                  <w:widowControl/>
                  <w:adjustRightInd/>
                  <w:jc w:val="center"/>
                  <w:rPr>
                    <w:sz w:val="20"/>
                    <w:szCs w:val="20"/>
                  </w:rPr>
                </w:pPr>
                <w:r w:rsidRPr="00FC5A33">
                  <w:rPr>
                    <w:rFonts w:ascii="Segoe UI Symbol" w:hAnsi="Segoe UI Symbol" w:cs="Segoe UI Symbol"/>
                    <w:sz w:val="20"/>
                    <w:szCs w:val="20"/>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FC5A33" w:rsidRPr="00FC5A33" w:rsidRDefault="00FC5A33" w:rsidP="00FC5A33">
            <w:pPr>
              <w:widowControl/>
              <w:adjustRightInd/>
              <w:rPr>
                <w:sz w:val="20"/>
                <w:szCs w:val="20"/>
              </w:rPr>
            </w:pPr>
            <w:r w:rsidRPr="00FC5A33">
              <w:rPr>
                <w:sz w:val="20"/>
                <w:szCs w:val="20"/>
              </w:rPr>
              <w:t>Transpozícia práva EÚ</w:t>
            </w:r>
          </w:p>
        </w:tc>
      </w:tr>
      <w:tr w:rsidR="00FC5A33" w:rsidRPr="00FC5A33" w:rsidTr="00FC5A33">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FC5A33" w:rsidRPr="00FC5A33" w:rsidRDefault="00FC5A33" w:rsidP="00FC5A33">
            <w:pPr>
              <w:widowControl/>
              <w:adjustRightInd/>
              <w:rPr>
                <w:i/>
                <w:sz w:val="20"/>
                <w:szCs w:val="20"/>
              </w:rPr>
            </w:pPr>
            <w:r w:rsidRPr="00FC5A33">
              <w:rPr>
                <w:i/>
                <w:sz w:val="20"/>
                <w:szCs w:val="20"/>
              </w:rPr>
              <w:t>V prípade transpozície uveďte zoznam transponovaných predpisov:</w:t>
            </w:r>
          </w:p>
          <w:p w:rsidR="00FC5A33" w:rsidRPr="00FC5A33" w:rsidRDefault="00FC5A33" w:rsidP="00FC5A33">
            <w:pPr>
              <w:widowControl/>
              <w:adjustRightInd/>
              <w:rPr>
                <w:sz w:val="20"/>
                <w:szCs w:val="20"/>
              </w:rPr>
            </w:pPr>
            <w:r w:rsidRPr="00FC5A33">
              <w:rPr>
                <w:sz w:val="20"/>
                <w:szCs w:val="20"/>
              </w:rPr>
              <w:t>Žiadne.</w:t>
            </w:r>
          </w:p>
          <w:p w:rsidR="00FC5A33" w:rsidRPr="00FC5A33" w:rsidRDefault="00FC5A33" w:rsidP="00FC5A33">
            <w:pPr>
              <w:widowControl/>
              <w:adjustRightInd/>
              <w:rPr>
                <w:sz w:val="20"/>
                <w:szCs w:val="20"/>
              </w:rPr>
            </w:pPr>
          </w:p>
        </w:tc>
      </w:tr>
      <w:tr w:rsidR="00FC5A33" w:rsidRPr="00FC5A33" w:rsidTr="00FC5A33">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adjustRightInd/>
              <w:spacing w:after="200" w:line="276" w:lineRule="auto"/>
              <w:ind w:left="142"/>
              <w:contextualSpacing/>
              <w:rPr>
                <w:b/>
                <w:sz w:val="22"/>
                <w:szCs w:val="22"/>
              </w:rPr>
            </w:pPr>
            <w:r w:rsidRPr="00FC5A33">
              <w:rPr>
                <w:b/>
                <w:sz w:val="22"/>
                <w:szCs w:val="22"/>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FC5A33" w:rsidRPr="00FC5A33" w:rsidRDefault="00FC5A33" w:rsidP="00FC5A33">
            <w:pPr>
              <w:widowControl/>
              <w:adjustRightInd/>
              <w:rPr>
                <w:i/>
                <w:sz w:val="20"/>
                <w:szCs w:val="20"/>
              </w:rPr>
            </w:pPr>
            <w:r w:rsidRPr="00FC5A33">
              <w:rPr>
                <w:i/>
                <w:sz w:val="20"/>
                <w:szCs w:val="20"/>
              </w:rPr>
              <w:t>júl 2020</w:t>
            </w:r>
          </w:p>
        </w:tc>
      </w:tr>
      <w:tr w:rsidR="00FC5A33" w:rsidRPr="00FC5A33" w:rsidTr="00FC5A33">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adjustRightInd/>
              <w:spacing w:after="200" w:line="276" w:lineRule="auto"/>
              <w:ind w:left="142"/>
              <w:contextualSpacing/>
              <w:rPr>
                <w:b/>
                <w:sz w:val="22"/>
                <w:szCs w:val="22"/>
              </w:rPr>
            </w:pPr>
            <w:r w:rsidRPr="00FC5A33">
              <w:rPr>
                <w:b/>
                <w:sz w:val="22"/>
                <w:szCs w:val="22"/>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FC5A33" w:rsidRPr="00FC5A33" w:rsidRDefault="00FC5A33" w:rsidP="00FC5A33">
            <w:pPr>
              <w:widowControl/>
              <w:adjustRightInd/>
              <w:rPr>
                <w:i/>
                <w:sz w:val="20"/>
                <w:szCs w:val="20"/>
              </w:rPr>
            </w:pPr>
            <w:r w:rsidRPr="00FC5A33">
              <w:rPr>
                <w:i/>
                <w:sz w:val="20"/>
                <w:szCs w:val="20"/>
              </w:rPr>
              <w:t>august 2020</w:t>
            </w:r>
          </w:p>
        </w:tc>
      </w:tr>
      <w:tr w:rsidR="00FC5A33" w:rsidRPr="00FC5A33" w:rsidTr="00FC5A33">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adjustRightInd/>
              <w:spacing w:after="200" w:line="276" w:lineRule="auto"/>
              <w:ind w:left="142"/>
              <w:contextualSpacing/>
              <w:rPr>
                <w:b/>
                <w:sz w:val="22"/>
                <w:szCs w:val="22"/>
              </w:rPr>
            </w:pPr>
            <w:r w:rsidRPr="00FC5A33">
              <w:rPr>
                <w:b/>
                <w:sz w:val="22"/>
                <w:szCs w:val="22"/>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FC5A33" w:rsidRPr="00FC5A33" w:rsidRDefault="00FC5A33" w:rsidP="00FC5A33">
            <w:pPr>
              <w:widowControl/>
              <w:adjustRightInd/>
              <w:rPr>
                <w:i/>
                <w:sz w:val="20"/>
                <w:szCs w:val="20"/>
              </w:rPr>
            </w:pPr>
            <w:r w:rsidRPr="00FC5A33">
              <w:rPr>
                <w:i/>
                <w:sz w:val="20"/>
                <w:szCs w:val="20"/>
              </w:rPr>
              <w:t>september 2020</w:t>
            </w:r>
          </w:p>
        </w:tc>
      </w:tr>
      <w:tr w:rsidR="00FC5A33" w:rsidRPr="00FC5A33" w:rsidTr="00FC5A33">
        <w:tc>
          <w:tcPr>
            <w:tcW w:w="9180" w:type="dxa"/>
            <w:gridSpan w:val="10"/>
            <w:tcBorders>
              <w:top w:val="single" w:sz="4" w:space="0" w:color="auto"/>
              <w:left w:val="nil"/>
              <w:bottom w:val="single" w:sz="4" w:space="0" w:color="auto"/>
              <w:right w:val="nil"/>
            </w:tcBorders>
            <w:shd w:val="clear" w:color="auto" w:fill="FFFFFF" w:themeFill="background1"/>
          </w:tcPr>
          <w:p w:rsidR="00FC5A33" w:rsidRPr="00FC5A33" w:rsidRDefault="00FC5A33" w:rsidP="00FC5A33">
            <w:pPr>
              <w:widowControl/>
              <w:adjustRightInd/>
              <w:rPr>
                <w:sz w:val="20"/>
                <w:szCs w:val="20"/>
              </w:rPr>
            </w:pPr>
          </w:p>
        </w:tc>
      </w:tr>
      <w:tr w:rsidR="00FC5A33" w:rsidRPr="00FC5A33" w:rsidTr="00FC5A3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Definovanie problému</w:t>
            </w:r>
          </w:p>
        </w:tc>
      </w:tr>
      <w:tr w:rsidR="00FC5A33" w:rsidRPr="00FC5A33" w:rsidTr="00FC5A33">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C5A33" w:rsidRPr="00FC5A33" w:rsidRDefault="00FC5A33" w:rsidP="00FC5A33">
            <w:pPr>
              <w:widowControl/>
              <w:adjustRightInd/>
              <w:jc w:val="both"/>
              <w:rPr>
                <w:b/>
                <w:sz w:val="20"/>
                <w:szCs w:val="20"/>
              </w:rPr>
            </w:pPr>
            <w:r w:rsidRPr="00FC5A33">
              <w:rPr>
                <w:sz w:val="20"/>
                <w:szCs w:val="20"/>
              </w:rPr>
              <w:t>Významnou formou podpory štátu do oblasti bývania je poskytovanie dotácií pre vybrané oblasti rozvoja bývania, ktoré sú poskytované podľa zákona č. 443/2010 Z. z. o dotáciách na rozvoj bývania a o sociálnom bývaní v znení neskorších predpisov. Účelom návrhu zákona je v súlade s Programovým vyhlásením vlády Slovenskej republiky na obdobie rokov 2020 – 2024 zvýšenie atraktivity nájomného bývania a zefektívnenie čerpania podpory obstarávania nájomných bytov a s tým súvisiaca úprava niektorých podmienok a postupov pri poskytovaní dotácií na rozvoj bývania, ako aj ďalšie úpravy, ktoré vyplynuli z aplikačnej praxe.</w:t>
            </w:r>
          </w:p>
        </w:tc>
      </w:tr>
      <w:tr w:rsidR="00FC5A33" w:rsidRPr="00FC5A33" w:rsidTr="00FC5A33">
        <w:tc>
          <w:tcPr>
            <w:tcW w:w="9180" w:type="dxa"/>
            <w:gridSpan w:val="10"/>
            <w:tcBorders>
              <w:top w:val="single" w:sz="4" w:space="0" w:color="auto"/>
              <w:left w:val="single" w:sz="4" w:space="0" w:color="auto"/>
              <w:bottom w:val="nil"/>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Ciele a výsledný stav</w:t>
            </w:r>
          </w:p>
        </w:tc>
      </w:tr>
      <w:tr w:rsidR="00FC5A33" w:rsidRPr="00FC5A33" w:rsidTr="00FC5A33">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C5A33" w:rsidRPr="00FC5A33" w:rsidRDefault="00FC5A33" w:rsidP="00FC5A33">
            <w:pPr>
              <w:widowControl/>
              <w:adjustRightInd/>
              <w:jc w:val="both"/>
              <w:rPr>
                <w:sz w:val="20"/>
                <w:szCs w:val="20"/>
              </w:rPr>
            </w:pPr>
            <w:r w:rsidRPr="00FC5A33">
              <w:rPr>
                <w:sz w:val="20"/>
                <w:szCs w:val="20"/>
              </w:rPr>
              <w:t xml:space="preserve">Návrhom zákona sa zavádza jednoduchší výpočet podlahovej plochy nájomných bytov pre žiadateľov, upravuje sa definícia účelov poskytnutia dotácie na obstaranie nájomného bytu a jej zosúladenie s poskytovaním podpory zo ŠFRB podľa novelizovaného znenia zákona č. 150/2013 Z. z., upravuje sa podiel dotácie v závislosti od priemernej podlahovej plochy bytov, upresňuje sa postup pri overovaní príjmu oprávnenej fyzickej osoby a rozširuje sa okruh oprávnených fyzických osôb pre poskytnutie nájomného bytu, upravuje sa postup pri poskytovaní dotácie. </w:t>
            </w:r>
          </w:p>
        </w:tc>
      </w:tr>
      <w:tr w:rsidR="00FC5A33" w:rsidRPr="00FC5A33" w:rsidTr="00FC5A33">
        <w:tc>
          <w:tcPr>
            <w:tcW w:w="9180" w:type="dxa"/>
            <w:gridSpan w:val="10"/>
            <w:tcBorders>
              <w:top w:val="single" w:sz="4" w:space="0" w:color="auto"/>
              <w:left w:val="single" w:sz="4" w:space="0" w:color="auto"/>
              <w:bottom w:val="nil"/>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Dotknuté subjekty</w:t>
            </w:r>
          </w:p>
        </w:tc>
      </w:tr>
      <w:tr w:rsidR="00FC5A33" w:rsidRPr="00FC5A33" w:rsidTr="00FC5A33">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C5A33" w:rsidRPr="00FC5A33" w:rsidRDefault="00FC5A33" w:rsidP="00FC5A33">
            <w:pPr>
              <w:widowControl/>
              <w:adjustRightInd/>
              <w:jc w:val="both"/>
              <w:rPr>
                <w:i/>
                <w:sz w:val="20"/>
                <w:szCs w:val="20"/>
              </w:rPr>
            </w:pPr>
            <w:r w:rsidRPr="00FC5A33">
              <w:rPr>
                <w:sz w:val="20"/>
                <w:szCs w:val="20"/>
              </w:rPr>
              <w:t>Obec, mesto, v hlavnom meste Slovenskej republiky Bratislave a v meste Košice mestská časť, vyšší územný celok a nezisková organizácia s minimálnou 51 %-</w:t>
            </w:r>
            <w:proofErr w:type="spellStart"/>
            <w:r w:rsidRPr="00FC5A33">
              <w:rPr>
                <w:sz w:val="20"/>
                <w:szCs w:val="20"/>
              </w:rPr>
              <w:t>nou</w:t>
            </w:r>
            <w:proofErr w:type="spellEnd"/>
            <w:r w:rsidRPr="00FC5A33">
              <w:rPr>
                <w:sz w:val="20"/>
                <w:szCs w:val="20"/>
              </w:rPr>
              <w:t xml:space="preserve"> majetkovou účasťou obce alebo vyššieho územného celku</w:t>
            </w:r>
          </w:p>
        </w:tc>
      </w:tr>
      <w:tr w:rsidR="00FC5A33" w:rsidRPr="00FC5A33" w:rsidTr="00FC5A33">
        <w:tc>
          <w:tcPr>
            <w:tcW w:w="9180" w:type="dxa"/>
            <w:gridSpan w:val="10"/>
            <w:tcBorders>
              <w:top w:val="single" w:sz="4" w:space="0" w:color="auto"/>
              <w:left w:val="single" w:sz="4" w:space="0" w:color="auto"/>
              <w:bottom w:val="nil"/>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Alternatívne riešenia</w:t>
            </w:r>
          </w:p>
        </w:tc>
      </w:tr>
      <w:tr w:rsidR="00FC5A33" w:rsidRPr="00FC5A33" w:rsidTr="00FC5A33">
        <w:trPr>
          <w:trHeight w:val="250"/>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C5A33" w:rsidRPr="00FC5A33" w:rsidRDefault="00FC5A33" w:rsidP="00FC5A33">
            <w:pPr>
              <w:widowControl/>
              <w:adjustRightInd/>
              <w:jc w:val="both"/>
              <w:rPr>
                <w:sz w:val="20"/>
                <w:szCs w:val="20"/>
              </w:rPr>
            </w:pPr>
            <w:r w:rsidRPr="00FC5A33">
              <w:rPr>
                <w:sz w:val="20"/>
                <w:szCs w:val="20"/>
              </w:rPr>
              <w:t>Alternatívou je nulový variant, kedy by sa návrh zákona nerealizoval, t. j. Ministerstvo dopravy a výstavby SR by poskytovalo dotácie na rozvoj bývania podľa zákona č. 443/2010 Z. z. o dotáciách na rozvoj bývania a o sociálnom bývaní v znení neskorších predpisov za súčasných podmienok.</w:t>
            </w:r>
          </w:p>
        </w:tc>
      </w:tr>
      <w:tr w:rsidR="00FC5A33" w:rsidRPr="00FC5A33" w:rsidTr="00FC5A3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Vykonávacie predpisy</w:t>
            </w:r>
          </w:p>
        </w:tc>
      </w:tr>
      <w:tr w:rsidR="00FC5A33" w:rsidRPr="00FC5A33" w:rsidTr="00FC5A33">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FC5A33" w:rsidRPr="00FC5A33" w:rsidRDefault="00FC5A33" w:rsidP="00FC5A33">
            <w:pPr>
              <w:widowControl/>
              <w:adjustRightInd/>
              <w:rPr>
                <w:i/>
                <w:sz w:val="20"/>
                <w:szCs w:val="20"/>
              </w:rPr>
            </w:pPr>
            <w:r w:rsidRPr="00FC5A33">
              <w:rPr>
                <w:i/>
                <w:sz w:val="20"/>
                <w:szCs w:val="20"/>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FC5A33" w:rsidRPr="00FC5A33" w:rsidRDefault="004654F8" w:rsidP="00FC5A33">
            <w:pPr>
              <w:widowControl/>
              <w:adjustRightInd/>
              <w:jc w:val="center"/>
              <w:rPr>
                <w:sz w:val="20"/>
                <w:szCs w:val="20"/>
              </w:rPr>
            </w:pPr>
            <w:sdt>
              <w:sdtPr>
                <w:rPr>
                  <w:sz w:val="20"/>
                  <w:szCs w:val="20"/>
                </w:rPr>
                <w:id w:val="-1407611648"/>
                <w14:checkbox>
                  <w14:checked w14:val="1"/>
                  <w14:checkedState w14:val="2612" w14:font="MS Gothic"/>
                  <w14:uncheckedState w14:val="2610" w14:font="MS Gothic"/>
                </w14:checkbox>
              </w:sdtPr>
              <w:sdtEndPr/>
              <w:sdtContent>
                <w:r w:rsidR="00FC5A33" w:rsidRPr="00FC5A33">
                  <w:rPr>
                    <w:rFonts w:ascii="Segoe UI Symbol" w:hAnsi="Segoe UI Symbol" w:cs="Segoe UI Symbol"/>
                    <w:sz w:val="20"/>
                    <w:szCs w:val="20"/>
                  </w:rPr>
                  <w:t>☒</w:t>
                </w:r>
              </w:sdtContent>
            </w:sdt>
            <w:r w:rsidR="00FC5A33" w:rsidRPr="00FC5A33">
              <w:rPr>
                <w:sz w:val="20"/>
                <w:szCs w:val="20"/>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FC5A33" w:rsidRPr="00FC5A33" w:rsidRDefault="004654F8" w:rsidP="00FC5A33">
            <w:pPr>
              <w:widowControl/>
              <w:adjustRightInd/>
              <w:jc w:val="center"/>
              <w:rPr>
                <w:sz w:val="20"/>
                <w:szCs w:val="20"/>
              </w:rPr>
            </w:pPr>
            <w:sdt>
              <w:sdtPr>
                <w:rPr>
                  <w:sz w:val="20"/>
                  <w:szCs w:val="20"/>
                </w:rPr>
                <w:id w:val="-1625842802"/>
                <w14:checkbox>
                  <w14:checked w14:val="0"/>
                  <w14:checkedState w14:val="2612" w14:font="MS Gothic"/>
                  <w14:uncheckedState w14:val="2610" w14:font="MS Gothic"/>
                </w14:checkbox>
              </w:sdtPr>
              <w:sdtEndPr/>
              <w:sdtContent>
                <w:r w:rsidR="00FC5A33" w:rsidRPr="00FC5A33">
                  <w:rPr>
                    <w:rFonts w:ascii="Segoe UI Symbol" w:hAnsi="Segoe UI Symbol" w:cs="Segoe UI Symbol"/>
                    <w:sz w:val="20"/>
                    <w:szCs w:val="20"/>
                  </w:rPr>
                  <w:t>☐</w:t>
                </w:r>
              </w:sdtContent>
            </w:sdt>
            <w:r w:rsidR="00FC5A33" w:rsidRPr="00FC5A33">
              <w:rPr>
                <w:sz w:val="20"/>
                <w:szCs w:val="20"/>
              </w:rPr>
              <w:t xml:space="preserve"> Nie</w:t>
            </w:r>
          </w:p>
        </w:tc>
      </w:tr>
      <w:tr w:rsidR="00FC5A33" w:rsidRPr="00FC5A33" w:rsidTr="00FC5A33">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C5A33" w:rsidRPr="00FC5A33" w:rsidRDefault="00FC5A33" w:rsidP="00FC5A33">
            <w:pPr>
              <w:widowControl/>
              <w:adjustRightInd/>
              <w:jc w:val="both"/>
              <w:rPr>
                <w:sz w:val="20"/>
                <w:szCs w:val="20"/>
              </w:rPr>
            </w:pPr>
            <w:r w:rsidRPr="00FC5A33">
              <w:rPr>
                <w:sz w:val="20"/>
                <w:szCs w:val="20"/>
              </w:rPr>
              <w:t xml:space="preserve">Vyhláška Ministerstva dopravy a výstavby Slovenskej republiky č. 181/2019 Z. z. o výške dotácie na obstaranie nájomného bytu, obstaranie technickej vybavenosti a odstránenie systémovej poruchy bytového domu a o výške oprávnených nákladov na obstaranie nájomného bytu </w:t>
            </w:r>
          </w:p>
          <w:p w:rsidR="00FC5A33" w:rsidRPr="00FC5A33" w:rsidRDefault="00FC5A33" w:rsidP="00FC5A33">
            <w:pPr>
              <w:widowControl/>
              <w:adjustRightInd/>
              <w:jc w:val="both"/>
              <w:rPr>
                <w:sz w:val="20"/>
                <w:szCs w:val="20"/>
              </w:rPr>
            </w:pPr>
            <w:r w:rsidRPr="00FC5A33">
              <w:rPr>
                <w:sz w:val="20"/>
                <w:szCs w:val="20"/>
              </w:rPr>
              <w:t xml:space="preserve">Opatrenie Ministerstva dopravy a výstavby Slovenskej republiky č. 304/2017 Z. z., ktorým sa ustanovujú vzory žiadostí o poskytnutie dotácie na rozvoj bývania v znení opatrenia č. 335/2018 Z. z. a opatrenia č. 349/2019 Z. z. </w:t>
            </w:r>
          </w:p>
        </w:tc>
      </w:tr>
      <w:tr w:rsidR="00FC5A33" w:rsidRPr="00FC5A33" w:rsidTr="00FC5A3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 xml:space="preserve">Transpozícia práva EÚ </w:t>
            </w:r>
          </w:p>
        </w:tc>
      </w:tr>
      <w:tr w:rsidR="00FC5A33" w:rsidRPr="00FC5A33" w:rsidTr="00FC5A33">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FC5A33" w:rsidRPr="00FC5A33" w:rsidRDefault="00FC5A33" w:rsidP="00FC5A33">
            <w:pPr>
              <w:widowControl/>
              <w:adjustRightInd/>
              <w:rPr>
                <w:sz w:val="20"/>
                <w:szCs w:val="20"/>
              </w:rPr>
            </w:pPr>
            <w:r w:rsidRPr="00FC5A33">
              <w:rPr>
                <w:sz w:val="20"/>
                <w:szCs w:val="20"/>
              </w:rPr>
              <w:t>Navrhovaná právna úprava nie je transpozíciou práva EÚ.</w:t>
            </w:r>
          </w:p>
        </w:tc>
      </w:tr>
      <w:tr w:rsidR="00FC5A33" w:rsidRPr="00FC5A33" w:rsidTr="00FC5A3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Preskúmanie účelnosti**</w:t>
            </w:r>
          </w:p>
        </w:tc>
      </w:tr>
      <w:tr w:rsidR="00FC5A33" w:rsidRPr="00FC5A33" w:rsidTr="00FC5A33">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C5A33" w:rsidRPr="00FC5A33" w:rsidRDefault="00FC5A33" w:rsidP="00FC5A33">
            <w:pPr>
              <w:widowControl/>
              <w:adjustRightInd/>
              <w:rPr>
                <w:i/>
                <w:sz w:val="20"/>
                <w:szCs w:val="20"/>
              </w:rPr>
            </w:pPr>
            <w:r w:rsidRPr="00FC5A33">
              <w:rPr>
                <w:sz w:val="20"/>
                <w:szCs w:val="20"/>
              </w:rPr>
              <w:t>Žiadne.</w:t>
            </w:r>
          </w:p>
        </w:tc>
      </w:tr>
      <w:tr w:rsidR="00FC5A33" w:rsidRPr="00FC5A33" w:rsidTr="00FC5A33">
        <w:trPr>
          <w:trHeight w:val="715"/>
        </w:trPr>
        <w:tc>
          <w:tcPr>
            <w:tcW w:w="9180" w:type="dxa"/>
            <w:gridSpan w:val="10"/>
            <w:tcBorders>
              <w:top w:val="single" w:sz="4" w:space="0" w:color="auto"/>
              <w:left w:val="nil"/>
              <w:bottom w:val="nil"/>
              <w:right w:val="nil"/>
            </w:tcBorders>
            <w:shd w:val="clear" w:color="auto" w:fill="FFFFFF" w:themeFill="background1"/>
          </w:tcPr>
          <w:p w:rsidR="00FC5A33" w:rsidRPr="00FC5A33" w:rsidRDefault="00FC5A33" w:rsidP="00FC5A33">
            <w:pPr>
              <w:widowControl/>
              <w:adjustRightInd/>
              <w:ind w:left="142" w:hanging="142"/>
              <w:rPr>
                <w:sz w:val="20"/>
                <w:szCs w:val="20"/>
              </w:rPr>
            </w:pPr>
          </w:p>
          <w:p w:rsidR="00FC5A33" w:rsidRPr="00FC5A33" w:rsidRDefault="00FC5A33" w:rsidP="00FC5A33">
            <w:pPr>
              <w:widowControl/>
              <w:adjustRightInd/>
              <w:ind w:left="142" w:hanging="142"/>
              <w:rPr>
                <w:sz w:val="20"/>
                <w:szCs w:val="20"/>
              </w:rPr>
            </w:pPr>
            <w:r w:rsidRPr="00FC5A33">
              <w:rPr>
                <w:sz w:val="20"/>
                <w:szCs w:val="20"/>
              </w:rPr>
              <w:t xml:space="preserve">* vyplniť iba v prípade, ak materiál nie je zahrnutý do Plánu práce vlády Slovenskej republiky alebo Plánu legislatívnych úloh vlády Slovenskej republiky. </w:t>
            </w:r>
          </w:p>
          <w:p w:rsidR="00FC5A33" w:rsidRPr="00FC5A33" w:rsidRDefault="00FC5A33" w:rsidP="00FC5A33">
            <w:pPr>
              <w:widowControl/>
              <w:adjustRightInd/>
              <w:rPr>
                <w:sz w:val="20"/>
                <w:szCs w:val="20"/>
              </w:rPr>
            </w:pPr>
            <w:r w:rsidRPr="00FC5A33">
              <w:rPr>
                <w:sz w:val="20"/>
                <w:szCs w:val="20"/>
              </w:rPr>
              <w:t>** nepovinné</w:t>
            </w:r>
          </w:p>
        </w:tc>
      </w:tr>
      <w:tr w:rsidR="00FC5A33" w:rsidRPr="00FC5A33" w:rsidTr="00FC5A33">
        <w:tc>
          <w:tcPr>
            <w:tcW w:w="9180" w:type="dxa"/>
            <w:gridSpan w:val="10"/>
            <w:tcBorders>
              <w:top w:val="nil"/>
              <w:left w:val="nil"/>
              <w:bottom w:val="single" w:sz="4" w:space="0" w:color="auto"/>
              <w:right w:val="nil"/>
            </w:tcBorders>
            <w:shd w:val="clear" w:color="auto" w:fill="FFFFFF" w:themeFill="background1"/>
          </w:tcPr>
          <w:p w:rsidR="00FC5A33" w:rsidRPr="00FC5A33" w:rsidRDefault="00FC5A33" w:rsidP="00FC5A33">
            <w:pPr>
              <w:widowControl/>
              <w:adjustRightInd/>
              <w:rPr>
                <w:b/>
                <w:sz w:val="20"/>
                <w:szCs w:val="20"/>
              </w:rPr>
            </w:pPr>
          </w:p>
        </w:tc>
      </w:tr>
      <w:tr w:rsidR="00FC5A33" w:rsidRPr="00FC5A33" w:rsidTr="00FC5A33">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Vplyvy navrhovaného materiálu</w:t>
            </w:r>
          </w:p>
        </w:tc>
      </w:tr>
      <w:tr w:rsidR="00FC5A33" w:rsidRPr="00FC5A33" w:rsidTr="00FC5A33">
        <w:tc>
          <w:tcPr>
            <w:tcW w:w="3812" w:type="dxa"/>
            <w:tcBorders>
              <w:top w:val="single" w:sz="4" w:space="0" w:color="auto"/>
              <w:left w:val="single" w:sz="4" w:space="0" w:color="auto"/>
              <w:bottom w:val="nil"/>
              <w:right w:val="single" w:sz="4" w:space="0" w:color="auto"/>
            </w:tcBorders>
            <w:shd w:val="clear" w:color="auto" w:fill="E2E2E2"/>
          </w:tcPr>
          <w:p w:rsidR="00FC5A33" w:rsidRPr="00FC5A33" w:rsidRDefault="00FC5A33" w:rsidP="00FC5A33">
            <w:pPr>
              <w:widowControl/>
              <w:adjustRightInd/>
              <w:rPr>
                <w:b/>
                <w:sz w:val="20"/>
                <w:szCs w:val="20"/>
              </w:rPr>
            </w:pPr>
            <w:r w:rsidRPr="00FC5A33">
              <w:rPr>
                <w:b/>
                <w:sz w:val="20"/>
                <w:szCs w:val="20"/>
              </w:rPr>
              <w:t>Vplyvy na rozpočet verejnej správy</w:t>
            </w:r>
          </w:p>
        </w:tc>
        <w:sdt>
          <w:sdtPr>
            <w:rPr>
              <w:b/>
              <w:sz w:val="20"/>
              <w:szCs w:val="20"/>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rPr>
                <w:b/>
                <w:sz w:val="20"/>
                <w:szCs w:val="20"/>
              </w:rPr>
            </w:pPr>
            <w:r w:rsidRPr="00FC5A33">
              <w:rPr>
                <w:b/>
                <w:sz w:val="20"/>
                <w:szCs w:val="20"/>
              </w:rPr>
              <w:t>Pozitívne</w:t>
            </w:r>
          </w:p>
        </w:tc>
        <w:sdt>
          <w:sdtPr>
            <w:rPr>
              <w:b/>
              <w:sz w:val="20"/>
              <w:szCs w:val="20"/>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FC5A33" w:rsidRPr="00FC5A33" w:rsidRDefault="00FC5A33" w:rsidP="00FC5A33">
            <w:pPr>
              <w:widowControl/>
              <w:adjustRightInd/>
              <w:rPr>
                <w:b/>
                <w:sz w:val="20"/>
                <w:szCs w:val="20"/>
              </w:rPr>
            </w:pPr>
            <w:r w:rsidRPr="00FC5A33">
              <w:rPr>
                <w:b/>
                <w:sz w:val="20"/>
                <w:szCs w:val="20"/>
              </w:rPr>
              <w:t>Žiadne</w:t>
            </w:r>
          </w:p>
        </w:tc>
        <w:sdt>
          <w:sdtPr>
            <w:rPr>
              <w:b/>
              <w:sz w:val="20"/>
              <w:szCs w:val="20"/>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ind w:left="-107" w:right="-108"/>
                  <w:jc w:val="center"/>
                  <w:rPr>
                    <w:b/>
                    <w:sz w:val="20"/>
                    <w:szCs w:val="20"/>
                  </w:rPr>
                </w:pPr>
                <w:r w:rsidRPr="00FC5A33">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FC5A33" w:rsidRPr="00FC5A33" w:rsidRDefault="00FC5A33" w:rsidP="00FC5A33">
            <w:pPr>
              <w:widowControl/>
              <w:adjustRightInd/>
              <w:ind w:left="34"/>
              <w:rPr>
                <w:b/>
                <w:sz w:val="20"/>
                <w:szCs w:val="20"/>
              </w:rPr>
            </w:pPr>
            <w:r w:rsidRPr="00FC5A33">
              <w:rPr>
                <w:b/>
                <w:sz w:val="20"/>
                <w:szCs w:val="20"/>
              </w:rPr>
              <w:t>Negatívne</w:t>
            </w:r>
          </w:p>
        </w:tc>
      </w:tr>
      <w:tr w:rsidR="00FC5A33" w:rsidRPr="00FC5A33" w:rsidTr="00FC5A33">
        <w:tc>
          <w:tcPr>
            <w:tcW w:w="3812" w:type="dxa"/>
            <w:tcBorders>
              <w:top w:val="nil"/>
              <w:left w:val="single" w:sz="4" w:space="0" w:color="auto"/>
              <w:bottom w:val="single" w:sz="4" w:space="0" w:color="000000" w:themeColor="text1"/>
              <w:right w:val="single" w:sz="4" w:space="0" w:color="auto"/>
            </w:tcBorders>
            <w:shd w:val="clear" w:color="auto" w:fill="E2E2E2"/>
          </w:tcPr>
          <w:p w:rsidR="00FC5A33" w:rsidRPr="00FC5A33" w:rsidRDefault="00FC5A33" w:rsidP="00FC5A33">
            <w:pPr>
              <w:widowControl/>
              <w:adjustRightInd/>
              <w:rPr>
                <w:sz w:val="20"/>
                <w:szCs w:val="20"/>
              </w:rPr>
            </w:pPr>
            <w:r w:rsidRPr="00FC5A33">
              <w:rPr>
                <w:sz w:val="20"/>
                <w:szCs w:val="20"/>
              </w:rPr>
              <w:t xml:space="preserve">    z toho rozpočtovo zabezpečené vplyvy</w:t>
            </w:r>
          </w:p>
        </w:tc>
        <w:sdt>
          <w:sdtPr>
            <w:rPr>
              <w:sz w:val="20"/>
              <w:szCs w:val="20"/>
            </w:rPr>
            <w:id w:val="130512367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FC5A33" w:rsidRPr="00FC5A33" w:rsidRDefault="00FC5A33" w:rsidP="00FC5A33">
                <w:pPr>
                  <w:widowControl/>
                  <w:adjustRightInd/>
                  <w:jc w:val="center"/>
                  <w:rPr>
                    <w:sz w:val="20"/>
                    <w:szCs w:val="20"/>
                  </w:rPr>
                </w:pPr>
                <w:r w:rsidRPr="00FC5A33">
                  <w:rPr>
                    <w:rFonts w:ascii="Segoe UI Symbol" w:hAnsi="Segoe UI Symbol" w:cs="Segoe UI Symbol"/>
                    <w:sz w:val="20"/>
                    <w:szCs w:val="20"/>
                  </w:rPr>
                  <w:t>☒</w:t>
                </w:r>
              </w:p>
            </w:tc>
          </w:sdtContent>
        </w:sdt>
        <w:tc>
          <w:tcPr>
            <w:tcW w:w="1281"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rPr>
                <w:sz w:val="20"/>
                <w:szCs w:val="20"/>
              </w:rPr>
            </w:pPr>
            <w:r w:rsidRPr="00FC5A33">
              <w:rPr>
                <w:sz w:val="20"/>
                <w:szCs w:val="20"/>
              </w:rPr>
              <w:t>Áno</w:t>
            </w:r>
          </w:p>
        </w:tc>
        <w:sdt>
          <w:sdtPr>
            <w:rPr>
              <w:sz w:val="20"/>
              <w:szCs w:val="20"/>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sz w:val="20"/>
                    <w:szCs w:val="20"/>
                  </w:rPr>
                </w:pPr>
                <w:r w:rsidRPr="00FC5A33">
                  <w:rPr>
                    <w:rFonts w:ascii="Segoe UI Symbol" w:hAnsi="Segoe UI Symbol" w:cs="Segoe UI Symbol"/>
                    <w:sz w:val="20"/>
                    <w:szCs w:val="20"/>
                  </w:rPr>
                  <w:t>☐</w:t>
                </w:r>
              </w:p>
            </w:tc>
          </w:sdtContent>
        </w:sdt>
        <w:tc>
          <w:tcPr>
            <w:tcW w:w="1133" w:type="dxa"/>
            <w:tcBorders>
              <w:top w:val="single" w:sz="4" w:space="0" w:color="auto"/>
              <w:left w:val="nil"/>
              <w:bottom w:val="single" w:sz="4" w:space="0" w:color="auto"/>
              <w:right w:val="nil"/>
            </w:tcBorders>
            <w:vAlign w:val="center"/>
          </w:tcPr>
          <w:p w:rsidR="00FC5A33" w:rsidRPr="00FC5A33" w:rsidRDefault="00FC5A33" w:rsidP="00FC5A33">
            <w:pPr>
              <w:widowControl/>
              <w:adjustRightInd/>
              <w:rPr>
                <w:sz w:val="20"/>
                <w:szCs w:val="20"/>
              </w:rPr>
            </w:pPr>
            <w:r w:rsidRPr="00FC5A33">
              <w:rPr>
                <w:sz w:val="20"/>
                <w:szCs w:val="20"/>
              </w:rPr>
              <w:t>Nie</w:t>
            </w:r>
          </w:p>
        </w:tc>
        <w:sdt>
          <w:sdtPr>
            <w:rPr>
              <w:sz w:val="20"/>
              <w:szCs w:val="20"/>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ind w:left="-107" w:right="-108"/>
                  <w:jc w:val="center"/>
                  <w:rPr>
                    <w:sz w:val="20"/>
                    <w:szCs w:val="20"/>
                  </w:rPr>
                </w:pPr>
                <w:r w:rsidRPr="00FC5A33">
                  <w:rPr>
                    <w:rFonts w:ascii="Segoe UI Symbol"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FC5A33" w:rsidRPr="00FC5A33" w:rsidRDefault="00FC5A33" w:rsidP="00FC5A33">
            <w:pPr>
              <w:widowControl/>
              <w:adjustRightInd/>
              <w:ind w:left="34"/>
              <w:rPr>
                <w:sz w:val="20"/>
                <w:szCs w:val="20"/>
              </w:rPr>
            </w:pPr>
            <w:r w:rsidRPr="00FC5A33">
              <w:rPr>
                <w:sz w:val="20"/>
                <w:szCs w:val="20"/>
              </w:rPr>
              <w:t>Čiastočne</w:t>
            </w:r>
          </w:p>
        </w:tc>
      </w:tr>
      <w:tr w:rsidR="00FC5A33" w:rsidRPr="00FC5A33" w:rsidTr="00FC5A33">
        <w:tc>
          <w:tcPr>
            <w:tcW w:w="3812" w:type="dxa"/>
            <w:tcBorders>
              <w:top w:val="single" w:sz="4" w:space="0" w:color="000000" w:themeColor="text1"/>
              <w:left w:val="single" w:sz="4" w:space="0" w:color="auto"/>
              <w:bottom w:val="nil"/>
              <w:right w:val="single" w:sz="4" w:space="0" w:color="auto"/>
            </w:tcBorders>
            <w:shd w:val="clear" w:color="auto" w:fill="E2E2E2"/>
          </w:tcPr>
          <w:p w:rsidR="00FC5A33" w:rsidRPr="00FC5A33" w:rsidRDefault="00FC5A33" w:rsidP="00FC5A33">
            <w:pPr>
              <w:widowControl/>
              <w:adjustRightInd/>
              <w:rPr>
                <w:b/>
                <w:sz w:val="20"/>
                <w:szCs w:val="20"/>
              </w:rPr>
            </w:pPr>
            <w:r w:rsidRPr="00FC5A33">
              <w:rPr>
                <w:b/>
                <w:sz w:val="20"/>
                <w:szCs w:val="20"/>
              </w:rPr>
              <w:t>Vplyvy na podnikateľské prostredie</w:t>
            </w:r>
          </w:p>
        </w:tc>
        <w:sdt>
          <w:sdtPr>
            <w:rPr>
              <w:b/>
              <w:sz w:val="20"/>
              <w:szCs w:val="20"/>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ind w:right="-108"/>
              <w:rPr>
                <w:b/>
                <w:sz w:val="20"/>
                <w:szCs w:val="20"/>
              </w:rPr>
            </w:pPr>
            <w:r w:rsidRPr="00FC5A33">
              <w:rPr>
                <w:b/>
                <w:sz w:val="20"/>
                <w:szCs w:val="20"/>
              </w:rPr>
              <w:t>Pozitívne</w:t>
            </w:r>
          </w:p>
        </w:tc>
        <w:sdt>
          <w:sdtPr>
            <w:rPr>
              <w:b/>
              <w:sz w:val="20"/>
              <w:szCs w:val="20"/>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FC5A33" w:rsidRPr="00FC5A33" w:rsidRDefault="00FC5A33" w:rsidP="00FC5A33">
            <w:pPr>
              <w:widowControl/>
              <w:adjustRightInd/>
              <w:rPr>
                <w:b/>
                <w:sz w:val="20"/>
                <w:szCs w:val="20"/>
              </w:rPr>
            </w:pPr>
            <w:r w:rsidRPr="00FC5A33">
              <w:rPr>
                <w:b/>
                <w:sz w:val="20"/>
                <w:szCs w:val="20"/>
              </w:rPr>
              <w:t>Žiadne</w:t>
            </w:r>
          </w:p>
        </w:tc>
        <w:sdt>
          <w:sdtPr>
            <w:rPr>
              <w:b/>
              <w:sz w:val="20"/>
              <w:szCs w:val="20"/>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FC5A33" w:rsidRPr="00FC5A33" w:rsidRDefault="00FC5A33" w:rsidP="00FC5A33">
            <w:pPr>
              <w:widowControl/>
              <w:adjustRightInd/>
              <w:ind w:left="54"/>
              <w:rPr>
                <w:b/>
                <w:sz w:val="20"/>
                <w:szCs w:val="20"/>
              </w:rPr>
            </w:pPr>
            <w:r w:rsidRPr="00FC5A33">
              <w:rPr>
                <w:b/>
                <w:sz w:val="20"/>
                <w:szCs w:val="20"/>
              </w:rPr>
              <w:t>Negatívne</w:t>
            </w:r>
          </w:p>
        </w:tc>
      </w:tr>
      <w:tr w:rsidR="00FC5A33" w:rsidRPr="00FC5A33" w:rsidTr="00FC5A33">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FC5A33" w:rsidRPr="00FC5A33" w:rsidRDefault="00FC5A33" w:rsidP="00FC5A33">
            <w:pPr>
              <w:widowControl/>
              <w:adjustRightInd/>
              <w:rPr>
                <w:sz w:val="20"/>
                <w:szCs w:val="20"/>
              </w:rPr>
            </w:pPr>
            <w:r w:rsidRPr="00FC5A33">
              <w:rPr>
                <w:sz w:val="20"/>
                <w:szCs w:val="20"/>
              </w:rPr>
              <w:t xml:space="preserve">    z toho vplyvy na MSP</w:t>
            </w:r>
          </w:p>
        </w:tc>
        <w:sdt>
          <w:sdtPr>
            <w:rPr>
              <w:sz w:val="20"/>
              <w:szCs w:val="20"/>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vAlign w:val="center"/>
              </w:tcPr>
              <w:p w:rsidR="00FC5A33" w:rsidRPr="00FC5A33" w:rsidRDefault="00FC5A33" w:rsidP="00FC5A33">
                <w:pPr>
                  <w:widowControl/>
                  <w:adjustRightInd/>
                  <w:jc w:val="center"/>
                  <w:rPr>
                    <w:sz w:val="20"/>
                    <w:szCs w:val="20"/>
                  </w:rPr>
                </w:pPr>
                <w:r w:rsidRPr="00FC5A33">
                  <w:rPr>
                    <w:rFonts w:ascii="Segoe UI Symbol" w:hAnsi="Segoe UI Symbol" w:cs="Segoe UI Symbol"/>
                    <w:sz w:val="20"/>
                    <w:szCs w:val="20"/>
                  </w:rPr>
                  <w:t>☐</w:t>
                </w:r>
              </w:p>
            </w:tc>
          </w:sdtContent>
        </w:sdt>
        <w:tc>
          <w:tcPr>
            <w:tcW w:w="1281"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ind w:right="-108"/>
              <w:rPr>
                <w:sz w:val="20"/>
                <w:szCs w:val="20"/>
              </w:rPr>
            </w:pPr>
            <w:r w:rsidRPr="00FC5A33">
              <w:rPr>
                <w:sz w:val="20"/>
                <w:szCs w:val="20"/>
              </w:rPr>
              <w:t>Pozitívne</w:t>
            </w:r>
          </w:p>
        </w:tc>
        <w:sdt>
          <w:sdtPr>
            <w:rPr>
              <w:sz w:val="20"/>
              <w:szCs w:val="20"/>
            </w:rPr>
            <w:id w:val="-16960637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sz w:val="20"/>
                    <w:szCs w:val="20"/>
                  </w:rPr>
                </w:pPr>
                <w:r w:rsidRPr="00FC5A33">
                  <w:rPr>
                    <w:rFonts w:ascii="Segoe UI Symbol" w:hAnsi="Segoe UI Symbol" w:cs="Segoe UI Symbol"/>
                    <w:sz w:val="20"/>
                    <w:szCs w:val="20"/>
                  </w:rPr>
                  <w:t>☒</w:t>
                </w:r>
              </w:p>
            </w:tc>
          </w:sdtContent>
        </w:sdt>
        <w:tc>
          <w:tcPr>
            <w:tcW w:w="1133" w:type="dxa"/>
            <w:tcBorders>
              <w:top w:val="single" w:sz="4" w:space="0" w:color="auto"/>
              <w:left w:val="nil"/>
              <w:bottom w:val="single" w:sz="4" w:space="0" w:color="auto"/>
              <w:right w:val="nil"/>
            </w:tcBorders>
            <w:vAlign w:val="center"/>
          </w:tcPr>
          <w:p w:rsidR="00FC5A33" w:rsidRPr="00FC5A33" w:rsidRDefault="00FC5A33" w:rsidP="00FC5A33">
            <w:pPr>
              <w:widowControl/>
              <w:adjustRightInd/>
              <w:rPr>
                <w:sz w:val="20"/>
                <w:szCs w:val="20"/>
              </w:rPr>
            </w:pPr>
            <w:r w:rsidRPr="00FC5A33">
              <w:rPr>
                <w:sz w:val="20"/>
                <w:szCs w:val="20"/>
              </w:rPr>
              <w:t>Žiadne</w:t>
            </w:r>
          </w:p>
        </w:tc>
        <w:sdt>
          <w:sdtPr>
            <w:rPr>
              <w:sz w:val="20"/>
              <w:szCs w:val="20"/>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sz w:val="20"/>
                    <w:szCs w:val="20"/>
                  </w:rPr>
                </w:pPr>
                <w:r w:rsidRPr="00FC5A33">
                  <w:rPr>
                    <w:rFonts w:ascii="Segoe UI Symbol"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FC5A33" w:rsidRPr="00FC5A33" w:rsidRDefault="00FC5A33" w:rsidP="00FC5A33">
            <w:pPr>
              <w:widowControl/>
              <w:adjustRightInd/>
              <w:ind w:left="54"/>
              <w:rPr>
                <w:sz w:val="20"/>
                <w:szCs w:val="20"/>
              </w:rPr>
            </w:pPr>
            <w:r w:rsidRPr="00FC5A33">
              <w:rPr>
                <w:sz w:val="20"/>
                <w:szCs w:val="20"/>
              </w:rPr>
              <w:t>Negatívne</w:t>
            </w:r>
          </w:p>
        </w:tc>
      </w:tr>
      <w:tr w:rsidR="00FC5A33" w:rsidRPr="00FC5A33" w:rsidTr="00FC5A33">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FC5A33" w:rsidRPr="00FC5A33" w:rsidRDefault="00FC5A33" w:rsidP="00FC5A33">
            <w:pPr>
              <w:widowControl/>
              <w:adjustRightInd/>
              <w:rPr>
                <w:b/>
                <w:sz w:val="20"/>
                <w:szCs w:val="20"/>
              </w:rPr>
            </w:pPr>
            <w:r w:rsidRPr="00FC5A33">
              <w:rPr>
                <w:b/>
                <w:sz w:val="20"/>
                <w:szCs w:val="20"/>
              </w:rPr>
              <w:t>Sociálne vplyvy</w:t>
            </w:r>
          </w:p>
        </w:tc>
        <w:sdt>
          <w:sdtPr>
            <w:rPr>
              <w:b/>
              <w:sz w:val="20"/>
              <w:szCs w:val="20"/>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ind w:right="-108"/>
              <w:rPr>
                <w:b/>
                <w:sz w:val="20"/>
                <w:szCs w:val="20"/>
              </w:rPr>
            </w:pPr>
            <w:r w:rsidRPr="00FC5A33">
              <w:rPr>
                <w:b/>
                <w:sz w:val="20"/>
                <w:szCs w:val="20"/>
              </w:rPr>
              <w:t>Pozitívne</w:t>
            </w:r>
          </w:p>
        </w:tc>
        <w:sdt>
          <w:sdtPr>
            <w:rPr>
              <w:b/>
              <w:sz w:val="20"/>
              <w:szCs w:val="20"/>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FC5A33" w:rsidRPr="00FC5A33" w:rsidRDefault="00FC5A33" w:rsidP="00FC5A33">
            <w:pPr>
              <w:widowControl/>
              <w:adjustRightInd/>
              <w:rPr>
                <w:b/>
                <w:sz w:val="20"/>
                <w:szCs w:val="20"/>
              </w:rPr>
            </w:pPr>
            <w:r w:rsidRPr="00FC5A33">
              <w:rPr>
                <w:b/>
                <w:sz w:val="20"/>
                <w:szCs w:val="20"/>
              </w:rPr>
              <w:t>Žiadne</w:t>
            </w:r>
          </w:p>
        </w:tc>
        <w:sdt>
          <w:sdtPr>
            <w:rPr>
              <w:b/>
              <w:sz w:val="20"/>
              <w:szCs w:val="20"/>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FC5A33" w:rsidRPr="00FC5A33" w:rsidRDefault="00FC5A33" w:rsidP="00FC5A33">
            <w:pPr>
              <w:widowControl/>
              <w:adjustRightInd/>
              <w:ind w:left="54"/>
              <w:rPr>
                <w:b/>
                <w:sz w:val="20"/>
                <w:szCs w:val="20"/>
              </w:rPr>
            </w:pPr>
            <w:r w:rsidRPr="00FC5A33">
              <w:rPr>
                <w:b/>
                <w:sz w:val="20"/>
                <w:szCs w:val="20"/>
              </w:rPr>
              <w:t>Negatívne</w:t>
            </w:r>
          </w:p>
        </w:tc>
      </w:tr>
      <w:tr w:rsidR="00FC5A33" w:rsidRPr="00FC5A33" w:rsidTr="00FC5A33">
        <w:tc>
          <w:tcPr>
            <w:tcW w:w="3812" w:type="dxa"/>
            <w:tcBorders>
              <w:top w:val="single" w:sz="4" w:space="0" w:color="auto"/>
              <w:left w:val="single" w:sz="4" w:space="0" w:color="auto"/>
              <w:bottom w:val="single" w:sz="4" w:space="0" w:color="auto"/>
              <w:right w:val="single" w:sz="4" w:space="0" w:color="auto"/>
            </w:tcBorders>
            <w:shd w:val="clear" w:color="auto" w:fill="E2E2E2"/>
          </w:tcPr>
          <w:p w:rsidR="00FC5A33" w:rsidRPr="00FC5A33" w:rsidRDefault="00FC5A33" w:rsidP="00FC5A33">
            <w:pPr>
              <w:widowControl/>
              <w:adjustRightInd/>
              <w:rPr>
                <w:b/>
                <w:sz w:val="20"/>
                <w:szCs w:val="20"/>
              </w:rPr>
            </w:pPr>
            <w:r w:rsidRPr="00FC5A33">
              <w:rPr>
                <w:b/>
                <w:sz w:val="20"/>
                <w:szCs w:val="20"/>
              </w:rPr>
              <w:t>Vplyvy na životné prostredie</w:t>
            </w:r>
          </w:p>
        </w:tc>
        <w:sdt>
          <w:sdtPr>
            <w:rPr>
              <w:b/>
              <w:sz w:val="20"/>
              <w:szCs w:val="20"/>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ind w:right="-108"/>
              <w:rPr>
                <w:b/>
                <w:sz w:val="20"/>
                <w:szCs w:val="20"/>
              </w:rPr>
            </w:pPr>
            <w:r w:rsidRPr="00FC5A33">
              <w:rPr>
                <w:b/>
                <w:sz w:val="20"/>
                <w:szCs w:val="20"/>
              </w:rPr>
              <w:t>Pozitívne</w:t>
            </w:r>
          </w:p>
        </w:tc>
        <w:sdt>
          <w:sdtPr>
            <w:rPr>
              <w:b/>
              <w:sz w:val="20"/>
              <w:szCs w:val="20"/>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FC5A33" w:rsidRPr="00FC5A33" w:rsidRDefault="00FC5A33" w:rsidP="00FC5A33">
            <w:pPr>
              <w:widowControl/>
              <w:adjustRightInd/>
              <w:rPr>
                <w:b/>
                <w:sz w:val="20"/>
                <w:szCs w:val="20"/>
              </w:rPr>
            </w:pPr>
            <w:r w:rsidRPr="00FC5A33">
              <w:rPr>
                <w:b/>
                <w:sz w:val="20"/>
                <w:szCs w:val="20"/>
              </w:rPr>
              <w:t>Žiadne</w:t>
            </w:r>
          </w:p>
        </w:tc>
        <w:sdt>
          <w:sdtPr>
            <w:rPr>
              <w:b/>
              <w:sz w:val="20"/>
              <w:szCs w:val="20"/>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FC5A33" w:rsidRPr="00FC5A33" w:rsidRDefault="00FC5A33" w:rsidP="00FC5A33">
            <w:pPr>
              <w:widowControl/>
              <w:adjustRightInd/>
              <w:ind w:left="54"/>
              <w:rPr>
                <w:b/>
                <w:sz w:val="20"/>
                <w:szCs w:val="20"/>
              </w:rPr>
            </w:pPr>
            <w:r w:rsidRPr="00FC5A33">
              <w:rPr>
                <w:b/>
                <w:sz w:val="20"/>
                <w:szCs w:val="20"/>
              </w:rPr>
              <w:t>Negatívne</w:t>
            </w:r>
          </w:p>
        </w:tc>
      </w:tr>
      <w:tr w:rsidR="00FC5A33" w:rsidRPr="00FC5A33" w:rsidTr="00FC5A33">
        <w:tc>
          <w:tcPr>
            <w:tcW w:w="3812" w:type="dxa"/>
            <w:tcBorders>
              <w:top w:val="single" w:sz="4" w:space="0" w:color="auto"/>
              <w:left w:val="single" w:sz="4" w:space="0" w:color="auto"/>
              <w:bottom w:val="single" w:sz="4" w:space="0" w:color="auto"/>
              <w:right w:val="single" w:sz="4" w:space="0" w:color="auto"/>
            </w:tcBorders>
            <w:shd w:val="clear" w:color="auto" w:fill="E2E2E2"/>
          </w:tcPr>
          <w:p w:rsidR="00FC5A33" w:rsidRPr="00FC5A33" w:rsidRDefault="00FC5A33" w:rsidP="00FC5A33">
            <w:pPr>
              <w:widowControl/>
              <w:adjustRightInd/>
              <w:rPr>
                <w:b/>
                <w:sz w:val="20"/>
                <w:szCs w:val="20"/>
              </w:rPr>
            </w:pPr>
            <w:r w:rsidRPr="00FC5A33">
              <w:rPr>
                <w:b/>
                <w:sz w:val="20"/>
                <w:szCs w:val="20"/>
              </w:rPr>
              <w:t>Vplyvy na informatizáciu</w:t>
            </w:r>
          </w:p>
        </w:tc>
        <w:sdt>
          <w:sdtPr>
            <w:rPr>
              <w:b/>
              <w:sz w:val="20"/>
              <w:szCs w:val="20"/>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281"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ind w:right="-108"/>
              <w:rPr>
                <w:b/>
                <w:sz w:val="20"/>
                <w:szCs w:val="20"/>
              </w:rPr>
            </w:pPr>
            <w:r w:rsidRPr="00FC5A33">
              <w:rPr>
                <w:b/>
                <w:sz w:val="20"/>
                <w:szCs w:val="20"/>
              </w:rPr>
              <w:t>Pozitívne</w:t>
            </w:r>
          </w:p>
        </w:tc>
        <w:sdt>
          <w:sdtPr>
            <w:rPr>
              <w:b/>
              <w:sz w:val="20"/>
              <w:szCs w:val="20"/>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FC5A33" w:rsidRPr="00FC5A33" w:rsidRDefault="00FC5A33" w:rsidP="00FC5A33">
            <w:pPr>
              <w:widowControl/>
              <w:adjustRightInd/>
              <w:rPr>
                <w:b/>
                <w:sz w:val="20"/>
                <w:szCs w:val="20"/>
              </w:rPr>
            </w:pPr>
            <w:r w:rsidRPr="00FC5A33">
              <w:rPr>
                <w:b/>
                <w:sz w:val="20"/>
                <w:szCs w:val="20"/>
              </w:rPr>
              <w:t>Žiadne</w:t>
            </w:r>
          </w:p>
        </w:tc>
        <w:sdt>
          <w:sdtPr>
            <w:rPr>
              <w:b/>
              <w:sz w:val="20"/>
              <w:szCs w:val="20"/>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FC5A33" w:rsidRPr="00FC5A33" w:rsidRDefault="00FC5A33" w:rsidP="00FC5A33">
                <w:pPr>
                  <w:widowControl/>
                  <w:adjustRightInd/>
                  <w:jc w:val="center"/>
                  <w:rPr>
                    <w:b/>
                    <w:sz w:val="20"/>
                    <w:szCs w:val="20"/>
                  </w:rPr>
                </w:pPr>
                <w:r w:rsidRPr="00FC5A33">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FC5A33" w:rsidRPr="00FC5A33" w:rsidRDefault="00FC5A33" w:rsidP="00FC5A33">
            <w:pPr>
              <w:widowControl/>
              <w:adjustRightInd/>
              <w:ind w:left="54"/>
              <w:rPr>
                <w:b/>
                <w:sz w:val="20"/>
                <w:szCs w:val="20"/>
              </w:rPr>
            </w:pPr>
            <w:r w:rsidRPr="00FC5A33">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FC5A33" w:rsidRPr="00FC5A33" w:rsidTr="00FC5A33">
        <w:tc>
          <w:tcPr>
            <w:tcW w:w="3812" w:type="dxa"/>
            <w:tcBorders>
              <w:top w:val="single" w:sz="4" w:space="0" w:color="auto"/>
              <w:left w:val="single" w:sz="4" w:space="0" w:color="auto"/>
              <w:bottom w:val="nil"/>
              <w:right w:val="single" w:sz="4" w:space="0" w:color="auto"/>
            </w:tcBorders>
            <w:shd w:val="clear" w:color="auto" w:fill="E2E2E2"/>
          </w:tcPr>
          <w:p w:rsidR="00FC5A33" w:rsidRPr="00FC5A33" w:rsidRDefault="00FC5A33" w:rsidP="00FC5A33">
            <w:pPr>
              <w:widowControl/>
              <w:adjustRightInd/>
              <w:rPr>
                <w:b/>
                <w:sz w:val="20"/>
                <w:szCs w:val="20"/>
              </w:rPr>
            </w:pPr>
            <w:r w:rsidRPr="00FC5A33">
              <w:rPr>
                <w:rFonts w:eastAsia="Calibri"/>
                <w:b/>
                <w:sz w:val="20"/>
                <w:szCs w:val="20"/>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vAlign w:val="center"/>
          </w:tcPr>
          <w:p w:rsidR="00FC5A33" w:rsidRPr="00FC5A33" w:rsidRDefault="00FC5A33" w:rsidP="00FC5A33">
            <w:pPr>
              <w:widowControl/>
              <w:adjustRightInd/>
              <w:jc w:val="center"/>
              <w:rPr>
                <w:rFonts w:eastAsia="MS Mincho"/>
                <w:b/>
                <w:sz w:val="20"/>
                <w:szCs w:val="20"/>
              </w:rPr>
            </w:pPr>
          </w:p>
        </w:tc>
        <w:tc>
          <w:tcPr>
            <w:tcW w:w="1281" w:type="dxa"/>
            <w:tcBorders>
              <w:top w:val="single" w:sz="4" w:space="0" w:color="auto"/>
              <w:left w:val="nil"/>
              <w:bottom w:val="nil"/>
              <w:right w:val="nil"/>
            </w:tcBorders>
            <w:shd w:val="clear" w:color="auto" w:fill="auto"/>
            <w:vAlign w:val="center"/>
          </w:tcPr>
          <w:p w:rsidR="00FC5A33" w:rsidRPr="00FC5A33" w:rsidRDefault="00FC5A33" w:rsidP="00FC5A33">
            <w:pPr>
              <w:widowControl/>
              <w:adjustRightInd/>
              <w:ind w:right="-108"/>
              <w:rPr>
                <w:b/>
                <w:sz w:val="20"/>
                <w:szCs w:val="20"/>
              </w:rPr>
            </w:pPr>
          </w:p>
        </w:tc>
        <w:tc>
          <w:tcPr>
            <w:tcW w:w="569" w:type="dxa"/>
            <w:tcBorders>
              <w:top w:val="single" w:sz="4" w:space="0" w:color="auto"/>
              <w:left w:val="nil"/>
              <w:bottom w:val="nil"/>
              <w:right w:val="nil"/>
            </w:tcBorders>
            <w:shd w:val="clear" w:color="auto" w:fill="auto"/>
            <w:vAlign w:val="center"/>
          </w:tcPr>
          <w:p w:rsidR="00FC5A33" w:rsidRPr="00FC5A33" w:rsidRDefault="00FC5A33" w:rsidP="00FC5A33">
            <w:pPr>
              <w:widowControl/>
              <w:adjustRightInd/>
              <w:jc w:val="center"/>
              <w:rPr>
                <w:rFonts w:eastAsia="MS Mincho"/>
                <w:b/>
                <w:sz w:val="20"/>
                <w:szCs w:val="20"/>
              </w:rPr>
            </w:pPr>
          </w:p>
        </w:tc>
        <w:tc>
          <w:tcPr>
            <w:tcW w:w="1133" w:type="dxa"/>
            <w:tcBorders>
              <w:top w:val="single" w:sz="4" w:space="0" w:color="auto"/>
              <w:left w:val="nil"/>
              <w:bottom w:val="nil"/>
              <w:right w:val="nil"/>
            </w:tcBorders>
            <w:shd w:val="clear" w:color="auto" w:fill="auto"/>
            <w:vAlign w:val="center"/>
          </w:tcPr>
          <w:p w:rsidR="00FC5A33" w:rsidRPr="00FC5A33" w:rsidRDefault="00FC5A33" w:rsidP="00FC5A33">
            <w:pPr>
              <w:widowControl/>
              <w:adjustRightInd/>
              <w:rPr>
                <w:b/>
                <w:sz w:val="20"/>
                <w:szCs w:val="20"/>
              </w:rPr>
            </w:pPr>
          </w:p>
        </w:tc>
        <w:tc>
          <w:tcPr>
            <w:tcW w:w="547" w:type="dxa"/>
            <w:tcBorders>
              <w:top w:val="single" w:sz="4" w:space="0" w:color="auto"/>
              <w:left w:val="nil"/>
              <w:bottom w:val="nil"/>
              <w:right w:val="nil"/>
            </w:tcBorders>
            <w:shd w:val="clear" w:color="auto" w:fill="auto"/>
            <w:vAlign w:val="center"/>
          </w:tcPr>
          <w:p w:rsidR="00FC5A33" w:rsidRPr="00FC5A33" w:rsidRDefault="00FC5A33" w:rsidP="00FC5A33">
            <w:pPr>
              <w:widowControl/>
              <w:adjustRightInd/>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vAlign w:val="center"/>
          </w:tcPr>
          <w:p w:rsidR="00FC5A33" w:rsidRPr="00FC5A33" w:rsidRDefault="00FC5A33" w:rsidP="00FC5A33">
            <w:pPr>
              <w:widowControl/>
              <w:adjustRightInd/>
              <w:ind w:left="54"/>
              <w:rPr>
                <w:b/>
                <w:sz w:val="20"/>
                <w:szCs w:val="20"/>
              </w:rPr>
            </w:pPr>
          </w:p>
        </w:tc>
      </w:tr>
      <w:tr w:rsidR="00FC5A33" w:rsidRPr="00FC5A33" w:rsidTr="00FC5A33">
        <w:tc>
          <w:tcPr>
            <w:tcW w:w="3812" w:type="dxa"/>
            <w:tcBorders>
              <w:top w:val="nil"/>
              <w:left w:val="single" w:sz="4" w:space="0" w:color="auto"/>
              <w:bottom w:val="nil"/>
              <w:right w:val="single" w:sz="4" w:space="0" w:color="auto"/>
            </w:tcBorders>
            <w:shd w:val="clear" w:color="auto" w:fill="E2E2E2"/>
          </w:tcPr>
          <w:p w:rsidR="00FC5A33" w:rsidRPr="00FC5A33" w:rsidRDefault="00FC5A33" w:rsidP="00FC5A33">
            <w:pPr>
              <w:widowControl/>
              <w:adjustRightInd/>
              <w:ind w:left="196" w:hanging="196"/>
              <w:rPr>
                <w:rFonts w:eastAsia="Calibri"/>
                <w:b/>
                <w:sz w:val="20"/>
                <w:szCs w:val="20"/>
                <w:lang w:eastAsia="en-US"/>
              </w:rPr>
            </w:pPr>
            <w:r w:rsidRPr="00FC5A33">
              <w:rPr>
                <w:rFonts w:eastAsia="Calibri"/>
                <w:b/>
                <w:sz w:val="20"/>
                <w:szCs w:val="20"/>
                <w:lang w:eastAsia="en-US"/>
              </w:rPr>
              <w:t xml:space="preserve">    vplyvy služieb verejnej správy na občana</w:t>
            </w:r>
          </w:p>
        </w:tc>
        <w:sdt>
          <w:sdtPr>
            <w:rPr>
              <w:b/>
              <w:sz w:val="20"/>
              <w:szCs w:val="20"/>
            </w:rPr>
            <w:id w:val="1004324320"/>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vAlign w:val="center"/>
              </w:tcPr>
              <w:p w:rsidR="00FC5A33" w:rsidRPr="00FC5A33" w:rsidRDefault="00FC5A33" w:rsidP="00FC5A33">
                <w:pPr>
                  <w:widowControl/>
                  <w:adjustRightInd/>
                  <w:jc w:val="center"/>
                  <w:rPr>
                    <w:b/>
                    <w:sz w:val="20"/>
                    <w:szCs w:val="20"/>
                  </w:rPr>
                </w:pPr>
                <w:r w:rsidRPr="00FC5A33">
                  <w:rPr>
                    <w:rFonts w:eastAsia="MS Gothic" w:hint="eastAsia"/>
                    <w:b/>
                    <w:sz w:val="20"/>
                    <w:szCs w:val="20"/>
                  </w:rPr>
                  <w:t>☐</w:t>
                </w:r>
              </w:p>
            </w:tc>
          </w:sdtContent>
        </w:sdt>
        <w:tc>
          <w:tcPr>
            <w:tcW w:w="1281" w:type="dxa"/>
            <w:tcBorders>
              <w:top w:val="nil"/>
              <w:left w:val="nil"/>
              <w:bottom w:val="nil"/>
              <w:right w:val="nil"/>
            </w:tcBorders>
            <w:shd w:val="clear" w:color="auto" w:fill="auto"/>
            <w:vAlign w:val="center"/>
          </w:tcPr>
          <w:p w:rsidR="00FC5A33" w:rsidRPr="00FC5A33" w:rsidRDefault="00FC5A33" w:rsidP="00FC5A33">
            <w:pPr>
              <w:widowControl/>
              <w:adjustRightInd/>
              <w:ind w:right="-108"/>
              <w:rPr>
                <w:b/>
                <w:sz w:val="20"/>
                <w:szCs w:val="20"/>
              </w:rPr>
            </w:pPr>
            <w:r w:rsidRPr="00FC5A33">
              <w:rPr>
                <w:b/>
                <w:sz w:val="20"/>
                <w:szCs w:val="20"/>
              </w:rPr>
              <w:t>Pozitívne</w:t>
            </w:r>
          </w:p>
        </w:tc>
        <w:sdt>
          <w:sdtPr>
            <w:rPr>
              <w:b/>
              <w:sz w:val="20"/>
              <w:szCs w:val="20"/>
            </w:rPr>
            <w:id w:val="-1765681050"/>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vAlign w:val="center"/>
              </w:tcPr>
              <w:p w:rsidR="00FC5A33" w:rsidRPr="00FC5A33" w:rsidRDefault="00FC5A33" w:rsidP="00FC5A33">
                <w:pPr>
                  <w:widowControl/>
                  <w:adjustRightInd/>
                  <w:jc w:val="center"/>
                  <w:rPr>
                    <w:b/>
                    <w:sz w:val="20"/>
                    <w:szCs w:val="20"/>
                  </w:rPr>
                </w:pPr>
                <w:r w:rsidRPr="00FC5A33">
                  <w:rPr>
                    <w:rFonts w:eastAsia="MS Gothic" w:hint="eastAsia"/>
                    <w:b/>
                    <w:sz w:val="20"/>
                    <w:szCs w:val="20"/>
                  </w:rPr>
                  <w:t>☒</w:t>
                </w:r>
              </w:p>
            </w:tc>
          </w:sdtContent>
        </w:sdt>
        <w:tc>
          <w:tcPr>
            <w:tcW w:w="1133" w:type="dxa"/>
            <w:tcBorders>
              <w:top w:val="nil"/>
              <w:left w:val="nil"/>
              <w:bottom w:val="nil"/>
              <w:right w:val="nil"/>
            </w:tcBorders>
            <w:shd w:val="clear" w:color="auto" w:fill="auto"/>
            <w:vAlign w:val="center"/>
          </w:tcPr>
          <w:p w:rsidR="00FC5A33" w:rsidRPr="00FC5A33" w:rsidRDefault="00FC5A33" w:rsidP="00FC5A33">
            <w:pPr>
              <w:widowControl/>
              <w:adjustRightInd/>
              <w:rPr>
                <w:b/>
                <w:sz w:val="20"/>
                <w:szCs w:val="20"/>
              </w:rPr>
            </w:pPr>
            <w:r w:rsidRPr="00FC5A33">
              <w:rPr>
                <w:b/>
                <w:sz w:val="20"/>
                <w:szCs w:val="20"/>
              </w:rPr>
              <w:t>Žiadne</w:t>
            </w:r>
          </w:p>
        </w:tc>
        <w:sdt>
          <w:sdtPr>
            <w:rPr>
              <w:b/>
              <w:sz w:val="20"/>
              <w:szCs w:val="20"/>
            </w:rPr>
            <w:id w:val="433796739"/>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vAlign w:val="center"/>
              </w:tcPr>
              <w:p w:rsidR="00FC5A33" w:rsidRPr="00FC5A33" w:rsidRDefault="00FC5A33" w:rsidP="00FC5A33">
                <w:pPr>
                  <w:widowControl/>
                  <w:adjustRightInd/>
                  <w:jc w:val="center"/>
                  <w:rPr>
                    <w:b/>
                    <w:sz w:val="20"/>
                    <w:szCs w:val="20"/>
                  </w:rPr>
                </w:pPr>
                <w:r w:rsidRPr="00FC5A33">
                  <w:rPr>
                    <w:rFonts w:eastAsia="MS Mincho" w:hint="eastAsia"/>
                    <w:b/>
                    <w:sz w:val="20"/>
                    <w:szCs w:val="20"/>
                  </w:rPr>
                  <w:t>☐</w:t>
                </w:r>
              </w:p>
            </w:tc>
          </w:sdtContent>
        </w:sdt>
        <w:tc>
          <w:tcPr>
            <w:tcW w:w="1297" w:type="dxa"/>
            <w:tcBorders>
              <w:top w:val="nil"/>
              <w:left w:val="nil"/>
              <w:bottom w:val="nil"/>
              <w:right w:val="single" w:sz="4" w:space="0" w:color="auto"/>
            </w:tcBorders>
            <w:shd w:val="clear" w:color="auto" w:fill="auto"/>
            <w:vAlign w:val="center"/>
          </w:tcPr>
          <w:p w:rsidR="00FC5A33" w:rsidRPr="00FC5A33" w:rsidRDefault="00FC5A33" w:rsidP="00FC5A33">
            <w:pPr>
              <w:widowControl/>
              <w:adjustRightInd/>
              <w:ind w:left="54"/>
              <w:rPr>
                <w:b/>
                <w:sz w:val="20"/>
                <w:szCs w:val="20"/>
              </w:rPr>
            </w:pPr>
            <w:r w:rsidRPr="00FC5A33">
              <w:rPr>
                <w:b/>
                <w:sz w:val="20"/>
                <w:szCs w:val="20"/>
              </w:rPr>
              <w:t>Negatívne</w:t>
            </w:r>
          </w:p>
        </w:tc>
      </w:tr>
      <w:tr w:rsidR="00FC5A33" w:rsidRPr="00FC5A33" w:rsidTr="00FC5A33">
        <w:tc>
          <w:tcPr>
            <w:tcW w:w="3812" w:type="dxa"/>
            <w:tcBorders>
              <w:top w:val="nil"/>
              <w:left w:val="single" w:sz="4" w:space="0" w:color="auto"/>
              <w:bottom w:val="single" w:sz="4" w:space="0" w:color="auto"/>
              <w:right w:val="single" w:sz="4" w:space="0" w:color="auto"/>
            </w:tcBorders>
            <w:shd w:val="clear" w:color="auto" w:fill="E2E2E2"/>
          </w:tcPr>
          <w:p w:rsidR="00FC5A33" w:rsidRPr="00FC5A33" w:rsidRDefault="00FC5A33" w:rsidP="00FC5A33">
            <w:pPr>
              <w:widowControl/>
              <w:adjustRightInd/>
              <w:ind w:left="168" w:hanging="168"/>
              <w:rPr>
                <w:rFonts w:eastAsia="Calibri"/>
                <w:b/>
                <w:sz w:val="20"/>
                <w:szCs w:val="20"/>
                <w:lang w:eastAsia="en-US"/>
              </w:rPr>
            </w:pPr>
            <w:r w:rsidRPr="00FC5A33">
              <w:rPr>
                <w:rFonts w:eastAsia="Calibri"/>
                <w:b/>
                <w:sz w:val="20"/>
                <w:szCs w:val="20"/>
                <w:lang w:eastAsia="en-US"/>
              </w:rPr>
              <w:t xml:space="preserve">    vplyvy na procesy služieb vo verejnej správe</w:t>
            </w:r>
          </w:p>
        </w:tc>
        <w:sdt>
          <w:sdtPr>
            <w:rPr>
              <w:b/>
              <w:sz w:val="20"/>
              <w:szCs w:val="20"/>
            </w:rPr>
            <w:id w:val="-1233310259"/>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vAlign w:val="center"/>
              </w:tcPr>
              <w:p w:rsidR="00FC5A33" w:rsidRPr="00FC5A33" w:rsidRDefault="00FC5A33" w:rsidP="00FC5A33">
                <w:pPr>
                  <w:widowControl/>
                  <w:adjustRightInd/>
                  <w:jc w:val="center"/>
                  <w:rPr>
                    <w:b/>
                    <w:sz w:val="20"/>
                    <w:szCs w:val="20"/>
                  </w:rPr>
                </w:pPr>
                <w:r w:rsidRPr="00FC5A33">
                  <w:rPr>
                    <w:rFonts w:eastAsia="MS Gothic" w:hint="eastAsia"/>
                    <w:b/>
                    <w:sz w:val="20"/>
                    <w:szCs w:val="20"/>
                  </w:rPr>
                  <w:t>☐</w:t>
                </w:r>
              </w:p>
            </w:tc>
          </w:sdtContent>
        </w:sdt>
        <w:tc>
          <w:tcPr>
            <w:tcW w:w="1281" w:type="dxa"/>
            <w:tcBorders>
              <w:top w:val="nil"/>
              <w:left w:val="nil"/>
              <w:bottom w:val="single" w:sz="4" w:space="0" w:color="auto"/>
              <w:right w:val="nil"/>
            </w:tcBorders>
            <w:shd w:val="clear" w:color="auto" w:fill="auto"/>
            <w:vAlign w:val="center"/>
          </w:tcPr>
          <w:p w:rsidR="00FC5A33" w:rsidRPr="00FC5A33" w:rsidRDefault="00FC5A33" w:rsidP="00FC5A33">
            <w:pPr>
              <w:widowControl/>
              <w:adjustRightInd/>
              <w:ind w:right="-108"/>
              <w:rPr>
                <w:b/>
                <w:sz w:val="20"/>
                <w:szCs w:val="20"/>
              </w:rPr>
            </w:pPr>
            <w:r w:rsidRPr="00FC5A33">
              <w:rPr>
                <w:b/>
                <w:sz w:val="20"/>
                <w:szCs w:val="20"/>
              </w:rPr>
              <w:t>Pozitívne</w:t>
            </w:r>
          </w:p>
        </w:tc>
        <w:sdt>
          <w:sdtPr>
            <w:rPr>
              <w:b/>
              <w:sz w:val="20"/>
              <w:szCs w:val="20"/>
            </w:rPr>
            <w:id w:val="1536541198"/>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vAlign w:val="center"/>
              </w:tcPr>
              <w:p w:rsidR="00FC5A33" w:rsidRPr="00FC5A33" w:rsidRDefault="00FC5A33" w:rsidP="00FC5A33">
                <w:pPr>
                  <w:widowControl/>
                  <w:adjustRightInd/>
                  <w:jc w:val="center"/>
                  <w:rPr>
                    <w:b/>
                    <w:sz w:val="20"/>
                    <w:szCs w:val="20"/>
                  </w:rPr>
                </w:pPr>
                <w:r w:rsidRPr="00FC5A33">
                  <w:rPr>
                    <w:rFonts w:eastAsia="MS Gothic" w:hint="eastAsia"/>
                    <w:b/>
                    <w:sz w:val="20"/>
                    <w:szCs w:val="20"/>
                  </w:rPr>
                  <w:t>☒</w:t>
                </w:r>
              </w:p>
            </w:tc>
          </w:sdtContent>
        </w:sdt>
        <w:tc>
          <w:tcPr>
            <w:tcW w:w="1133" w:type="dxa"/>
            <w:tcBorders>
              <w:top w:val="nil"/>
              <w:left w:val="nil"/>
              <w:bottom w:val="single" w:sz="4" w:space="0" w:color="auto"/>
              <w:right w:val="nil"/>
            </w:tcBorders>
            <w:shd w:val="clear" w:color="auto" w:fill="auto"/>
            <w:vAlign w:val="center"/>
          </w:tcPr>
          <w:p w:rsidR="00FC5A33" w:rsidRPr="00FC5A33" w:rsidRDefault="00FC5A33" w:rsidP="00FC5A33">
            <w:pPr>
              <w:widowControl/>
              <w:adjustRightInd/>
              <w:rPr>
                <w:b/>
                <w:sz w:val="20"/>
                <w:szCs w:val="20"/>
              </w:rPr>
            </w:pPr>
            <w:r w:rsidRPr="00FC5A33">
              <w:rPr>
                <w:b/>
                <w:sz w:val="20"/>
                <w:szCs w:val="20"/>
              </w:rPr>
              <w:t>Žiadne</w:t>
            </w:r>
          </w:p>
        </w:tc>
        <w:sdt>
          <w:sdtPr>
            <w:rPr>
              <w:b/>
              <w:sz w:val="20"/>
              <w:szCs w:val="20"/>
            </w:rPr>
            <w:id w:val="104310280"/>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vAlign w:val="center"/>
              </w:tcPr>
              <w:p w:rsidR="00FC5A33" w:rsidRPr="00FC5A33" w:rsidRDefault="00FC5A33" w:rsidP="00FC5A33">
                <w:pPr>
                  <w:widowControl/>
                  <w:adjustRightInd/>
                  <w:jc w:val="center"/>
                  <w:rPr>
                    <w:b/>
                    <w:sz w:val="20"/>
                    <w:szCs w:val="20"/>
                  </w:rPr>
                </w:pPr>
                <w:r w:rsidRPr="00FC5A33">
                  <w:rPr>
                    <w:rFonts w:eastAsia="MS Mincho" w:hint="eastAsia"/>
                    <w:b/>
                    <w:sz w:val="20"/>
                    <w:szCs w:val="20"/>
                  </w:rPr>
                  <w:t>☐</w:t>
                </w:r>
              </w:p>
            </w:tc>
          </w:sdtContent>
        </w:sdt>
        <w:tc>
          <w:tcPr>
            <w:tcW w:w="1297" w:type="dxa"/>
            <w:tcBorders>
              <w:top w:val="nil"/>
              <w:left w:val="nil"/>
              <w:bottom w:val="single" w:sz="4" w:space="0" w:color="auto"/>
              <w:right w:val="single" w:sz="4" w:space="0" w:color="auto"/>
            </w:tcBorders>
            <w:shd w:val="clear" w:color="auto" w:fill="auto"/>
            <w:vAlign w:val="center"/>
          </w:tcPr>
          <w:p w:rsidR="00FC5A33" w:rsidRPr="00FC5A33" w:rsidRDefault="00FC5A33" w:rsidP="00FC5A33">
            <w:pPr>
              <w:widowControl/>
              <w:adjustRightInd/>
              <w:ind w:left="54"/>
              <w:rPr>
                <w:b/>
                <w:sz w:val="20"/>
                <w:szCs w:val="20"/>
              </w:rPr>
            </w:pPr>
            <w:r w:rsidRPr="00FC5A33">
              <w:rPr>
                <w:b/>
                <w:sz w:val="20"/>
                <w:szCs w:val="20"/>
              </w:rPr>
              <w:t>Negatívne</w:t>
            </w:r>
          </w:p>
        </w:tc>
      </w:tr>
      <w:tr w:rsidR="00FC5A33" w:rsidRPr="00FC5A33" w:rsidTr="00FC5A33">
        <w:tc>
          <w:tcPr>
            <w:tcW w:w="3812" w:type="dxa"/>
            <w:tcBorders>
              <w:top w:val="single" w:sz="4" w:space="0" w:color="auto"/>
              <w:left w:val="single" w:sz="4" w:space="0" w:color="auto"/>
              <w:bottom w:val="single" w:sz="4" w:space="0" w:color="auto"/>
              <w:right w:val="single" w:sz="4" w:space="0" w:color="auto"/>
            </w:tcBorders>
            <w:shd w:val="clear" w:color="auto" w:fill="E2E2E2"/>
          </w:tcPr>
          <w:p w:rsidR="00FC5A33" w:rsidRPr="00FC5A33" w:rsidRDefault="00FC5A33" w:rsidP="00FC5A33">
            <w:pPr>
              <w:widowControl/>
              <w:adjustRightInd/>
              <w:ind w:left="168" w:hanging="168"/>
              <w:rPr>
                <w:rFonts w:eastAsia="Calibri"/>
                <w:b/>
                <w:sz w:val="20"/>
                <w:szCs w:val="20"/>
                <w:lang w:eastAsia="en-US"/>
              </w:rPr>
            </w:pPr>
            <w:r w:rsidRPr="00FC5A33">
              <w:rPr>
                <w:rFonts w:eastAsia="Calibri"/>
                <w:b/>
                <w:sz w:val="20"/>
                <w:szCs w:val="20"/>
                <w:lang w:eastAsia="en-US"/>
              </w:rPr>
              <w:t>Vplyvy na manželstvo, rodičovstvo a rodinu</w:t>
            </w:r>
          </w:p>
        </w:tc>
        <w:sdt>
          <w:sdtPr>
            <w:rPr>
              <w:b/>
              <w:sz w:val="20"/>
              <w:szCs w:val="20"/>
            </w:rPr>
            <w:id w:val="-1940513148"/>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vAlign w:val="center"/>
              </w:tcPr>
              <w:p w:rsidR="00FC5A33" w:rsidRPr="00FC5A33" w:rsidRDefault="00FC5A33" w:rsidP="00FC5A33">
                <w:pPr>
                  <w:widowControl/>
                  <w:adjustRightInd/>
                  <w:jc w:val="center"/>
                  <w:rPr>
                    <w:b/>
                    <w:sz w:val="20"/>
                    <w:szCs w:val="20"/>
                  </w:rPr>
                </w:pPr>
                <w:r w:rsidRPr="00FC5A33">
                  <w:rPr>
                    <w:rFonts w:eastAsia="MS Gothic" w:hint="eastAsia"/>
                    <w:b/>
                    <w:sz w:val="20"/>
                    <w:szCs w:val="20"/>
                  </w:rPr>
                  <w:t>☐</w:t>
                </w:r>
              </w:p>
            </w:tc>
          </w:sdtContent>
        </w:sdt>
        <w:tc>
          <w:tcPr>
            <w:tcW w:w="1281" w:type="dxa"/>
            <w:tcBorders>
              <w:top w:val="single" w:sz="4" w:space="0" w:color="auto"/>
              <w:left w:val="nil"/>
              <w:bottom w:val="single" w:sz="4" w:space="0" w:color="auto"/>
              <w:right w:val="nil"/>
            </w:tcBorders>
            <w:shd w:val="clear" w:color="auto" w:fill="auto"/>
            <w:vAlign w:val="center"/>
          </w:tcPr>
          <w:p w:rsidR="00FC5A33" w:rsidRPr="00FC5A33" w:rsidRDefault="00FC5A33" w:rsidP="00FC5A33">
            <w:pPr>
              <w:widowControl/>
              <w:adjustRightInd/>
              <w:ind w:right="-108"/>
              <w:rPr>
                <w:b/>
                <w:sz w:val="20"/>
                <w:szCs w:val="20"/>
              </w:rPr>
            </w:pPr>
            <w:r w:rsidRPr="00FC5A33">
              <w:rPr>
                <w:b/>
                <w:sz w:val="20"/>
                <w:szCs w:val="20"/>
              </w:rPr>
              <w:t>Pozitívne</w:t>
            </w:r>
          </w:p>
        </w:tc>
        <w:sdt>
          <w:sdtPr>
            <w:rPr>
              <w:b/>
              <w:sz w:val="20"/>
              <w:szCs w:val="20"/>
            </w:rPr>
            <w:id w:val="-92944061"/>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vAlign w:val="center"/>
              </w:tcPr>
              <w:p w:rsidR="00FC5A33" w:rsidRPr="00FC5A33" w:rsidRDefault="00FC5A33" w:rsidP="00FC5A33">
                <w:pPr>
                  <w:widowControl/>
                  <w:adjustRightInd/>
                  <w:jc w:val="center"/>
                  <w:rPr>
                    <w:b/>
                    <w:sz w:val="20"/>
                    <w:szCs w:val="20"/>
                  </w:rPr>
                </w:pPr>
                <w:r w:rsidRPr="00FC5A33">
                  <w:rPr>
                    <w:rFonts w:eastAsia="MS Gothic" w:hint="eastAsia"/>
                    <w:b/>
                    <w:sz w:val="20"/>
                    <w:szCs w:val="20"/>
                  </w:rPr>
                  <w:t>☒</w:t>
                </w:r>
              </w:p>
            </w:tc>
          </w:sdtContent>
        </w:sdt>
        <w:tc>
          <w:tcPr>
            <w:tcW w:w="1133" w:type="dxa"/>
            <w:tcBorders>
              <w:top w:val="single" w:sz="4" w:space="0" w:color="auto"/>
              <w:left w:val="nil"/>
              <w:bottom w:val="single" w:sz="4" w:space="0" w:color="auto"/>
              <w:right w:val="nil"/>
            </w:tcBorders>
            <w:shd w:val="clear" w:color="auto" w:fill="auto"/>
            <w:vAlign w:val="center"/>
          </w:tcPr>
          <w:p w:rsidR="00FC5A33" w:rsidRPr="00FC5A33" w:rsidRDefault="00FC5A33" w:rsidP="00FC5A33">
            <w:pPr>
              <w:widowControl/>
              <w:adjustRightInd/>
              <w:rPr>
                <w:b/>
                <w:sz w:val="20"/>
                <w:szCs w:val="20"/>
              </w:rPr>
            </w:pPr>
            <w:r w:rsidRPr="00FC5A33">
              <w:rPr>
                <w:b/>
                <w:sz w:val="20"/>
                <w:szCs w:val="20"/>
              </w:rPr>
              <w:t>Žiadne</w:t>
            </w:r>
          </w:p>
        </w:tc>
        <w:sdt>
          <w:sdtPr>
            <w:rPr>
              <w:b/>
              <w:sz w:val="20"/>
              <w:szCs w:val="20"/>
            </w:rPr>
            <w:id w:val="-210447725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vAlign w:val="center"/>
              </w:tcPr>
              <w:p w:rsidR="00FC5A33" w:rsidRPr="00FC5A33" w:rsidRDefault="00FC5A33" w:rsidP="00FC5A33">
                <w:pPr>
                  <w:widowControl/>
                  <w:adjustRightInd/>
                  <w:jc w:val="center"/>
                  <w:rPr>
                    <w:b/>
                    <w:sz w:val="20"/>
                    <w:szCs w:val="20"/>
                  </w:rPr>
                </w:pPr>
                <w:r w:rsidRPr="00FC5A33">
                  <w:rPr>
                    <w:rFonts w:eastAsia="MS Mincho" w:hint="eastAsia"/>
                    <w:b/>
                    <w:sz w:val="20"/>
                    <w:szCs w:val="20"/>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rsidR="00FC5A33" w:rsidRPr="00FC5A33" w:rsidRDefault="00FC5A33" w:rsidP="00FC5A33">
            <w:pPr>
              <w:widowControl/>
              <w:adjustRightInd/>
              <w:ind w:left="54"/>
              <w:rPr>
                <w:b/>
                <w:sz w:val="20"/>
                <w:szCs w:val="20"/>
              </w:rPr>
            </w:pPr>
            <w:r w:rsidRPr="00FC5A33">
              <w:rPr>
                <w:b/>
                <w:sz w:val="20"/>
                <w:szCs w:val="20"/>
              </w:rPr>
              <w:t>Negatívne</w:t>
            </w:r>
          </w:p>
        </w:tc>
      </w:tr>
    </w:tbl>
    <w:p w:rsidR="00FC5A33" w:rsidRPr="00FC5A33" w:rsidRDefault="00FC5A33" w:rsidP="00FC5A33">
      <w:pPr>
        <w:widowControl/>
        <w:adjustRightInd/>
        <w:ind w:right="141"/>
        <w:rPr>
          <w:b/>
          <w:sz w:val="20"/>
          <w:szCs w:val="20"/>
        </w:rPr>
      </w:pPr>
    </w:p>
    <w:tbl>
      <w:tblPr>
        <w:tblStyle w:val="Mriekatabuky"/>
        <w:tblW w:w="9176" w:type="dxa"/>
        <w:tblLayout w:type="fixed"/>
        <w:tblLook w:val="04A0" w:firstRow="1" w:lastRow="0" w:firstColumn="1" w:lastColumn="0" w:noHBand="0" w:noVBand="1"/>
      </w:tblPr>
      <w:tblGrid>
        <w:gridCol w:w="9176"/>
      </w:tblGrid>
      <w:tr w:rsidR="00FC5A33" w:rsidRPr="00FC5A33" w:rsidTr="00FC5A33">
        <w:tc>
          <w:tcPr>
            <w:tcW w:w="9176" w:type="dxa"/>
            <w:tcBorders>
              <w:top w:val="single" w:sz="4" w:space="0" w:color="auto"/>
              <w:left w:val="single" w:sz="4" w:space="0" w:color="auto"/>
              <w:bottom w:val="nil"/>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Poznámky</w:t>
            </w:r>
          </w:p>
        </w:tc>
      </w:tr>
      <w:tr w:rsidR="00FC5A33" w:rsidRPr="00FC5A33" w:rsidTr="00FC5A33">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FC5A33" w:rsidRPr="00FC5A33" w:rsidRDefault="00FC5A33" w:rsidP="00FC5A33">
            <w:pPr>
              <w:widowControl/>
              <w:pBdr>
                <w:top w:val="single" w:sz="4" w:space="1" w:color="auto"/>
                <w:left w:val="single" w:sz="4" w:space="4" w:color="auto"/>
                <w:right w:val="single" w:sz="4" w:space="4" w:color="auto"/>
              </w:pBdr>
              <w:adjustRightInd/>
              <w:jc w:val="both"/>
              <w:rPr>
                <w:b/>
                <w:sz w:val="20"/>
                <w:szCs w:val="20"/>
              </w:rPr>
            </w:pPr>
            <w:r w:rsidRPr="00FC5A33">
              <w:rPr>
                <w:sz w:val="20"/>
                <w:szCs w:val="20"/>
              </w:rPr>
              <w:t xml:space="preserve">Predložený návrh zákona je zmenou a doplnením zákona č. 443/2010 Z. z. o dotáciách na rozvoj bývania a o sociálnom bývaní v znení neskorších predpisov. Predkladaný materiál predpokladá negatívny vplyv na rozpočet verejnej správy v rokoch 2021 -  2023, rozpočtovo zabezpečený v rámci rozpočtu verejnej správy na roky 2021 - 2023. Financovanie  bude realizované v rámci programu 017 Program rozvoja bývania, podprogram 01701 Výstavba a obnova bytového fondu, z ktorého sa financuje poskytovanie dotácií na obstaranie nájomného bytu, dotácií na obstaranie technickej vybavenosti a dotácií na odstránenie systémovej poruchy bytového domu podľa tohto zákona, ako aj financovanie poskytovania príspevkov podľa § 9 ods. 1 písm. f) zákona č. 555/2005 Z. z. o energetickej hospodárnosti budov a o zmene a doplnení niektorých zákonov v znení neskorších predpisov. </w:t>
            </w:r>
          </w:p>
        </w:tc>
      </w:tr>
      <w:tr w:rsidR="00FC5A33" w:rsidRPr="00FC5A33" w:rsidTr="00FC5A3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Kontakt na spracovateľa</w:t>
            </w:r>
          </w:p>
        </w:tc>
      </w:tr>
      <w:tr w:rsidR="00FC5A33" w:rsidRPr="00FC5A33" w:rsidTr="00FC5A33">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C5A33" w:rsidRPr="00FC5A33" w:rsidRDefault="00FC5A33" w:rsidP="00FC5A33">
            <w:pPr>
              <w:widowControl/>
              <w:adjustRightInd/>
              <w:rPr>
                <w:sz w:val="20"/>
                <w:szCs w:val="20"/>
                <w:lang w:val="de-DE"/>
              </w:rPr>
            </w:pPr>
            <w:r w:rsidRPr="00FC5A33">
              <w:rPr>
                <w:sz w:val="20"/>
                <w:szCs w:val="20"/>
              </w:rPr>
              <w:t xml:space="preserve">MDV SR – Mgr. Martin Majzún,02/594 94 715, </w:t>
            </w:r>
            <w:proofErr w:type="spellStart"/>
            <w:r w:rsidRPr="00FC5A33">
              <w:rPr>
                <w:sz w:val="20"/>
                <w:szCs w:val="20"/>
              </w:rPr>
              <w:t>martin.majzun</w:t>
            </w:r>
            <w:proofErr w:type="spellEnd"/>
            <w:r w:rsidRPr="00FC5A33">
              <w:rPr>
                <w:sz w:val="20"/>
                <w:szCs w:val="20"/>
                <w:lang w:val="de-DE"/>
              </w:rPr>
              <w:t>@mindop.sk</w:t>
            </w:r>
          </w:p>
          <w:p w:rsidR="00FC5A33" w:rsidRPr="00FC5A33" w:rsidRDefault="00FC5A33" w:rsidP="00FC5A33">
            <w:pPr>
              <w:widowControl/>
              <w:adjustRightInd/>
              <w:rPr>
                <w:i/>
                <w:sz w:val="20"/>
                <w:szCs w:val="20"/>
              </w:rPr>
            </w:pPr>
          </w:p>
        </w:tc>
      </w:tr>
      <w:tr w:rsidR="00FC5A33" w:rsidRPr="00FC5A33" w:rsidTr="00FC5A3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Zdroje</w:t>
            </w:r>
          </w:p>
        </w:tc>
      </w:tr>
      <w:tr w:rsidR="00FC5A33" w:rsidRPr="00FC5A33" w:rsidTr="00FC5A33">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C5A33" w:rsidRPr="00FC5A33" w:rsidRDefault="00FC5A33" w:rsidP="00FC5A33">
            <w:pPr>
              <w:widowControl/>
              <w:adjustRightInd/>
              <w:rPr>
                <w:sz w:val="20"/>
                <w:szCs w:val="20"/>
              </w:rPr>
            </w:pPr>
            <w:r w:rsidRPr="00FC5A33">
              <w:rPr>
                <w:sz w:val="20"/>
                <w:szCs w:val="20"/>
              </w:rPr>
              <w:t>MDV SR, aplikačná prax</w:t>
            </w:r>
          </w:p>
          <w:p w:rsidR="00FC5A33" w:rsidRPr="00FC5A33" w:rsidRDefault="00FC5A33" w:rsidP="00FC5A33">
            <w:pPr>
              <w:widowControl/>
              <w:adjustRightInd/>
              <w:rPr>
                <w:b/>
                <w:sz w:val="20"/>
                <w:szCs w:val="20"/>
              </w:rPr>
            </w:pPr>
          </w:p>
        </w:tc>
      </w:tr>
      <w:tr w:rsidR="00FC5A33" w:rsidRPr="00FC5A33" w:rsidTr="00FC5A3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FC5A33" w:rsidRPr="00FC5A33" w:rsidRDefault="00FC5A33" w:rsidP="00FC5A33">
            <w:pPr>
              <w:widowControl/>
              <w:numPr>
                <w:ilvl w:val="0"/>
                <w:numId w:val="1"/>
              </w:numPr>
              <w:adjustRightInd/>
              <w:ind w:left="426"/>
              <w:contextualSpacing/>
              <w:rPr>
                <w:b/>
                <w:sz w:val="22"/>
                <w:szCs w:val="22"/>
              </w:rPr>
            </w:pPr>
            <w:r w:rsidRPr="00FC5A33">
              <w:rPr>
                <w:b/>
                <w:sz w:val="22"/>
                <w:szCs w:val="22"/>
              </w:rPr>
              <w:t>Stanovisko Komisie pre posudzovanie vybraných vplyvov z PPK</w:t>
            </w:r>
          </w:p>
        </w:tc>
      </w:tr>
      <w:tr w:rsidR="00FC5A33" w:rsidRPr="00FC5A33" w:rsidTr="00FC5A33">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C5A33" w:rsidRPr="00FC5A33" w:rsidRDefault="00FC5A33" w:rsidP="00FC5A33">
            <w:pPr>
              <w:widowControl/>
              <w:adjustRightInd/>
              <w:jc w:val="both"/>
              <w:rPr>
                <w:sz w:val="20"/>
                <w:szCs w:val="20"/>
              </w:rPr>
            </w:pPr>
            <w:r w:rsidRPr="00FC5A33">
              <w:rPr>
                <w:b/>
                <w:sz w:val="20"/>
                <w:szCs w:val="20"/>
              </w:rPr>
              <w:t>I. Úvod:</w:t>
            </w:r>
            <w:r w:rsidRPr="00FC5A33">
              <w:rPr>
                <w:sz w:val="20"/>
                <w:szCs w:val="20"/>
              </w:rPr>
              <w:t xml:space="preserve"> Ministerstvo dopravy a výstavby SR predložilo dňa 17. júla 2020 Stálej pracovnej komisii na posudzovanie vybraných vplyvov (ďalej len „Komisia“) na predbežné pripomienkové konanie materiál: „Návrh zákona č........., ktorým sa mení a dopĺňa zákon č. 443/2010 Z. z. o dotáciách na rozvoj bývania a o sociálnom bývaní v znení neskorších predpisov a ktorým sa mení a dopĺňa zákon č. 261/2011 Z. z. o poskytovaní dotácií na obstaranie náhradných nájomných bytov v znení zákona č. 134/2013 Z. z.“. Materiál predpokladá negatívne vplyvy na rozpočet verejnej správy, ktoré sú čiastočne rozpočtovo zabezpečené a pozitívne sociálne vplyvy.</w:t>
            </w:r>
          </w:p>
          <w:p w:rsidR="00FC5A33" w:rsidRPr="00FC5A33" w:rsidRDefault="00FC5A33" w:rsidP="00FC5A33">
            <w:pPr>
              <w:widowControl/>
              <w:adjustRightInd/>
              <w:jc w:val="both"/>
              <w:rPr>
                <w:sz w:val="20"/>
                <w:szCs w:val="20"/>
              </w:rPr>
            </w:pPr>
          </w:p>
          <w:p w:rsidR="00FC5A33" w:rsidRPr="00FC5A33" w:rsidRDefault="00FC5A33" w:rsidP="00FC5A33">
            <w:pPr>
              <w:widowControl/>
              <w:adjustRightInd/>
              <w:jc w:val="both"/>
              <w:rPr>
                <w:sz w:val="20"/>
                <w:szCs w:val="20"/>
              </w:rPr>
            </w:pPr>
            <w:r w:rsidRPr="00FC5A33">
              <w:rPr>
                <w:b/>
                <w:sz w:val="20"/>
                <w:szCs w:val="20"/>
              </w:rPr>
              <w:t>II. Pripomienky a návrhy zmien</w:t>
            </w:r>
            <w:r w:rsidRPr="00FC5A33">
              <w:rPr>
                <w:sz w:val="20"/>
                <w:szCs w:val="20"/>
              </w:rPr>
              <w:t>: Komisia uplatňuje k materiálu zásadné pripomienky a odporúčania:</w:t>
            </w:r>
          </w:p>
          <w:p w:rsidR="00FC5A33" w:rsidRPr="00FC5A33" w:rsidRDefault="00FC5A33" w:rsidP="00FC5A33">
            <w:pPr>
              <w:widowControl/>
              <w:adjustRightInd/>
              <w:jc w:val="both"/>
              <w:rPr>
                <w:sz w:val="20"/>
                <w:szCs w:val="20"/>
              </w:rPr>
            </w:pPr>
          </w:p>
          <w:p w:rsidR="00FC5A33" w:rsidRPr="00FC5A33" w:rsidRDefault="00FC5A33" w:rsidP="00FC5A33">
            <w:pPr>
              <w:widowControl/>
              <w:adjustRightInd/>
              <w:jc w:val="both"/>
              <w:rPr>
                <w:b/>
                <w:sz w:val="20"/>
                <w:szCs w:val="20"/>
              </w:rPr>
            </w:pPr>
            <w:r w:rsidRPr="00FC5A33">
              <w:rPr>
                <w:b/>
                <w:sz w:val="20"/>
                <w:szCs w:val="20"/>
              </w:rPr>
              <w:t xml:space="preserve">K doložke vybraných vplyvov </w:t>
            </w:r>
          </w:p>
          <w:p w:rsidR="00FC5A33" w:rsidRPr="00FC5A33" w:rsidRDefault="00FC5A33" w:rsidP="00FC5A33">
            <w:pPr>
              <w:widowControl/>
              <w:adjustRightInd/>
              <w:jc w:val="both"/>
              <w:rPr>
                <w:sz w:val="20"/>
                <w:szCs w:val="20"/>
              </w:rPr>
            </w:pPr>
            <w:r w:rsidRPr="00FC5A33">
              <w:rPr>
                <w:sz w:val="20"/>
                <w:szCs w:val="20"/>
              </w:rPr>
              <w:t>Komisia odporúča dopracovať časť 5. Alternatívne riešenia, keďže nespĺňa obsahové náležitosti podľa Jednotnej metodiky. Je potrebné uviesť minimálne nulový variant, t. j. popis súčasného stavu, kedy by sa návrh zákona nerealizoval.</w:t>
            </w:r>
          </w:p>
          <w:p w:rsidR="00FC5A33" w:rsidRPr="00FC5A33" w:rsidRDefault="00FC5A33" w:rsidP="00FC5A33">
            <w:pPr>
              <w:widowControl/>
              <w:adjustRightInd/>
              <w:jc w:val="both"/>
              <w:rPr>
                <w:sz w:val="20"/>
                <w:szCs w:val="20"/>
              </w:rPr>
            </w:pPr>
          </w:p>
          <w:p w:rsidR="00FC5A33" w:rsidRPr="00FC5A33" w:rsidRDefault="00FC5A33" w:rsidP="00FC5A33">
            <w:pPr>
              <w:widowControl/>
              <w:adjustRightInd/>
              <w:jc w:val="both"/>
              <w:rPr>
                <w:b/>
                <w:sz w:val="20"/>
                <w:szCs w:val="20"/>
              </w:rPr>
            </w:pPr>
            <w:r w:rsidRPr="00FC5A33">
              <w:rPr>
                <w:b/>
                <w:sz w:val="20"/>
                <w:szCs w:val="20"/>
              </w:rPr>
              <w:t>K analýze vplyvov na rozpočet verejnej správy</w:t>
            </w:r>
          </w:p>
          <w:p w:rsidR="00FC5A33" w:rsidRPr="00FC5A33" w:rsidRDefault="00FC5A33" w:rsidP="00FC5A33">
            <w:pPr>
              <w:widowControl/>
              <w:adjustRightInd/>
              <w:jc w:val="both"/>
              <w:rPr>
                <w:sz w:val="20"/>
                <w:szCs w:val="20"/>
              </w:rPr>
            </w:pPr>
            <w:r w:rsidRPr="00FC5A33">
              <w:rPr>
                <w:sz w:val="20"/>
                <w:szCs w:val="20"/>
              </w:rPr>
              <w:t xml:space="preserve">Z doložky vybraných vplyvov vyplýva negatívny čiastočne rozpočtovo zabezpečený vplyv na rozpočet verejnej správy. V analýze vplyvov sú vyčíslené výdavky v roku 2020 sú v sume 20 mil. eur  a v rokoch 2021 až 2023 každoročne v sume 21 mil. eur. Ako rozpočtovo zabezpečené v kapitole MDV SR sú uvedené výdavky v roku 2020 v sume 20 mil. eur a v rokoch 2021 až 2023 každoročne v sume 21 mil. eur. a rozpočtovo nekrytý vplyv v rokoch 2022 a 2023 je 1 mil. eur ročne. S rozpočtovo nekrytým vplyvom nesúhlasíme. Zároveň uvádzame, že v súčasnej etape prípravy návrhu rozpočtu na roky 2021 až 2023 v kapitole MDV SR nie sú rozpočtované </w:t>
            </w:r>
            <w:r w:rsidRPr="00FC5A33">
              <w:rPr>
                <w:sz w:val="20"/>
                <w:szCs w:val="20"/>
              </w:rPr>
              <w:lastRenderedPageBreak/>
              <w:t>kapitálové výdavky, ktoré  si má kapitola uplatňovať v rámci prioritných výdavkových titulov. Vzhľadom na uvedené  je potrebné v legislatívnom procese pokračovať až po vyjasnení krytia požadovaných výdavkov.</w:t>
            </w:r>
          </w:p>
          <w:p w:rsidR="00FC5A33" w:rsidRPr="00FC5A33" w:rsidRDefault="00FC5A33" w:rsidP="00FC5A33">
            <w:pPr>
              <w:widowControl/>
              <w:adjustRightInd/>
              <w:jc w:val="both"/>
              <w:rPr>
                <w:sz w:val="20"/>
                <w:szCs w:val="20"/>
              </w:rPr>
            </w:pPr>
          </w:p>
          <w:p w:rsidR="00FC5A33" w:rsidRPr="00FC5A33" w:rsidRDefault="00FC5A33" w:rsidP="00FC5A33">
            <w:pPr>
              <w:widowControl/>
              <w:adjustRightInd/>
              <w:jc w:val="both"/>
              <w:rPr>
                <w:sz w:val="20"/>
                <w:szCs w:val="20"/>
              </w:rPr>
            </w:pPr>
            <w:r w:rsidRPr="00FC5A33">
              <w:rPr>
                <w:sz w:val="20"/>
                <w:szCs w:val="20"/>
              </w:rPr>
              <w:t>V analýze vplyvov na rozpočet verejnej správy v bode 2.2.1. Popis návrhu je v poslednom odseku uvedené, že „Vyššie uvedená podpora na obstaranie nájomných bytov vrátane technickej vybavenosti k týmto bytom navrhujeme v štátnom rozpočte vyčleniť finančné prostriedky v roku 2020 až 2022 vo výške 48 000 000 eur ročne.“. V kvantifikáciách k predloženému návrhu sa takéto objemy výdavkov neuvádzajú, žiadame preto túto vetu vypustiť, resp. preformulovať.</w:t>
            </w:r>
          </w:p>
          <w:p w:rsidR="00FC5A33" w:rsidRPr="00FC5A33" w:rsidRDefault="00FC5A33" w:rsidP="00FC5A33">
            <w:pPr>
              <w:widowControl/>
              <w:adjustRightInd/>
              <w:jc w:val="both"/>
              <w:rPr>
                <w:sz w:val="20"/>
                <w:szCs w:val="20"/>
              </w:rPr>
            </w:pPr>
          </w:p>
          <w:p w:rsidR="00FC5A33" w:rsidRPr="00FC5A33" w:rsidRDefault="00FC5A33" w:rsidP="00FC5A33">
            <w:pPr>
              <w:widowControl/>
              <w:adjustRightInd/>
              <w:jc w:val="both"/>
              <w:rPr>
                <w:b/>
                <w:sz w:val="20"/>
                <w:szCs w:val="20"/>
              </w:rPr>
            </w:pPr>
            <w:r w:rsidRPr="00FC5A33">
              <w:rPr>
                <w:b/>
                <w:sz w:val="20"/>
                <w:szCs w:val="20"/>
              </w:rPr>
              <w:t>K analýze sociálnych vplyvov</w:t>
            </w:r>
          </w:p>
          <w:p w:rsidR="00FC5A33" w:rsidRPr="00FC5A33" w:rsidRDefault="00FC5A33" w:rsidP="00FC5A33">
            <w:pPr>
              <w:widowControl/>
              <w:adjustRightInd/>
              <w:jc w:val="both"/>
              <w:rPr>
                <w:sz w:val="20"/>
                <w:szCs w:val="20"/>
              </w:rPr>
            </w:pPr>
            <w:r w:rsidRPr="00FC5A33">
              <w:rPr>
                <w:sz w:val="20"/>
                <w:szCs w:val="20"/>
              </w:rPr>
              <w:t>Pri vypracovávaní analýzy sociálnych vplyvov odporúčame vypracovávať všetky jej časti a pod-časti, a to aj v prípade, ak v konkrétnej sfére vplyv identifikovaný nie je, napr. komentárom „bez vplyvu“, čím predkladateľ explicitne deklaruje, že vyhodnocoval všetky potenciálne vplyvy, na ktoré sa analýza vzťahuje.</w:t>
            </w:r>
          </w:p>
          <w:p w:rsidR="00FC5A33" w:rsidRPr="00FC5A33" w:rsidRDefault="00FC5A33" w:rsidP="00FC5A33">
            <w:pPr>
              <w:widowControl/>
              <w:adjustRightInd/>
              <w:jc w:val="both"/>
              <w:rPr>
                <w:sz w:val="20"/>
                <w:szCs w:val="20"/>
              </w:rPr>
            </w:pPr>
          </w:p>
          <w:p w:rsidR="00FC5A33" w:rsidRPr="00FC5A33" w:rsidRDefault="00FC5A33" w:rsidP="00FC5A33">
            <w:pPr>
              <w:widowControl/>
              <w:adjustRightInd/>
              <w:jc w:val="both"/>
              <w:rPr>
                <w:sz w:val="20"/>
                <w:szCs w:val="20"/>
              </w:rPr>
            </w:pPr>
            <w:r w:rsidRPr="00FC5A33">
              <w:rPr>
                <w:b/>
                <w:sz w:val="20"/>
                <w:szCs w:val="20"/>
              </w:rPr>
              <w:t>III. Záver:</w:t>
            </w:r>
            <w:r w:rsidRPr="00FC5A33">
              <w:rPr>
                <w:sz w:val="20"/>
                <w:szCs w:val="20"/>
              </w:rPr>
              <w:t xml:space="preserve"> Stála pracovná komisia na posudzovanie vybraných vplyvov vyjadruje </w:t>
            </w:r>
          </w:p>
          <w:p w:rsidR="00FC5A33" w:rsidRPr="00FC5A33" w:rsidRDefault="00FC5A33" w:rsidP="00FC5A33">
            <w:pPr>
              <w:widowControl/>
              <w:adjustRightInd/>
              <w:spacing w:before="120" w:after="120"/>
              <w:jc w:val="center"/>
              <w:rPr>
                <w:b/>
                <w:sz w:val="20"/>
                <w:szCs w:val="20"/>
              </w:rPr>
            </w:pPr>
            <w:r w:rsidRPr="00FC5A33">
              <w:rPr>
                <w:b/>
                <w:sz w:val="20"/>
                <w:szCs w:val="20"/>
              </w:rPr>
              <w:t>nesúhlasné stanovisko</w:t>
            </w:r>
          </w:p>
          <w:p w:rsidR="00FC5A33" w:rsidRPr="00FC5A33" w:rsidRDefault="00FC5A33" w:rsidP="00FC5A33">
            <w:pPr>
              <w:widowControl/>
              <w:adjustRightInd/>
              <w:jc w:val="both"/>
              <w:rPr>
                <w:sz w:val="20"/>
                <w:szCs w:val="20"/>
              </w:rPr>
            </w:pPr>
            <w:r w:rsidRPr="00FC5A33">
              <w:rPr>
                <w:sz w:val="20"/>
                <w:szCs w:val="20"/>
              </w:rPr>
              <w:t>s materiálom predloženým na predbežné pripomienkové konanie.</w:t>
            </w:r>
          </w:p>
          <w:p w:rsidR="00FC5A33" w:rsidRPr="00FC5A33" w:rsidRDefault="00FC5A33" w:rsidP="00FC5A33">
            <w:pPr>
              <w:widowControl/>
              <w:adjustRightInd/>
              <w:jc w:val="both"/>
              <w:rPr>
                <w:sz w:val="20"/>
                <w:szCs w:val="20"/>
              </w:rPr>
            </w:pPr>
          </w:p>
          <w:p w:rsidR="00FC5A33" w:rsidRPr="00FC5A33" w:rsidRDefault="00FC5A33" w:rsidP="00FC5A33">
            <w:pPr>
              <w:widowControl/>
              <w:adjustRightInd/>
              <w:jc w:val="both"/>
              <w:rPr>
                <w:sz w:val="20"/>
                <w:szCs w:val="20"/>
              </w:rPr>
            </w:pPr>
            <w:r w:rsidRPr="00FC5A33">
              <w:rPr>
                <w:b/>
                <w:sz w:val="20"/>
                <w:szCs w:val="20"/>
              </w:rPr>
              <w:t>IV. Poznámka:</w:t>
            </w:r>
            <w:r w:rsidRPr="00FC5A33">
              <w:rPr>
                <w:sz w:val="20"/>
                <w:szCs w:val="20"/>
              </w:rPr>
              <w:t xml:space="preserve"> Predkladateľ zapracuje pripomienky a odporúčania na úpravu uvedené v bode II a uvedie stanovisko Komisie do doložky vybraných vplyvov spolu s vyhodnotením pripomienok.</w:t>
            </w:r>
          </w:p>
          <w:p w:rsidR="00FC5A33" w:rsidRPr="00FC5A33" w:rsidRDefault="00FC5A33" w:rsidP="00FC5A33">
            <w:pPr>
              <w:widowControl/>
              <w:adjustRightInd/>
              <w:jc w:val="both"/>
              <w:rPr>
                <w:sz w:val="20"/>
                <w:szCs w:val="20"/>
              </w:rPr>
            </w:pPr>
          </w:p>
          <w:p w:rsidR="00FC5A33" w:rsidRPr="00FC5A33" w:rsidRDefault="00FC5A33" w:rsidP="00FC5A33">
            <w:pPr>
              <w:widowControl/>
              <w:adjustRightInd/>
              <w:jc w:val="both"/>
              <w:rPr>
                <w:sz w:val="20"/>
                <w:szCs w:val="20"/>
              </w:rPr>
            </w:pPr>
            <w:r w:rsidRPr="00FC5A33">
              <w:rPr>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FC5A33" w:rsidRPr="00FC5A33" w:rsidRDefault="00FC5A33" w:rsidP="00FC5A33">
            <w:pPr>
              <w:widowControl/>
              <w:adjustRightInd/>
              <w:jc w:val="both"/>
              <w:rPr>
                <w:sz w:val="20"/>
                <w:szCs w:val="20"/>
              </w:rPr>
            </w:pPr>
          </w:p>
          <w:p w:rsidR="00FC5A33" w:rsidRPr="00FC5A33" w:rsidRDefault="00FC5A33" w:rsidP="00FC5A33">
            <w:pPr>
              <w:widowControl/>
              <w:adjustRightInd/>
              <w:jc w:val="both"/>
              <w:rPr>
                <w:sz w:val="20"/>
                <w:szCs w:val="20"/>
              </w:rPr>
            </w:pPr>
          </w:p>
          <w:p w:rsidR="00FC5A33" w:rsidRPr="00FC5A33" w:rsidRDefault="00FC5A33" w:rsidP="00FC5A33">
            <w:pPr>
              <w:widowControl/>
              <w:adjustRightInd/>
              <w:ind w:left="5127"/>
              <w:rPr>
                <w:b/>
                <w:sz w:val="20"/>
                <w:szCs w:val="20"/>
              </w:rPr>
            </w:pPr>
            <w:r w:rsidRPr="00FC5A33">
              <w:rPr>
                <w:b/>
                <w:sz w:val="20"/>
                <w:szCs w:val="20"/>
              </w:rPr>
              <w:t>Ing. Rastislav Chovanec, PhD.</w:t>
            </w:r>
          </w:p>
          <w:p w:rsidR="00FC5A33" w:rsidRPr="00FC5A33" w:rsidRDefault="00FC5A33" w:rsidP="00FC5A33">
            <w:pPr>
              <w:widowControl/>
              <w:adjustRightInd/>
              <w:ind w:left="5694"/>
              <w:jc w:val="both"/>
              <w:rPr>
                <w:sz w:val="20"/>
                <w:szCs w:val="20"/>
              </w:rPr>
            </w:pPr>
            <w:r w:rsidRPr="00FC5A33">
              <w:rPr>
                <w:sz w:val="20"/>
                <w:szCs w:val="20"/>
              </w:rPr>
              <w:t>predseda Komisie</w:t>
            </w:r>
          </w:p>
          <w:p w:rsidR="00FC5A33" w:rsidRPr="00FC5A33" w:rsidRDefault="00FC5A33" w:rsidP="00FC5A33">
            <w:pPr>
              <w:widowControl/>
              <w:adjustRightInd/>
              <w:ind w:left="5694"/>
              <w:jc w:val="both"/>
              <w:rPr>
                <w:sz w:val="20"/>
                <w:szCs w:val="20"/>
              </w:rPr>
            </w:pPr>
          </w:p>
          <w:p w:rsidR="00FC5A33" w:rsidRPr="00FC5A33" w:rsidRDefault="00FC5A33" w:rsidP="00FC5A33">
            <w:pPr>
              <w:widowControl/>
              <w:tabs>
                <w:tab w:val="center" w:pos="6379"/>
              </w:tabs>
              <w:suppressAutoHyphens/>
              <w:adjustRightInd/>
              <w:spacing w:line="100" w:lineRule="atLeast"/>
              <w:ind w:right="-2"/>
              <w:jc w:val="both"/>
              <w:rPr>
                <w:bCs/>
                <w:sz w:val="20"/>
                <w:szCs w:val="20"/>
              </w:rPr>
            </w:pPr>
          </w:p>
          <w:p w:rsidR="00FC5A33" w:rsidRPr="00FC5A33" w:rsidRDefault="00FC5A33" w:rsidP="00FC5A33">
            <w:pPr>
              <w:widowControl/>
              <w:tabs>
                <w:tab w:val="center" w:pos="6379"/>
              </w:tabs>
              <w:suppressAutoHyphens/>
              <w:adjustRightInd/>
              <w:spacing w:line="100" w:lineRule="atLeast"/>
              <w:ind w:right="-2"/>
              <w:jc w:val="both"/>
              <w:rPr>
                <w:b/>
                <w:bCs/>
                <w:sz w:val="20"/>
                <w:szCs w:val="20"/>
              </w:rPr>
            </w:pPr>
            <w:r w:rsidRPr="00FC5A33">
              <w:rPr>
                <w:b/>
                <w:bCs/>
                <w:sz w:val="20"/>
                <w:szCs w:val="20"/>
              </w:rPr>
              <w:t>Vyhodnotenie pripomienok Komisie</w:t>
            </w:r>
            <w:r w:rsidRPr="00FC5A33">
              <w:rPr>
                <w:sz w:val="20"/>
                <w:szCs w:val="20"/>
              </w:rPr>
              <w:t xml:space="preserve"> </w:t>
            </w:r>
            <w:r w:rsidRPr="00FC5A33">
              <w:rPr>
                <w:b/>
                <w:bCs/>
                <w:sz w:val="20"/>
                <w:szCs w:val="20"/>
              </w:rPr>
              <w:t>v stanovisku k doložke vybraných vplyvov:</w:t>
            </w:r>
          </w:p>
          <w:p w:rsidR="00FC5A33" w:rsidRPr="00FC5A33" w:rsidRDefault="00FC5A33" w:rsidP="00FC5A33">
            <w:pPr>
              <w:widowControl/>
              <w:tabs>
                <w:tab w:val="center" w:pos="6379"/>
              </w:tabs>
              <w:suppressAutoHyphens/>
              <w:adjustRightInd/>
              <w:spacing w:line="100" w:lineRule="atLeast"/>
              <w:ind w:right="-2"/>
              <w:jc w:val="both"/>
              <w:rPr>
                <w:bCs/>
                <w:sz w:val="20"/>
                <w:szCs w:val="20"/>
              </w:rPr>
            </w:pPr>
            <w:r w:rsidRPr="00FC5A33">
              <w:rPr>
                <w:bCs/>
                <w:sz w:val="20"/>
                <w:szCs w:val="20"/>
              </w:rPr>
              <w:t xml:space="preserve">MDV SR uplatnené pripomienky Komisie k časti 5. Alternatívne riešenia a k analýze sociálnych vplyvov akceptovalo a zapracovalo do návrhu materiálu, ktorý bol predložený na medzirezortné pripomienkové konanie. </w:t>
            </w:r>
          </w:p>
          <w:p w:rsidR="00FC5A33" w:rsidRPr="00FC5A33" w:rsidRDefault="00FC5A33" w:rsidP="00FC5A33">
            <w:pPr>
              <w:widowControl/>
              <w:adjustRightInd/>
              <w:jc w:val="both"/>
              <w:rPr>
                <w:bCs/>
                <w:color w:val="FF0000"/>
                <w:sz w:val="20"/>
                <w:szCs w:val="20"/>
              </w:rPr>
            </w:pPr>
            <w:r w:rsidRPr="00FC5A33">
              <w:rPr>
                <w:bCs/>
                <w:sz w:val="20"/>
                <w:szCs w:val="20"/>
              </w:rPr>
              <w:t>V prípade pripomienky Komisie k analýze vplyvov na rozpočet verejnej správy, MDV SR trvá na vyčíslení výdavkov s rozpočtovo nekrytým vplyvom v návrhu materiálu v predloženom znení. Zvýšené požiadavky na rozpočet vo výške 1 000 000,- eur, ktoré návrh zákona predpokladá budú predmetom rokovania MDV SR s MF SR v rámci prípravy rozpočtu verejnej správy na roky 2021 – 2023.</w:t>
            </w:r>
          </w:p>
        </w:tc>
      </w:tr>
    </w:tbl>
    <w:p w:rsidR="00FC5A33" w:rsidRP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FC5A33" w:rsidRDefault="00FC5A33" w:rsidP="00FC5A33">
      <w:pPr>
        <w:widowControl/>
        <w:adjustRightInd/>
        <w:rPr>
          <w:b/>
          <w:sz w:val="20"/>
          <w:szCs w:val="20"/>
        </w:rPr>
      </w:pPr>
    </w:p>
    <w:p w:rsidR="00580176" w:rsidRDefault="00580176" w:rsidP="00FC5A33">
      <w:pPr>
        <w:widowControl/>
        <w:adjustRightInd/>
        <w:rPr>
          <w:b/>
          <w:sz w:val="20"/>
          <w:szCs w:val="20"/>
        </w:rPr>
      </w:pPr>
    </w:p>
    <w:p w:rsidR="00580176" w:rsidRDefault="00580176" w:rsidP="00FC5A33">
      <w:pPr>
        <w:widowControl/>
        <w:adjustRightInd/>
        <w:rPr>
          <w:b/>
          <w:sz w:val="20"/>
          <w:szCs w:val="20"/>
        </w:rPr>
      </w:pPr>
    </w:p>
    <w:p w:rsidR="00580176" w:rsidRDefault="00580176" w:rsidP="00FC5A33">
      <w:pPr>
        <w:widowControl/>
        <w:adjustRightInd/>
        <w:rPr>
          <w:b/>
          <w:sz w:val="20"/>
          <w:szCs w:val="20"/>
        </w:rPr>
      </w:pPr>
    </w:p>
    <w:p w:rsidR="00580176" w:rsidRDefault="00580176" w:rsidP="00FC5A33">
      <w:pPr>
        <w:widowControl/>
        <w:adjustRightInd/>
        <w:rPr>
          <w:b/>
          <w:sz w:val="20"/>
          <w:szCs w:val="20"/>
        </w:rPr>
      </w:pPr>
    </w:p>
    <w:p w:rsidR="00580176" w:rsidRDefault="00580176" w:rsidP="00FC5A33">
      <w:pPr>
        <w:widowControl/>
        <w:adjustRightInd/>
        <w:rPr>
          <w:b/>
          <w:sz w:val="20"/>
          <w:szCs w:val="20"/>
        </w:rPr>
      </w:pPr>
    </w:p>
    <w:p w:rsidR="00580176" w:rsidRDefault="00580176" w:rsidP="00FC5A33">
      <w:pPr>
        <w:widowControl/>
        <w:adjustRightInd/>
        <w:rPr>
          <w:b/>
          <w:sz w:val="20"/>
          <w:szCs w:val="20"/>
        </w:rPr>
      </w:pPr>
    </w:p>
    <w:p w:rsidR="00FC5A33" w:rsidRPr="00FC5A33" w:rsidRDefault="00FC5A33" w:rsidP="00FC5A33">
      <w:pPr>
        <w:widowControl/>
        <w:adjustRightInd/>
        <w:jc w:val="center"/>
        <w:rPr>
          <w:b/>
          <w:bCs/>
          <w:sz w:val="28"/>
          <w:szCs w:val="28"/>
        </w:rPr>
      </w:pPr>
      <w:r w:rsidRPr="00FC5A33">
        <w:rPr>
          <w:b/>
          <w:bCs/>
          <w:sz w:val="28"/>
          <w:szCs w:val="28"/>
        </w:rPr>
        <w:lastRenderedPageBreak/>
        <w:t>Analýza vplyvov na rozpočet verejnej správy,</w:t>
      </w:r>
    </w:p>
    <w:p w:rsidR="00FC5A33" w:rsidRPr="00FC5A33" w:rsidRDefault="00FC5A33" w:rsidP="00FC5A33">
      <w:pPr>
        <w:widowControl/>
        <w:adjustRightInd/>
        <w:jc w:val="center"/>
        <w:rPr>
          <w:b/>
          <w:bCs/>
          <w:sz w:val="28"/>
          <w:szCs w:val="28"/>
        </w:rPr>
      </w:pPr>
      <w:r w:rsidRPr="00FC5A33">
        <w:rPr>
          <w:b/>
          <w:bCs/>
          <w:sz w:val="28"/>
          <w:szCs w:val="28"/>
        </w:rPr>
        <w:t>na zamestnanosť vo verejnej správe a financovanie návrhu</w:t>
      </w:r>
    </w:p>
    <w:p w:rsidR="00FC5A33" w:rsidRPr="00FC5A33" w:rsidRDefault="00FC5A33" w:rsidP="00FC5A33">
      <w:pPr>
        <w:widowControl/>
        <w:adjustRightInd/>
        <w:jc w:val="right"/>
        <w:rPr>
          <w:b/>
          <w:bCs/>
        </w:rPr>
      </w:pPr>
    </w:p>
    <w:p w:rsidR="00FC5A33" w:rsidRPr="00FC5A33" w:rsidRDefault="00FC5A33" w:rsidP="00FC5A33">
      <w:pPr>
        <w:widowControl/>
        <w:adjustRightInd/>
        <w:rPr>
          <w:b/>
          <w:bCs/>
        </w:rPr>
      </w:pPr>
    </w:p>
    <w:p w:rsidR="00FC5A33" w:rsidRPr="00FC5A33" w:rsidRDefault="00FC5A33" w:rsidP="00FC5A33">
      <w:pPr>
        <w:widowControl/>
        <w:adjustRightInd/>
        <w:rPr>
          <w:b/>
          <w:bCs/>
        </w:rPr>
      </w:pPr>
      <w:r w:rsidRPr="00FC5A33">
        <w:rPr>
          <w:b/>
          <w:bCs/>
        </w:rPr>
        <w:t>2.1 Zhrnutie vplyvov na rozpočet verejnej správy v návrhu</w:t>
      </w:r>
    </w:p>
    <w:p w:rsidR="00FC5A33" w:rsidRPr="00FC5A33" w:rsidRDefault="00FC5A33" w:rsidP="00FC5A33">
      <w:pPr>
        <w:widowControl/>
        <w:adjustRightInd/>
        <w:jc w:val="right"/>
        <w:rPr>
          <w:sz w:val="20"/>
          <w:szCs w:val="20"/>
        </w:rPr>
      </w:pPr>
    </w:p>
    <w:p w:rsidR="00FC5A33" w:rsidRPr="00FC5A33" w:rsidRDefault="00FC5A33" w:rsidP="00FC5A33">
      <w:pPr>
        <w:widowControl/>
        <w:adjustRightInd/>
        <w:jc w:val="right"/>
        <w:rPr>
          <w:sz w:val="20"/>
          <w:szCs w:val="20"/>
        </w:rPr>
      </w:pPr>
      <w:r w:rsidRPr="00FC5A33">
        <w:rPr>
          <w:sz w:val="20"/>
          <w:szCs w:val="20"/>
        </w:rPr>
        <w:t xml:space="preserve">Tabuľka č. 1 </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520"/>
        <w:gridCol w:w="1340"/>
        <w:gridCol w:w="1520"/>
        <w:gridCol w:w="1520"/>
      </w:tblGrid>
      <w:tr w:rsidR="00FC5A33" w:rsidRPr="00FC5A33" w:rsidTr="00FC5A33">
        <w:trPr>
          <w:cantSplit/>
          <w:trHeight w:val="194"/>
          <w:jc w:val="center"/>
        </w:trPr>
        <w:tc>
          <w:tcPr>
            <w:tcW w:w="4661" w:type="dxa"/>
            <w:vMerge w:val="restart"/>
            <w:shd w:val="clear" w:color="auto" w:fill="BFBFBF" w:themeFill="background1" w:themeFillShade="BF"/>
            <w:vAlign w:val="center"/>
          </w:tcPr>
          <w:p w:rsidR="00FC5A33" w:rsidRPr="00FC5A33" w:rsidRDefault="00FC5A33" w:rsidP="00FC5A33">
            <w:pPr>
              <w:widowControl/>
              <w:adjustRightInd/>
              <w:jc w:val="center"/>
              <w:rPr>
                <w:b/>
                <w:bCs/>
              </w:rPr>
            </w:pPr>
            <w:bookmarkStart w:id="0" w:name="OLE_LINK1"/>
            <w:r w:rsidRPr="00FC5A33">
              <w:rPr>
                <w:b/>
                <w:bCs/>
              </w:rPr>
              <w:t>Vplyvy na rozpočet verejnej správy</w:t>
            </w:r>
          </w:p>
        </w:tc>
        <w:tc>
          <w:tcPr>
            <w:tcW w:w="5900" w:type="dxa"/>
            <w:gridSpan w:val="4"/>
            <w:shd w:val="clear" w:color="auto" w:fill="BFBFBF" w:themeFill="background1" w:themeFillShade="BF"/>
            <w:vAlign w:val="center"/>
          </w:tcPr>
          <w:p w:rsidR="00FC5A33" w:rsidRPr="00FC5A33" w:rsidRDefault="00FC5A33" w:rsidP="00FC5A33">
            <w:pPr>
              <w:widowControl/>
              <w:adjustRightInd/>
              <w:jc w:val="center"/>
              <w:rPr>
                <w:b/>
                <w:bCs/>
              </w:rPr>
            </w:pPr>
            <w:r w:rsidRPr="00FC5A33">
              <w:rPr>
                <w:b/>
                <w:bCs/>
              </w:rPr>
              <w:t>Vplyv na rozpočet verejnej správy (v eurách)</w:t>
            </w:r>
          </w:p>
        </w:tc>
      </w:tr>
      <w:tr w:rsidR="00FC5A33" w:rsidRPr="00FC5A33" w:rsidTr="00FC5A33">
        <w:trPr>
          <w:cantSplit/>
          <w:trHeight w:val="70"/>
          <w:jc w:val="center"/>
        </w:trPr>
        <w:tc>
          <w:tcPr>
            <w:tcW w:w="4661" w:type="dxa"/>
            <w:vMerge/>
            <w:shd w:val="clear" w:color="auto" w:fill="BFBFBF" w:themeFill="background1" w:themeFillShade="BF"/>
            <w:vAlign w:val="center"/>
          </w:tcPr>
          <w:p w:rsidR="00FC5A33" w:rsidRPr="00FC5A33" w:rsidRDefault="00FC5A33" w:rsidP="00FC5A33">
            <w:pPr>
              <w:widowControl/>
              <w:adjustRightInd/>
              <w:jc w:val="center"/>
              <w:rPr>
                <w:b/>
                <w:bCs/>
              </w:rPr>
            </w:pPr>
          </w:p>
        </w:tc>
        <w:tc>
          <w:tcPr>
            <w:tcW w:w="1520" w:type="dxa"/>
            <w:shd w:val="clear" w:color="auto" w:fill="BFBFBF" w:themeFill="background1" w:themeFillShade="BF"/>
            <w:vAlign w:val="center"/>
          </w:tcPr>
          <w:p w:rsidR="00FC5A33" w:rsidRPr="00FC5A33" w:rsidRDefault="00FC5A33" w:rsidP="00FC5A33">
            <w:pPr>
              <w:widowControl/>
              <w:adjustRightInd/>
              <w:jc w:val="center"/>
              <w:rPr>
                <w:b/>
                <w:bCs/>
              </w:rPr>
            </w:pPr>
            <w:r w:rsidRPr="00FC5A33">
              <w:rPr>
                <w:b/>
                <w:bCs/>
              </w:rPr>
              <w:t>2020</w:t>
            </w:r>
          </w:p>
        </w:tc>
        <w:tc>
          <w:tcPr>
            <w:tcW w:w="1340" w:type="dxa"/>
            <w:shd w:val="clear" w:color="auto" w:fill="BFBFBF" w:themeFill="background1" w:themeFillShade="BF"/>
            <w:vAlign w:val="center"/>
          </w:tcPr>
          <w:p w:rsidR="00FC5A33" w:rsidRPr="00FC5A33" w:rsidRDefault="00FC5A33" w:rsidP="00FC5A33">
            <w:pPr>
              <w:widowControl/>
              <w:adjustRightInd/>
              <w:jc w:val="center"/>
              <w:rPr>
                <w:b/>
                <w:bCs/>
              </w:rPr>
            </w:pPr>
            <w:r w:rsidRPr="00FC5A33">
              <w:rPr>
                <w:b/>
                <w:bCs/>
              </w:rPr>
              <w:t>2021</w:t>
            </w:r>
          </w:p>
        </w:tc>
        <w:tc>
          <w:tcPr>
            <w:tcW w:w="1520" w:type="dxa"/>
            <w:shd w:val="clear" w:color="auto" w:fill="BFBFBF" w:themeFill="background1" w:themeFillShade="BF"/>
            <w:vAlign w:val="center"/>
          </w:tcPr>
          <w:p w:rsidR="00FC5A33" w:rsidRPr="00FC5A33" w:rsidRDefault="00FC5A33" w:rsidP="00FC5A33">
            <w:pPr>
              <w:widowControl/>
              <w:adjustRightInd/>
              <w:jc w:val="center"/>
              <w:rPr>
                <w:b/>
                <w:bCs/>
              </w:rPr>
            </w:pPr>
            <w:r w:rsidRPr="00FC5A33">
              <w:rPr>
                <w:b/>
                <w:bCs/>
              </w:rPr>
              <w:t>2022</w:t>
            </w:r>
          </w:p>
        </w:tc>
        <w:tc>
          <w:tcPr>
            <w:tcW w:w="1520" w:type="dxa"/>
            <w:shd w:val="clear" w:color="auto" w:fill="BFBFBF" w:themeFill="background1" w:themeFillShade="BF"/>
            <w:vAlign w:val="center"/>
          </w:tcPr>
          <w:p w:rsidR="00FC5A33" w:rsidRPr="00FC5A33" w:rsidRDefault="00FC5A33" w:rsidP="00FC5A33">
            <w:pPr>
              <w:widowControl/>
              <w:adjustRightInd/>
              <w:jc w:val="center"/>
              <w:rPr>
                <w:b/>
                <w:bCs/>
              </w:rPr>
            </w:pPr>
            <w:r w:rsidRPr="00FC5A33">
              <w:rPr>
                <w:b/>
                <w:bCs/>
              </w:rPr>
              <w:t>2023</w:t>
            </w:r>
          </w:p>
        </w:tc>
      </w:tr>
      <w:tr w:rsidR="00FC5A33" w:rsidRPr="00FC5A33" w:rsidTr="00FC5A33">
        <w:trPr>
          <w:trHeight w:val="70"/>
          <w:jc w:val="center"/>
        </w:trPr>
        <w:tc>
          <w:tcPr>
            <w:tcW w:w="4661" w:type="dxa"/>
            <w:shd w:val="clear" w:color="auto" w:fill="C0C0C0"/>
            <w:noWrap/>
            <w:vAlign w:val="center"/>
          </w:tcPr>
          <w:p w:rsidR="00FC5A33" w:rsidRPr="00FC5A33" w:rsidRDefault="00FC5A33" w:rsidP="00FC5A33">
            <w:pPr>
              <w:widowControl/>
              <w:adjustRightInd/>
            </w:pPr>
            <w:r w:rsidRPr="00FC5A33">
              <w:rPr>
                <w:b/>
                <w:bCs/>
              </w:rPr>
              <w:t>Príjmy verejnej správy celkom</w:t>
            </w:r>
          </w:p>
        </w:tc>
        <w:tc>
          <w:tcPr>
            <w:tcW w:w="1520" w:type="dxa"/>
            <w:shd w:val="clear" w:color="auto" w:fill="C0C0C0"/>
            <w:vAlign w:val="center"/>
          </w:tcPr>
          <w:p w:rsidR="00FC5A33" w:rsidRPr="00FC5A33" w:rsidRDefault="00FC5A33" w:rsidP="00FC5A33">
            <w:pPr>
              <w:widowControl/>
              <w:adjustRightInd/>
              <w:jc w:val="right"/>
              <w:rPr>
                <w:b/>
                <w:bCs/>
              </w:rPr>
            </w:pPr>
            <w:r w:rsidRPr="00FC5A33">
              <w:rPr>
                <w:b/>
                <w:bCs/>
              </w:rPr>
              <w:t>0</w:t>
            </w:r>
          </w:p>
        </w:tc>
        <w:tc>
          <w:tcPr>
            <w:tcW w:w="1340" w:type="dxa"/>
            <w:shd w:val="clear" w:color="auto" w:fill="C0C0C0"/>
            <w:vAlign w:val="center"/>
          </w:tcPr>
          <w:p w:rsidR="00FC5A33" w:rsidRPr="00FC5A33" w:rsidRDefault="00FC5A33" w:rsidP="00FC5A33">
            <w:pPr>
              <w:widowControl/>
              <w:adjustRightInd/>
              <w:jc w:val="right"/>
              <w:rPr>
                <w:b/>
                <w:bCs/>
              </w:rPr>
            </w:pPr>
            <w:r w:rsidRPr="00FC5A33">
              <w:rPr>
                <w:b/>
                <w:bCs/>
              </w:rPr>
              <w:t>0</w:t>
            </w:r>
          </w:p>
        </w:tc>
        <w:tc>
          <w:tcPr>
            <w:tcW w:w="1520" w:type="dxa"/>
            <w:shd w:val="clear" w:color="auto" w:fill="C0C0C0"/>
            <w:vAlign w:val="center"/>
          </w:tcPr>
          <w:p w:rsidR="00FC5A33" w:rsidRPr="00FC5A33" w:rsidRDefault="00FC5A33" w:rsidP="00FC5A33">
            <w:pPr>
              <w:widowControl/>
              <w:adjustRightInd/>
              <w:jc w:val="right"/>
              <w:rPr>
                <w:b/>
                <w:bCs/>
              </w:rPr>
            </w:pPr>
            <w:r w:rsidRPr="00FC5A33">
              <w:rPr>
                <w:b/>
                <w:bCs/>
              </w:rPr>
              <w:t>0</w:t>
            </w:r>
          </w:p>
        </w:tc>
        <w:tc>
          <w:tcPr>
            <w:tcW w:w="1520" w:type="dxa"/>
            <w:shd w:val="clear" w:color="auto" w:fill="C0C0C0"/>
            <w:vAlign w:val="center"/>
          </w:tcPr>
          <w:p w:rsidR="00FC5A33" w:rsidRPr="00FC5A33" w:rsidRDefault="00FC5A33" w:rsidP="00FC5A33">
            <w:pPr>
              <w:widowControl/>
              <w:adjustRightInd/>
              <w:jc w:val="right"/>
              <w:rPr>
                <w:b/>
                <w:bCs/>
              </w:rPr>
            </w:pPr>
            <w:r w:rsidRPr="00FC5A33">
              <w:rPr>
                <w:b/>
                <w:bCs/>
              </w:rPr>
              <w:t>0</w:t>
            </w:r>
          </w:p>
        </w:tc>
      </w:tr>
      <w:tr w:rsidR="00FC5A33" w:rsidRPr="00FC5A33" w:rsidTr="00FC5A33">
        <w:trPr>
          <w:trHeight w:val="132"/>
          <w:jc w:val="center"/>
        </w:trPr>
        <w:tc>
          <w:tcPr>
            <w:tcW w:w="4661" w:type="dxa"/>
            <w:noWrap/>
            <w:vAlign w:val="center"/>
          </w:tcPr>
          <w:p w:rsidR="00FC5A33" w:rsidRPr="00FC5A33" w:rsidRDefault="00FC5A33" w:rsidP="00FC5A33">
            <w:pPr>
              <w:widowControl/>
              <w:adjustRightInd/>
            </w:pPr>
            <w:r w:rsidRPr="00FC5A33">
              <w:t>v tom: za každý subjekt verejnej správy zvlášť</w:t>
            </w:r>
          </w:p>
        </w:tc>
        <w:tc>
          <w:tcPr>
            <w:tcW w:w="1520" w:type="dxa"/>
            <w:noWrap/>
            <w:vAlign w:val="center"/>
          </w:tcPr>
          <w:p w:rsidR="00FC5A33" w:rsidRPr="00FC5A33" w:rsidRDefault="00FC5A33" w:rsidP="00FC5A33">
            <w:pPr>
              <w:widowControl/>
              <w:adjustRightInd/>
              <w:jc w:val="right"/>
            </w:pPr>
            <w:r w:rsidRPr="00FC5A33">
              <w:t>0</w:t>
            </w:r>
          </w:p>
        </w:tc>
        <w:tc>
          <w:tcPr>
            <w:tcW w:w="134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z toho:</w:t>
            </w:r>
          </w:p>
        </w:tc>
        <w:tc>
          <w:tcPr>
            <w:tcW w:w="1520" w:type="dxa"/>
            <w:noWrap/>
            <w:vAlign w:val="center"/>
          </w:tcPr>
          <w:p w:rsidR="00FC5A33" w:rsidRPr="00FC5A33" w:rsidRDefault="00FC5A33" w:rsidP="00FC5A33">
            <w:pPr>
              <w:widowControl/>
              <w:adjustRightInd/>
              <w:jc w:val="right"/>
              <w:rPr>
                <w:b/>
                <w:bCs/>
                <w:iCs/>
              </w:rPr>
            </w:pPr>
          </w:p>
        </w:tc>
        <w:tc>
          <w:tcPr>
            <w:tcW w:w="134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r>
      <w:tr w:rsidR="00FC5A33" w:rsidRPr="00FC5A33" w:rsidTr="00FC5A33">
        <w:trPr>
          <w:trHeight w:val="125"/>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ŠR</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34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125"/>
          <w:jc w:val="center"/>
        </w:trPr>
        <w:tc>
          <w:tcPr>
            <w:tcW w:w="4661" w:type="dxa"/>
            <w:noWrap/>
            <w:vAlign w:val="center"/>
          </w:tcPr>
          <w:p w:rsidR="00FC5A33" w:rsidRPr="00FC5A33" w:rsidRDefault="00FC5A33" w:rsidP="00FC5A33">
            <w:pPr>
              <w:widowControl/>
              <w:adjustRightInd/>
              <w:ind w:left="259"/>
              <w:rPr>
                <w:b/>
                <w:bCs/>
                <w:i/>
                <w:iCs/>
              </w:rPr>
            </w:pPr>
            <w:r w:rsidRPr="00FC5A33">
              <w:rPr>
                <w:bCs/>
                <w:i/>
                <w:iCs/>
              </w:rPr>
              <w:t>Rozpočtové prostriedky</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34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125"/>
          <w:jc w:val="center"/>
        </w:trPr>
        <w:tc>
          <w:tcPr>
            <w:tcW w:w="4661" w:type="dxa"/>
            <w:noWrap/>
            <w:vAlign w:val="center"/>
          </w:tcPr>
          <w:p w:rsidR="00FC5A33" w:rsidRPr="00FC5A33" w:rsidRDefault="00FC5A33" w:rsidP="00FC5A33">
            <w:pPr>
              <w:widowControl/>
              <w:adjustRightInd/>
              <w:ind w:left="259"/>
              <w:rPr>
                <w:bCs/>
                <w:i/>
                <w:iCs/>
              </w:rPr>
            </w:pPr>
            <w:r w:rsidRPr="00FC5A33">
              <w:rPr>
                <w:bCs/>
                <w:i/>
                <w:iCs/>
              </w:rPr>
              <w:t>EÚ zdroje</w:t>
            </w:r>
          </w:p>
        </w:tc>
        <w:tc>
          <w:tcPr>
            <w:tcW w:w="1520" w:type="dxa"/>
            <w:noWrap/>
            <w:vAlign w:val="center"/>
          </w:tcPr>
          <w:p w:rsidR="00FC5A33" w:rsidRPr="00FC5A33" w:rsidRDefault="00FC5A33" w:rsidP="00FC5A33">
            <w:pPr>
              <w:widowControl/>
              <w:adjustRightInd/>
              <w:jc w:val="right"/>
            </w:pPr>
            <w:r w:rsidRPr="00FC5A33">
              <w:t>0</w:t>
            </w:r>
          </w:p>
        </w:tc>
        <w:tc>
          <w:tcPr>
            <w:tcW w:w="134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r>
      <w:tr w:rsidR="00FC5A33" w:rsidRPr="00FC5A33" w:rsidTr="00FC5A33">
        <w:trPr>
          <w:trHeight w:val="125"/>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obce</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34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125"/>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vyššie územné celky</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34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125"/>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ostatné subjekty verejnej správy</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34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125"/>
          <w:jc w:val="center"/>
        </w:trPr>
        <w:tc>
          <w:tcPr>
            <w:tcW w:w="4661" w:type="dxa"/>
            <w:shd w:val="clear" w:color="auto" w:fill="C0C0C0"/>
            <w:noWrap/>
            <w:vAlign w:val="center"/>
          </w:tcPr>
          <w:p w:rsidR="00FC5A33" w:rsidRPr="00FC5A33" w:rsidRDefault="00FC5A33" w:rsidP="00FC5A33">
            <w:pPr>
              <w:widowControl/>
              <w:adjustRightInd/>
              <w:rPr>
                <w:b/>
                <w:bCs/>
              </w:rPr>
            </w:pPr>
            <w:r w:rsidRPr="00FC5A33">
              <w:rPr>
                <w:b/>
                <w:bCs/>
              </w:rPr>
              <w:t>Výdavky verejnej správy celkom</w:t>
            </w:r>
          </w:p>
        </w:tc>
        <w:tc>
          <w:tcPr>
            <w:tcW w:w="1520" w:type="dxa"/>
            <w:shd w:val="clear" w:color="auto" w:fill="C0C0C0"/>
            <w:noWrap/>
            <w:vAlign w:val="center"/>
          </w:tcPr>
          <w:p w:rsidR="00FC5A33" w:rsidRPr="00FC5A33" w:rsidRDefault="00FC5A33" w:rsidP="00FC5A33">
            <w:pPr>
              <w:widowControl/>
              <w:adjustRightInd/>
              <w:jc w:val="right"/>
              <w:rPr>
                <w:b/>
                <w:bCs/>
              </w:rPr>
            </w:pPr>
            <w:r w:rsidRPr="00FC5A33">
              <w:rPr>
                <w:b/>
                <w:bCs/>
              </w:rPr>
              <w:t>20 000 000</w:t>
            </w:r>
          </w:p>
        </w:tc>
        <w:tc>
          <w:tcPr>
            <w:tcW w:w="1340" w:type="dxa"/>
            <w:shd w:val="clear" w:color="auto" w:fill="C0C0C0"/>
            <w:noWrap/>
          </w:tcPr>
          <w:p w:rsidR="00FC5A33" w:rsidRPr="00FC5A33" w:rsidRDefault="00FC5A33" w:rsidP="00FC5A33">
            <w:pPr>
              <w:widowControl/>
              <w:adjustRightInd/>
              <w:jc w:val="right"/>
              <w:rPr>
                <w:b/>
                <w:bCs/>
              </w:rPr>
            </w:pPr>
            <w:r w:rsidRPr="00FC5A33">
              <w:rPr>
                <w:b/>
                <w:bCs/>
              </w:rPr>
              <w:t>20 000 000</w:t>
            </w:r>
          </w:p>
        </w:tc>
        <w:tc>
          <w:tcPr>
            <w:tcW w:w="1520" w:type="dxa"/>
            <w:shd w:val="clear" w:color="auto" w:fill="C0C0C0"/>
            <w:noWrap/>
          </w:tcPr>
          <w:p w:rsidR="00FC5A33" w:rsidRPr="00FC5A33" w:rsidRDefault="00FC5A33" w:rsidP="00FC5A33">
            <w:pPr>
              <w:widowControl/>
              <w:adjustRightInd/>
              <w:jc w:val="right"/>
              <w:rPr>
                <w:b/>
                <w:bCs/>
              </w:rPr>
            </w:pPr>
            <w:r w:rsidRPr="00FC5A33">
              <w:rPr>
                <w:b/>
                <w:bCs/>
              </w:rPr>
              <w:t>20 000 000</w:t>
            </w:r>
          </w:p>
        </w:tc>
        <w:tc>
          <w:tcPr>
            <w:tcW w:w="1520" w:type="dxa"/>
            <w:shd w:val="clear" w:color="auto" w:fill="C0C0C0"/>
            <w:noWrap/>
          </w:tcPr>
          <w:p w:rsidR="00FC5A33" w:rsidRPr="00FC5A33" w:rsidRDefault="00FC5A33" w:rsidP="00FC5A33">
            <w:pPr>
              <w:widowControl/>
              <w:adjustRightInd/>
              <w:jc w:val="right"/>
              <w:rPr>
                <w:b/>
                <w:bCs/>
              </w:rPr>
            </w:pPr>
            <w:r w:rsidRPr="00FC5A33">
              <w:rPr>
                <w:b/>
                <w:bCs/>
              </w:rPr>
              <w:t>20 000 000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pPr>
            <w:r w:rsidRPr="00FC5A33">
              <w:t>v tom: MDV SR /01701</w:t>
            </w:r>
          </w:p>
        </w:tc>
        <w:tc>
          <w:tcPr>
            <w:tcW w:w="1520" w:type="dxa"/>
            <w:noWrap/>
            <w:vAlign w:val="center"/>
          </w:tcPr>
          <w:p w:rsidR="00FC5A33" w:rsidRPr="00FC5A33" w:rsidRDefault="00FC5A33" w:rsidP="00FC5A33">
            <w:pPr>
              <w:widowControl/>
              <w:adjustRightInd/>
              <w:jc w:val="right"/>
              <w:rPr>
                <w:bCs/>
                <w:iCs/>
              </w:rPr>
            </w:pPr>
            <w:r w:rsidRPr="00FC5A33">
              <w:rPr>
                <w:bCs/>
                <w:iCs/>
              </w:rPr>
              <w:t xml:space="preserve"> 20 000 000</w:t>
            </w:r>
          </w:p>
        </w:tc>
        <w:tc>
          <w:tcPr>
            <w:tcW w:w="1340" w:type="dxa"/>
            <w:noWrap/>
          </w:tcPr>
          <w:p w:rsidR="00FC5A33" w:rsidRPr="00FC5A33" w:rsidRDefault="00FC5A33" w:rsidP="00FC5A33">
            <w:pPr>
              <w:widowControl/>
              <w:adjustRightInd/>
              <w:jc w:val="right"/>
              <w:rPr>
                <w:bCs/>
                <w:iCs/>
              </w:rPr>
            </w:pPr>
            <w:r w:rsidRPr="00FC5A33">
              <w:rPr>
                <w:bCs/>
                <w:iCs/>
              </w:rPr>
              <w:t>20 000 000</w:t>
            </w:r>
          </w:p>
        </w:tc>
        <w:tc>
          <w:tcPr>
            <w:tcW w:w="1520" w:type="dxa"/>
            <w:noWrap/>
          </w:tcPr>
          <w:p w:rsidR="00FC5A33" w:rsidRPr="00FC5A33" w:rsidRDefault="00FC5A33" w:rsidP="00FC5A33">
            <w:pPr>
              <w:widowControl/>
              <w:adjustRightInd/>
              <w:jc w:val="right"/>
              <w:rPr>
                <w:bCs/>
                <w:iCs/>
              </w:rPr>
            </w:pPr>
            <w:r w:rsidRPr="00FC5A33">
              <w:rPr>
                <w:bCs/>
                <w:iCs/>
              </w:rPr>
              <w:t>20 000 000</w:t>
            </w:r>
          </w:p>
        </w:tc>
        <w:tc>
          <w:tcPr>
            <w:tcW w:w="1520" w:type="dxa"/>
            <w:noWrap/>
          </w:tcPr>
          <w:p w:rsidR="00FC5A33" w:rsidRPr="00FC5A33" w:rsidRDefault="00FC5A33" w:rsidP="00FC5A33">
            <w:pPr>
              <w:widowControl/>
              <w:adjustRightInd/>
              <w:jc w:val="right"/>
              <w:rPr>
                <w:bCs/>
                <w:iCs/>
              </w:rPr>
            </w:pPr>
            <w:r w:rsidRPr="00FC5A33">
              <w:rPr>
                <w:bCs/>
                <w:iCs/>
              </w:rPr>
              <w:t>20 000 000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xml:space="preserve">z toho: </w:t>
            </w:r>
          </w:p>
        </w:tc>
        <w:tc>
          <w:tcPr>
            <w:tcW w:w="1520" w:type="dxa"/>
            <w:noWrap/>
            <w:vAlign w:val="center"/>
          </w:tcPr>
          <w:p w:rsidR="00FC5A33" w:rsidRPr="00FC5A33" w:rsidRDefault="00FC5A33" w:rsidP="00FC5A33">
            <w:pPr>
              <w:widowControl/>
              <w:adjustRightInd/>
              <w:jc w:val="right"/>
              <w:rPr>
                <w:b/>
                <w:bCs/>
                <w:iCs/>
              </w:rPr>
            </w:pPr>
          </w:p>
        </w:tc>
        <w:tc>
          <w:tcPr>
            <w:tcW w:w="134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ŠR</w:t>
            </w:r>
          </w:p>
        </w:tc>
        <w:tc>
          <w:tcPr>
            <w:tcW w:w="1520" w:type="dxa"/>
            <w:noWrap/>
            <w:vAlign w:val="center"/>
          </w:tcPr>
          <w:p w:rsidR="00FC5A33" w:rsidRPr="00FC5A33" w:rsidRDefault="00FC5A33" w:rsidP="00FC5A33">
            <w:pPr>
              <w:widowControl/>
              <w:adjustRightInd/>
              <w:jc w:val="right"/>
              <w:rPr>
                <w:b/>
                <w:bCs/>
                <w:iCs/>
              </w:rPr>
            </w:pPr>
            <w:r w:rsidRPr="00FC5A33">
              <w:rPr>
                <w:b/>
                <w:bCs/>
                <w:iCs/>
              </w:rPr>
              <w:t>20 000 000</w:t>
            </w:r>
          </w:p>
        </w:tc>
        <w:tc>
          <w:tcPr>
            <w:tcW w:w="1340" w:type="dxa"/>
            <w:noWrap/>
            <w:vAlign w:val="center"/>
          </w:tcPr>
          <w:p w:rsidR="00FC5A33" w:rsidRPr="00FC5A33" w:rsidRDefault="00FC5A33" w:rsidP="00FC5A33">
            <w:pPr>
              <w:widowControl/>
              <w:adjustRightInd/>
              <w:jc w:val="right"/>
              <w:rPr>
                <w:b/>
                <w:bCs/>
                <w:iCs/>
              </w:rPr>
            </w:pPr>
            <w:r w:rsidRPr="00FC5A33">
              <w:rPr>
                <w:b/>
                <w:bCs/>
                <w:iCs/>
              </w:rPr>
              <w:t>20 000 000</w:t>
            </w:r>
          </w:p>
        </w:tc>
        <w:tc>
          <w:tcPr>
            <w:tcW w:w="1520" w:type="dxa"/>
            <w:noWrap/>
            <w:vAlign w:val="center"/>
          </w:tcPr>
          <w:p w:rsidR="00FC5A33" w:rsidRPr="00FC5A33" w:rsidRDefault="00FC5A33" w:rsidP="00FC5A33">
            <w:pPr>
              <w:widowControl/>
              <w:adjustRightInd/>
              <w:jc w:val="right"/>
              <w:rPr>
                <w:b/>
                <w:bCs/>
                <w:iCs/>
              </w:rPr>
            </w:pPr>
            <w:r w:rsidRPr="00FC5A33">
              <w:rPr>
                <w:b/>
                <w:bCs/>
                <w:iCs/>
              </w:rPr>
              <w:t>20 000 000</w:t>
            </w:r>
          </w:p>
        </w:tc>
        <w:tc>
          <w:tcPr>
            <w:tcW w:w="1520" w:type="dxa"/>
            <w:noWrap/>
            <w:vAlign w:val="center"/>
          </w:tcPr>
          <w:p w:rsidR="00FC5A33" w:rsidRPr="00FC5A33" w:rsidRDefault="00FC5A33" w:rsidP="00FC5A33">
            <w:pPr>
              <w:widowControl/>
              <w:adjustRightInd/>
              <w:jc w:val="right"/>
              <w:rPr>
                <w:b/>
                <w:bCs/>
                <w:iCs/>
              </w:rPr>
            </w:pPr>
            <w:r w:rsidRPr="00FC5A33">
              <w:rPr>
                <w:b/>
                <w:bCs/>
                <w:iCs/>
              </w:rPr>
              <w:t>20 000 000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ind w:left="259"/>
              <w:rPr>
                <w:b/>
                <w:bCs/>
                <w:i/>
                <w:iCs/>
              </w:rPr>
            </w:pPr>
            <w:r w:rsidRPr="00FC5A33">
              <w:rPr>
                <w:bCs/>
                <w:i/>
                <w:iCs/>
              </w:rPr>
              <w:t>Rozpočtové prostriedky</w:t>
            </w:r>
          </w:p>
        </w:tc>
        <w:tc>
          <w:tcPr>
            <w:tcW w:w="1520" w:type="dxa"/>
            <w:noWrap/>
          </w:tcPr>
          <w:p w:rsidR="00FC5A33" w:rsidRPr="00FC5A33" w:rsidRDefault="00FC5A33" w:rsidP="00FC5A33">
            <w:pPr>
              <w:widowControl/>
              <w:adjustRightInd/>
              <w:jc w:val="right"/>
              <w:rPr>
                <w:bCs/>
                <w:iCs/>
              </w:rPr>
            </w:pPr>
            <w:r w:rsidRPr="00FC5A33">
              <w:rPr>
                <w:bCs/>
                <w:iCs/>
              </w:rPr>
              <w:t>20 000 000</w:t>
            </w:r>
          </w:p>
        </w:tc>
        <w:tc>
          <w:tcPr>
            <w:tcW w:w="1340" w:type="dxa"/>
            <w:noWrap/>
          </w:tcPr>
          <w:p w:rsidR="00FC5A33" w:rsidRPr="00FC5A33" w:rsidRDefault="00FC5A33" w:rsidP="00FC5A33">
            <w:pPr>
              <w:widowControl/>
              <w:adjustRightInd/>
              <w:jc w:val="right"/>
              <w:rPr>
                <w:bCs/>
                <w:iCs/>
              </w:rPr>
            </w:pPr>
            <w:r w:rsidRPr="00FC5A33">
              <w:rPr>
                <w:bCs/>
                <w:iCs/>
              </w:rPr>
              <w:t>20 000 000</w:t>
            </w:r>
          </w:p>
        </w:tc>
        <w:tc>
          <w:tcPr>
            <w:tcW w:w="1520" w:type="dxa"/>
            <w:noWrap/>
          </w:tcPr>
          <w:p w:rsidR="00FC5A33" w:rsidRPr="00FC5A33" w:rsidRDefault="00FC5A33" w:rsidP="00FC5A33">
            <w:pPr>
              <w:widowControl/>
              <w:adjustRightInd/>
              <w:jc w:val="right"/>
              <w:rPr>
                <w:bCs/>
                <w:iCs/>
              </w:rPr>
            </w:pPr>
            <w:r w:rsidRPr="00FC5A33">
              <w:rPr>
                <w:bCs/>
                <w:iCs/>
              </w:rPr>
              <w:t>20 000 000</w:t>
            </w:r>
          </w:p>
        </w:tc>
        <w:tc>
          <w:tcPr>
            <w:tcW w:w="1520" w:type="dxa"/>
            <w:noWrap/>
          </w:tcPr>
          <w:p w:rsidR="00FC5A33" w:rsidRPr="00FC5A33" w:rsidRDefault="00FC5A33" w:rsidP="00FC5A33">
            <w:pPr>
              <w:widowControl/>
              <w:adjustRightInd/>
              <w:jc w:val="right"/>
              <w:rPr>
                <w:bCs/>
                <w:iCs/>
              </w:rPr>
            </w:pPr>
            <w:r w:rsidRPr="00FC5A33">
              <w:rPr>
                <w:bCs/>
                <w:iCs/>
              </w:rPr>
              <w:t>20 000 000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ind w:left="209"/>
              <w:rPr>
                <w:bCs/>
                <w:i/>
                <w:iCs/>
              </w:rPr>
            </w:pPr>
            <w:r w:rsidRPr="00FC5A33">
              <w:rPr>
                <w:bCs/>
                <w:i/>
                <w:iCs/>
              </w:rPr>
              <w:t>EÚ zdroje</w:t>
            </w:r>
          </w:p>
        </w:tc>
        <w:tc>
          <w:tcPr>
            <w:tcW w:w="1520" w:type="dxa"/>
            <w:noWrap/>
            <w:vAlign w:val="center"/>
          </w:tcPr>
          <w:p w:rsidR="00FC5A33" w:rsidRPr="00FC5A33" w:rsidRDefault="00FC5A33" w:rsidP="00FC5A33">
            <w:pPr>
              <w:widowControl/>
              <w:adjustRightInd/>
              <w:jc w:val="right"/>
            </w:pPr>
            <w:r w:rsidRPr="00FC5A33">
              <w:t>0</w:t>
            </w:r>
          </w:p>
        </w:tc>
        <w:tc>
          <w:tcPr>
            <w:tcW w:w="134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ind w:left="209"/>
              <w:rPr>
                <w:bCs/>
                <w:i/>
                <w:iCs/>
              </w:rPr>
            </w:pPr>
            <w:r w:rsidRPr="00FC5A33">
              <w:rPr>
                <w:bCs/>
                <w:i/>
                <w:iCs/>
              </w:rPr>
              <w:t>spolufinancovanie</w:t>
            </w:r>
          </w:p>
        </w:tc>
        <w:tc>
          <w:tcPr>
            <w:tcW w:w="1520" w:type="dxa"/>
            <w:noWrap/>
            <w:vAlign w:val="center"/>
          </w:tcPr>
          <w:p w:rsidR="00FC5A33" w:rsidRPr="00FC5A33" w:rsidRDefault="00FC5A33" w:rsidP="00FC5A33">
            <w:pPr>
              <w:widowControl/>
              <w:adjustRightInd/>
              <w:jc w:val="right"/>
            </w:pPr>
            <w:r w:rsidRPr="00FC5A33">
              <w:t>0</w:t>
            </w:r>
          </w:p>
        </w:tc>
        <w:tc>
          <w:tcPr>
            <w:tcW w:w="134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pPr>
            <w:r w:rsidRPr="00FC5A33">
              <w:t>v tom: ŠFRB</w:t>
            </w:r>
          </w:p>
        </w:tc>
        <w:tc>
          <w:tcPr>
            <w:tcW w:w="1520" w:type="dxa"/>
            <w:noWrap/>
          </w:tcPr>
          <w:p w:rsidR="00FC5A33" w:rsidRPr="00FC5A33" w:rsidRDefault="00FC5A33" w:rsidP="00FC5A33">
            <w:pPr>
              <w:widowControl/>
              <w:adjustRightInd/>
              <w:jc w:val="right"/>
              <w:rPr>
                <w:bCs/>
                <w:iCs/>
              </w:rPr>
            </w:pPr>
            <w:r w:rsidRPr="00FC5A33">
              <w:rPr>
                <w:bCs/>
                <w:iCs/>
              </w:rPr>
              <w:t>0</w:t>
            </w:r>
          </w:p>
        </w:tc>
        <w:tc>
          <w:tcPr>
            <w:tcW w:w="1340" w:type="dxa"/>
            <w:noWrap/>
          </w:tcPr>
          <w:p w:rsidR="00FC5A33" w:rsidRPr="00FC5A33" w:rsidRDefault="00FC5A33" w:rsidP="00FC5A33">
            <w:pPr>
              <w:widowControl/>
              <w:adjustRightInd/>
              <w:jc w:val="right"/>
              <w:rPr>
                <w:bCs/>
                <w:iCs/>
              </w:rPr>
            </w:pPr>
            <w:r w:rsidRPr="00FC5A33">
              <w:rPr>
                <w:bCs/>
                <w:iCs/>
              </w:rPr>
              <w:t>0</w:t>
            </w:r>
          </w:p>
        </w:tc>
        <w:tc>
          <w:tcPr>
            <w:tcW w:w="1520" w:type="dxa"/>
            <w:noWrap/>
          </w:tcPr>
          <w:p w:rsidR="00FC5A33" w:rsidRPr="00FC5A33" w:rsidRDefault="00FC5A33" w:rsidP="00FC5A33">
            <w:pPr>
              <w:widowControl/>
              <w:adjustRightInd/>
              <w:jc w:val="right"/>
              <w:rPr>
                <w:bCs/>
                <w:iCs/>
              </w:rPr>
            </w:pPr>
            <w:r w:rsidRPr="00FC5A33">
              <w:rPr>
                <w:bCs/>
                <w:iCs/>
              </w:rPr>
              <w:t>0</w:t>
            </w:r>
          </w:p>
        </w:tc>
        <w:tc>
          <w:tcPr>
            <w:tcW w:w="1520" w:type="dxa"/>
            <w:noWrap/>
          </w:tcPr>
          <w:p w:rsidR="00FC5A33" w:rsidRPr="00FC5A33" w:rsidRDefault="00FC5A33" w:rsidP="00FC5A33">
            <w:pPr>
              <w:widowControl/>
              <w:adjustRightInd/>
              <w:jc w:val="right"/>
              <w:rPr>
                <w:bCs/>
                <w:iCs/>
              </w:rPr>
            </w:pPr>
            <w:r w:rsidRPr="00FC5A33">
              <w:rPr>
                <w:bCs/>
                <w:iCs/>
              </w:rPr>
              <w:t>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xml:space="preserve">z toho: </w:t>
            </w:r>
          </w:p>
        </w:tc>
        <w:tc>
          <w:tcPr>
            <w:tcW w:w="1520" w:type="dxa"/>
            <w:noWrap/>
            <w:vAlign w:val="center"/>
          </w:tcPr>
          <w:p w:rsidR="00FC5A33" w:rsidRPr="00FC5A33" w:rsidRDefault="00FC5A33" w:rsidP="00FC5A33">
            <w:pPr>
              <w:widowControl/>
              <w:adjustRightInd/>
              <w:jc w:val="right"/>
              <w:rPr>
                <w:b/>
                <w:bCs/>
                <w:iCs/>
              </w:rPr>
            </w:pPr>
          </w:p>
        </w:tc>
        <w:tc>
          <w:tcPr>
            <w:tcW w:w="134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ŠR</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34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ind w:left="259"/>
              <w:rPr>
                <w:b/>
                <w:bCs/>
                <w:i/>
                <w:iCs/>
              </w:rPr>
            </w:pPr>
            <w:r w:rsidRPr="00FC5A33">
              <w:rPr>
                <w:bCs/>
                <w:i/>
                <w:iCs/>
              </w:rPr>
              <w:t>Rozpočtové prostriedky</w:t>
            </w:r>
          </w:p>
        </w:tc>
        <w:tc>
          <w:tcPr>
            <w:tcW w:w="1520" w:type="dxa"/>
            <w:noWrap/>
          </w:tcPr>
          <w:p w:rsidR="00FC5A33" w:rsidRPr="00FC5A33" w:rsidRDefault="00FC5A33" w:rsidP="00FC5A33">
            <w:pPr>
              <w:widowControl/>
              <w:adjustRightInd/>
              <w:jc w:val="right"/>
              <w:rPr>
                <w:bCs/>
                <w:iCs/>
              </w:rPr>
            </w:pPr>
            <w:r w:rsidRPr="00FC5A33">
              <w:rPr>
                <w:bCs/>
                <w:iCs/>
              </w:rPr>
              <w:t>0</w:t>
            </w:r>
          </w:p>
        </w:tc>
        <w:tc>
          <w:tcPr>
            <w:tcW w:w="1340" w:type="dxa"/>
            <w:noWrap/>
          </w:tcPr>
          <w:p w:rsidR="00FC5A33" w:rsidRPr="00FC5A33" w:rsidRDefault="00FC5A33" w:rsidP="00FC5A33">
            <w:pPr>
              <w:widowControl/>
              <w:adjustRightInd/>
              <w:jc w:val="right"/>
              <w:rPr>
                <w:bCs/>
                <w:iCs/>
              </w:rPr>
            </w:pPr>
            <w:r w:rsidRPr="00FC5A33">
              <w:rPr>
                <w:bCs/>
                <w:iCs/>
              </w:rPr>
              <w:t>0</w:t>
            </w:r>
          </w:p>
        </w:tc>
        <w:tc>
          <w:tcPr>
            <w:tcW w:w="1520" w:type="dxa"/>
            <w:noWrap/>
          </w:tcPr>
          <w:p w:rsidR="00FC5A33" w:rsidRPr="00FC5A33" w:rsidRDefault="00FC5A33" w:rsidP="00FC5A33">
            <w:pPr>
              <w:widowControl/>
              <w:adjustRightInd/>
              <w:jc w:val="right"/>
              <w:rPr>
                <w:bCs/>
                <w:iCs/>
              </w:rPr>
            </w:pPr>
            <w:r w:rsidRPr="00FC5A33">
              <w:rPr>
                <w:bCs/>
                <w:iCs/>
              </w:rPr>
              <w:t>0</w:t>
            </w:r>
          </w:p>
        </w:tc>
        <w:tc>
          <w:tcPr>
            <w:tcW w:w="1520" w:type="dxa"/>
            <w:noWrap/>
            <w:vAlign w:val="center"/>
          </w:tcPr>
          <w:p w:rsidR="00FC5A33" w:rsidRPr="00FC5A33" w:rsidRDefault="00FC5A33" w:rsidP="00FC5A33">
            <w:pPr>
              <w:widowControl/>
              <w:adjustRightInd/>
              <w:jc w:val="right"/>
              <w:rPr>
                <w:bCs/>
                <w:iCs/>
              </w:rPr>
            </w:pPr>
            <w:r w:rsidRPr="00FC5A33">
              <w:rPr>
                <w:b/>
                <w:bCs/>
                <w:iCs/>
              </w:rPr>
              <w:t>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ind w:left="209"/>
              <w:rPr>
                <w:bCs/>
                <w:i/>
                <w:iCs/>
              </w:rPr>
            </w:pPr>
            <w:r w:rsidRPr="00FC5A33">
              <w:rPr>
                <w:bCs/>
                <w:i/>
                <w:iCs/>
              </w:rPr>
              <w:t>EÚ zdroje</w:t>
            </w:r>
          </w:p>
        </w:tc>
        <w:tc>
          <w:tcPr>
            <w:tcW w:w="1520" w:type="dxa"/>
            <w:noWrap/>
            <w:vAlign w:val="center"/>
          </w:tcPr>
          <w:p w:rsidR="00FC5A33" w:rsidRPr="00FC5A33" w:rsidRDefault="00FC5A33" w:rsidP="00FC5A33">
            <w:pPr>
              <w:widowControl/>
              <w:adjustRightInd/>
              <w:jc w:val="right"/>
            </w:pPr>
            <w:r w:rsidRPr="00FC5A33">
              <w:t>0</w:t>
            </w:r>
          </w:p>
        </w:tc>
        <w:tc>
          <w:tcPr>
            <w:tcW w:w="134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ind w:left="209"/>
              <w:rPr>
                <w:bCs/>
                <w:i/>
                <w:iCs/>
              </w:rPr>
            </w:pPr>
            <w:r w:rsidRPr="00FC5A33">
              <w:rPr>
                <w:bCs/>
                <w:i/>
                <w:iCs/>
              </w:rPr>
              <w:t>spolufinancovanie</w:t>
            </w:r>
          </w:p>
        </w:tc>
        <w:tc>
          <w:tcPr>
            <w:tcW w:w="1520" w:type="dxa"/>
            <w:noWrap/>
            <w:vAlign w:val="center"/>
          </w:tcPr>
          <w:p w:rsidR="00FC5A33" w:rsidRPr="00FC5A33" w:rsidRDefault="00FC5A33" w:rsidP="00FC5A33">
            <w:pPr>
              <w:widowControl/>
              <w:adjustRightInd/>
              <w:jc w:val="right"/>
            </w:pPr>
            <w:r w:rsidRPr="00FC5A33">
              <w:t>0</w:t>
            </w:r>
          </w:p>
        </w:tc>
        <w:tc>
          <w:tcPr>
            <w:tcW w:w="134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c>
          <w:tcPr>
            <w:tcW w:w="1520" w:type="dxa"/>
            <w:noWrap/>
            <w:vAlign w:val="center"/>
          </w:tcPr>
          <w:p w:rsidR="00FC5A33" w:rsidRPr="00FC5A33" w:rsidRDefault="00FC5A33" w:rsidP="00FC5A33">
            <w:pPr>
              <w:widowControl/>
              <w:adjustRightInd/>
              <w:jc w:val="right"/>
            </w:pPr>
            <w:r w:rsidRPr="00FC5A33">
              <w:t>0</w:t>
            </w:r>
          </w:p>
        </w:tc>
      </w:tr>
      <w:tr w:rsidR="00FC5A33" w:rsidRPr="00FC5A33" w:rsidTr="00FC5A33">
        <w:trPr>
          <w:trHeight w:val="125"/>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obce</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34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125"/>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vyššie územné celky</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34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rPr>
            </w:pPr>
            <w:r w:rsidRPr="00FC5A33">
              <w:rPr>
                <w:b/>
                <w:bCs/>
                <w:i/>
                <w:iCs/>
              </w:rPr>
              <w:t>- vplyv na ostatné subjekty verejnej správy</w:t>
            </w:r>
          </w:p>
        </w:tc>
        <w:tc>
          <w:tcPr>
            <w:tcW w:w="1520" w:type="dxa"/>
            <w:noWrap/>
          </w:tcPr>
          <w:p w:rsidR="00FC5A33" w:rsidRPr="00FC5A33" w:rsidRDefault="00FC5A33" w:rsidP="00FC5A33">
            <w:pPr>
              <w:widowControl/>
              <w:adjustRightInd/>
              <w:jc w:val="right"/>
              <w:rPr>
                <w:b/>
                <w:bCs/>
                <w:iCs/>
              </w:rPr>
            </w:pPr>
            <w:r w:rsidRPr="00FC5A33">
              <w:rPr>
                <w:b/>
                <w:bCs/>
                <w:iCs/>
              </w:rPr>
              <w:t>0</w:t>
            </w:r>
          </w:p>
        </w:tc>
        <w:tc>
          <w:tcPr>
            <w:tcW w:w="1340" w:type="dxa"/>
            <w:noWrap/>
          </w:tcPr>
          <w:p w:rsidR="00FC5A33" w:rsidRPr="00FC5A33" w:rsidRDefault="00FC5A33" w:rsidP="00FC5A33">
            <w:pPr>
              <w:widowControl/>
              <w:adjustRightInd/>
              <w:jc w:val="right"/>
              <w:rPr>
                <w:b/>
                <w:bCs/>
                <w:iCs/>
              </w:rPr>
            </w:pPr>
            <w:r w:rsidRPr="00FC5A33">
              <w:rPr>
                <w:b/>
                <w:bCs/>
                <w:iCs/>
              </w:rPr>
              <w:t>0</w:t>
            </w:r>
          </w:p>
        </w:tc>
        <w:tc>
          <w:tcPr>
            <w:tcW w:w="1520" w:type="dxa"/>
            <w:noWrap/>
          </w:tcPr>
          <w:p w:rsidR="00FC5A33" w:rsidRPr="00FC5A33" w:rsidRDefault="00FC5A33" w:rsidP="00FC5A33">
            <w:pPr>
              <w:widowControl/>
              <w:adjustRightInd/>
              <w:jc w:val="right"/>
              <w:rPr>
                <w:b/>
                <w:bCs/>
                <w:iCs/>
              </w:rPr>
            </w:pPr>
            <w:r w:rsidRPr="00FC5A33">
              <w:rPr>
                <w:b/>
                <w:bCs/>
                <w:iCs/>
              </w:rPr>
              <w:t>0</w:t>
            </w:r>
          </w:p>
        </w:tc>
        <w:tc>
          <w:tcPr>
            <w:tcW w:w="1520" w:type="dxa"/>
            <w:noWrap/>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70"/>
          <w:jc w:val="center"/>
        </w:trPr>
        <w:tc>
          <w:tcPr>
            <w:tcW w:w="4661" w:type="dxa"/>
            <w:shd w:val="clear" w:color="auto" w:fill="BFBFBF" w:themeFill="background1" w:themeFillShade="BF"/>
            <w:noWrap/>
            <w:vAlign w:val="center"/>
          </w:tcPr>
          <w:p w:rsidR="00FC5A33" w:rsidRPr="00FC5A33" w:rsidRDefault="00FC5A33" w:rsidP="00FC5A33">
            <w:pPr>
              <w:widowControl/>
              <w:adjustRightInd/>
              <w:rPr>
                <w:b/>
                <w:bCs/>
              </w:rPr>
            </w:pPr>
            <w:r w:rsidRPr="00FC5A33">
              <w:rPr>
                <w:b/>
                <w:bCs/>
              </w:rPr>
              <w:t xml:space="preserve">Vplyv na počet zamestnancov </w:t>
            </w:r>
          </w:p>
        </w:tc>
        <w:tc>
          <w:tcPr>
            <w:tcW w:w="1520" w:type="dxa"/>
            <w:shd w:val="clear" w:color="auto" w:fill="BFBFBF" w:themeFill="background1" w:themeFillShade="BF"/>
            <w:noWrap/>
            <w:vAlign w:val="center"/>
          </w:tcPr>
          <w:p w:rsidR="00FC5A33" w:rsidRPr="00FC5A33" w:rsidRDefault="00FC5A33" w:rsidP="00FC5A33">
            <w:pPr>
              <w:widowControl/>
              <w:adjustRightInd/>
              <w:jc w:val="right"/>
              <w:rPr>
                <w:b/>
                <w:bCs/>
                <w:iCs/>
              </w:rPr>
            </w:pPr>
          </w:p>
        </w:tc>
        <w:tc>
          <w:tcPr>
            <w:tcW w:w="1340" w:type="dxa"/>
            <w:shd w:val="clear" w:color="auto" w:fill="BFBFBF" w:themeFill="background1" w:themeFillShade="BF"/>
            <w:noWrap/>
            <w:vAlign w:val="center"/>
          </w:tcPr>
          <w:p w:rsidR="00FC5A33" w:rsidRPr="00FC5A33" w:rsidRDefault="00FC5A33" w:rsidP="00FC5A33">
            <w:pPr>
              <w:widowControl/>
              <w:adjustRightInd/>
              <w:jc w:val="right"/>
              <w:rPr>
                <w:b/>
                <w:bCs/>
                <w:iCs/>
              </w:rPr>
            </w:pPr>
          </w:p>
        </w:tc>
        <w:tc>
          <w:tcPr>
            <w:tcW w:w="1520" w:type="dxa"/>
            <w:shd w:val="clear" w:color="auto" w:fill="BFBFBF" w:themeFill="background1" w:themeFillShade="BF"/>
            <w:noWrap/>
            <w:vAlign w:val="center"/>
          </w:tcPr>
          <w:p w:rsidR="00FC5A33" w:rsidRPr="00FC5A33" w:rsidRDefault="00FC5A33" w:rsidP="00FC5A33">
            <w:pPr>
              <w:widowControl/>
              <w:adjustRightInd/>
              <w:jc w:val="right"/>
              <w:rPr>
                <w:b/>
                <w:bCs/>
                <w:iCs/>
              </w:rPr>
            </w:pPr>
          </w:p>
        </w:tc>
        <w:tc>
          <w:tcPr>
            <w:tcW w:w="1520" w:type="dxa"/>
            <w:shd w:val="clear" w:color="auto" w:fill="BFBFBF" w:themeFill="background1" w:themeFillShade="BF"/>
            <w:noWrap/>
            <w:vAlign w:val="center"/>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ŠR</w:t>
            </w:r>
          </w:p>
        </w:tc>
        <w:tc>
          <w:tcPr>
            <w:tcW w:w="1520" w:type="dxa"/>
            <w:noWrap/>
            <w:vAlign w:val="center"/>
          </w:tcPr>
          <w:p w:rsidR="00FC5A33" w:rsidRPr="00FC5A33" w:rsidRDefault="00FC5A33" w:rsidP="00FC5A33">
            <w:pPr>
              <w:widowControl/>
              <w:adjustRightInd/>
              <w:jc w:val="right"/>
              <w:rPr>
                <w:b/>
                <w:bCs/>
                <w:iCs/>
              </w:rPr>
            </w:pPr>
          </w:p>
        </w:tc>
        <w:tc>
          <w:tcPr>
            <w:tcW w:w="134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c>
          <w:tcPr>
            <w:tcW w:w="1520" w:type="dxa"/>
            <w:noWrap/>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obce</w:t>
            </w:r>
          </w:p>
        </w:tc>
        <w:tc>
          <w:tcPr>
            <w:tcW w:w="1520" w:type="dxa"/>
            <w:noWrap/>
            <w:vAlign w:val="center"/>
          </w:tcPr>
          <w:p w:rsidR="00FC5A33" w:rsidRPr="00FC5A33" w:rsidRDefault="00FC5A33" w:rsidP="00FC5A33">
            <w:pPr>
              <w:widowControl/>
              <w:adjustRightInd/>
              <w:jc w:val="right"/>
              <w:rPr>
                <w:b/>
                <w:bCs/>
                <w:iCs/>
              </w:rPr>
            </w:pPr>
          </w:p>
        </w:tc>
        <w:tc>
          <w:tcPr>
            <w:tcW w:w="134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c>
          <w:tcPr>
            <w:tcW w:w="1520" w:type="dxa"/>
            <w:noWrap/>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vyššie územné celky</w:t>
            </w:r>
          </w:p>
        </w:tc>
        <w:tc>
          <w:tcPr>
            <w:tcW w:w="1520" w:type="dxa"/>
            <w:noWrap/>
            <w:vAlign w:val="center"/>
          </w:tcPr>
          <w:p w:rsidR="00FC5A33" w:rsidRPr="00FC5A33" w:rsidRDefault="00FC5A33" w:rsidP="00FC5A33">
            <w:pPr>
              <w:widowControl/>
              <w:adjustRightInd/>
              <w:jc w:val="right"/>
              <w:rPr>
                <w:b/>
                <w:bCs/>
                <w:iCs/>
              </w:rPr>
            </w:pPr>
          </w:p>
        </w:tc>
        <w:tc>
          <w:tcPr>
            <w:tcW w:w="134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ostatné subjekty verejnej správy</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34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c>
          <w:tcPr>
            <w:tcW w:w="1520" w:type="dxa"/>
            <w:noWrap/>
            <w:vAlign w:val="center"/>
          </w:tcPr>
          <w:p w:rsidR="00FC5A33" w:rsidRPr="00FC5A33" w:rsidRDefault="00FC5A33" w:rsidP="00FC5A33">
            <w:pPr>
              <w:widowControl/>
              <w:adjustRightInd/>
              <w:jc w:val="right"/>
              <w:rPr>
                <w:b/>
                <w:bCs/>
                <w:iCs/>
              </w:rPr>
            </w:pPr>
            <w:r w:rsidRPr="00FC5A33">
              <w:rPr>
                <w:b/>
                <w:bCs/>
                <w:iCs/>
              </w:rPr>
              <w:t>0</w:t>
            </w:r>
          </w:p>
        </w:tc>
      </w:tr>
      <w:tr w:rsidR="00FC5A33" w:rsidRPr="00FC5A33" w:rsidTr="00FC5A33">
        <w:trPr>
          <w:trHeight w:val="70"/>
          <w:jc w:val="center"/>
        </w:trPr>
        <w:tc>
          <w:tcPr>
            <w:tcW w:w="4661" w:type="dxa"/>
            <w:shd w:val="clear" w:color="auto" w:fill="BFBFBF" w:themeFill="background1" w:themeFillShade="BF"/>
            <w:noWrap/>
            <w:vAlign w:val="center"/>
          </w:tcPr>
          <w:p w:rsidR="00FC5A33" w:rsidRPr="00FC5A33" w:rsidRDefault="00FC5A33" w:rsidP="00FC5A33">
            <w:pPr>
              <w:widowControl/>
              <w:adjustRightInd/>
              <w:rPr>
                <w:b/>
              </w:rPr>
            </w:pPr>
            <w:r w:rsidRPr="00FC5A33">
              <w:rPr>
                <w:b/>
              </w:rPr>
              <w:t>Vplyv na mzdové výdavky</w:t>
            </w:r>
          </w:p>
        </w:tc>
        <w:tc>
          <w:tcPr>
            <w:tcW w:w="1520" w:type="dxa"/>
            <w:shd w:val="clear" w:color="auto" w:fill="BFBFBF" w:themeFill="background1" w:themeFillShade="BF"/>
            <w:noWrap/>
          </w:tcPr>
          <w:p w:rsidR="00FC5A33" w:rsidRPr="00FC5A33" w:rsidRDefault="00FC5A33" w:rsidP="00FC5A33">
            <w:pPr>
              <w:widowControl/>
              <w:adjustRightInd/>
              <w:jc w:val="right"/>
              <w:rPr>
                <w:b/>
                <w:bCs/>
                <w:iCs/>
              </w:rPr>
            </w:pPr>
          </w:p>
        </w:tc>
        <w:tc>
          <w:tcPr>
            <w:tcW w:w="1340" w:type="dxa"/>
            <w:shd w:val="clear" w:color="auto" w:fill="BFBFBF" w:themeFill="background1" w:themeFillShade="BF"/>
            <w:noWrap/>
          </w:tcPr>
          <w:p w:rsidR="00FC5A33" w:rsidRPr="00FC5A33" w:rsidRDefault="00FC5A33" w:rsidP="00FC5A33">
            <w:pPr>
              <w:widowControl/>
              <w:adjustRightInd/>
              <w:jc w:val="right"/>
              <w:rPr>
                <w:b/>
                <w:bCs/>
                <w:iCs/>
              </w:rPr>
            </w:pPr>
          </w:p>
        </w:tc>
        <w:tc>
          <w:tcPr>
            <w:tcW w:w="1520" w:type="dxa"/>
            <w:shd w:val="clear" w:color="auto" w:fill="BFBFBF" w:themeFill="background1" w:themeFillShade="BF"/>
            <w:noWrap/>
          </w:tcPr>
          <w:p w:rsidR="00FC5A33" w:rsidRPr="00FC5A33" w:rsidRDefault="00FC5A33" w:rsidP="00FC5A33">
            <w:pPr>
              <w:widowControl/>
              <w:adjustRightInd/>
              <w:jc w:val="right"/>
              <w:rPr>
                <w:b/>
                <w:bCs/>
                <w:iCs/>
              </w:rPr>
            </w:pPr>
          </w:p>
        </w:tc>
        <w:tc>
          <w:tcPr>
            <w:tcW w:w="1520" w:type="dxa"/>
            <w:shd w:val="clear" w:color="auto" w:fill="BFBFBF" w:themeFill="background1" w:themeFillShade="BF"/>
            <w:noWrap/>
            <w:vAlign w:val="center"/>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ŠR</w:t>
            </w:r>
          </w:p>
        </w:tc>
        <w:tc>
          <w:tcPr>
            <w:tcW w:w="1520" w:type="dxa"/>
            <w:noWrap/>
          </w:tcPr>
          <w:p w:rsidR="00FC5A33" w:rsidRPr="00FC5A33" w:rsidRDefault="00FC5A33" w:rsidP="00FC5A33">
            <w:pPr>
              <w:widowControl/>
              <w:adjustRightInd/>
              <w:jc w:val="right"/>
              <w:rPr>
                <w:bCs/>
                <w:iCs/>
              </w:rPr>
            </w:pPr>
          </w:p>
        </w:tc>
        <w:tc>
          <w:tcPr>
            <w:tcW w:w="1340" w:type="dxa"/>
            <w:noWrap/>
          </w:tcPr>
          <w:p w:rsidR="00FC5A33" w:rsidRPr="00FC5A33" w:rsidRDefault="00FC5A33" w:rsidP="00FC5A33">
            <w:pPr>
              <w:widowControl/>
              <w:adjustRightInd/>
              <w:jc w:val="right"/>
              <w:rPr>
                <w:bCs/>
                <w:iCs/>
              </w:rPr>
            </w:pPr>
          </w:p>
        </w:tc>
        <w:tc>
          <w:tcPr>
            <w:tcW w:w="1520" w:type="dxa"/>
            <w:noWrap/>
          </w:tcPr>
          <w:p w:rsidR="00FC5A33" w:rsidRPr="00FC5A33" w:rsidRDefault="00FC5A33" w:rsidP="00FC5A33">
            <w:pPr>
              <w:widowControl/>
              <w:adjustRightInd/>
              <w:jc w:val="right"/>
              <w:rPr>
                <w:bCs/>
                <w:iCs/>
              </w:rPr>
            </w:pPr>
          </w:p>
        </w:tc>
        <w:tc>
          <w:tcPr>
            <w:tcW w:w="1520" w:type="dxa"/>
            <w:noWrap/>
          </w:tcPr>
          <w:p w:rsidR="00FC5A33" w:rsidRPr="00FC5A33" w:rsidRDefault="00FC5A33" w:rsidP="00FC5A33">
            <w:pPr>
              <w:widowControl/>
              <w:adjustRightInd/>
              <w:jc w:val="right"/>
              <w:rPr>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obce</w:t>
            </w:r>
          </w:p>
        </w:tc>
        <w:tc>
          <w:tcPr>
            <w:tcW w:w="1520" w:type="dxa"/>
            <w:noWrap/>
            <w:vAlign w:val="center"/>
          </w:tcPr>
          <w:p w:rsidR="00FC5A33" w:rsidRPr="00FC5A33" w:rsidRDefault="00FC5A33" w:rsidP="00FC5A33">
            <w:pPr>
              <w:widowControl/>
              <w:adjustRightInd/>
              <w:jc w:val="right"/>
              <w:rPr>
                <w:b/>
                <w:bCs/>
                <w:iCs/>
              </w:rPr>
            </w:pPr>
          </w:p>
        </w:tc>
        <w:tc>
          <w:tcPr>
            <w:tcW w:w="134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c>
          <w:tcPr>
            <w:tcW w:w="1520" w:type="dxa"/>
            <w:noWrap/>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i/>
                <w:iCs/>
              </w:rPr>
            </w:pPr>
            <w:r w:rsidRPr="00FC5A33">
              <w:rPr>
                <w:b/>
                <w:bCs/>
                <w:i/>
                <w:iCs/>
              </w:rPr>
              <w:t>- vplyv na vyššie územné celky</w:t>
            </w:r>
          </w:p>
        </w:tc>
        <w:tc>
          <w:tcPr>
            <w:tcW w:w="1520" w:type="dxa"/>
            <w:noWrap/>
            <w:vAlign w:val="center"/>
          </w:tcPr>
          <w:p w:rsidR="00FC5A33" w:rsidRPr="00FC5A33" w:rsidRDefault="00FC5A33" w:rsidP="00FC5A33">
            <w:pPr>
              <w:widowControl/>
              <w:adjustRightInd/>
              <w:jc w:val="right"/>
              <w:rPr>
                <w:b/>
                <w:bCs/>
                <w:iCs/>
              </w:rPr>
            </w:pPr>
          </w:p>
        </w:tc>
        <w:tc>
          <w:tcPr>
            <w:tcW w:w="134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c>
          <w:tcPr>
            <w:tcW w:w="1520" w:type="dxa"/>
            <w:noWrap/>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rPr>
                <w:b/>
                <w:bCs/>
              </w:rPr>
            </w:pPr>
            <w:r w:rsidRPr="00FC5A33">
              <w:rPr>
                <w:b/>
                <w:bCs/>
                <w:i/>
                <w:iCs/>
              </w:rPr>
              <w:t>- vplyv na ostatné subjekty verejnej správy</w:t>
            </w:r>
          </w:p>
        </w:tc>
        <w:tc>
          <w:tcPr>
            <w:tcW w:w="1520" w:type="dxa"/>
            <w:noWrap/>
            <w:vAlign w:val="center"/>
          </w:tcPr>
          <w:p w:rsidR="00FC5A33" w:rsidRPr="00FC5A33" w:rsidRDefault="00FC5A33" w:rsidP="00FC5A33">
            <w:pPr>
              <w:widowControl/>
              <w:adjustRightInd/>
              <w:jc w:val="right"/>
              <w:rPr>
                <w:b/>
                <w:bCs/>
                <w:iCs/>
              </w:rPr>
            </w:pPr>
          </w:p>
        </w:tc>
        <w:tc>
          <w:tcPr>
            <w:tcW w:w="134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c>
          <w:tcPr>
            <w:tcW w:w="1520" w:type="dxa"/>
            <w:noWrap/>
            <w:vAlign w:val="center"/>
          </w:tcPr>
          <w:p w:rsidR="00FC5A33" w:rsidRPr="00FC5A33" w:rsidRDefault="00FC5A33" w:rsidP="00FC5A33">
            <w:pPr>
              <w:widowControl/>
              <w:adjustRightInd/>
              <w:jc w:val="right"/>
              <w:rPr>
                <w:b/>
                <w:bCs/>
                <w:iCs/>
              </w:rPr>
            </w:pPr>
          </w:p>
        </w:tc>
      </w:tr>
      <w:tr w:rsidR="00FC5A33" w:rsidRPr="00FC5A33" w:rsidTr="00FC5A33">
        <w:trPr>
          <w:trHeight w:val="70"/>
          <w:jc w:val="center"/>
        </w:trPr>
        <w:tc>
          <w:tcPr>
            <w:tcW w:w="4661" w:type="dxa"/>
            <w:shd w:val="clear" w:color="auto" w:fill="C0C0C0"/>
            <w:noWrap/>
            <w:vAlign w:val="center"/>
          </w:tcPr>
          <w:p w:rsidR="00FC5A33" w:rsidRPr="00FC5A33" w:rsidRDefault="00FC5A33" w:rsidP="00FC5A33">
            <w:pPr>
              <w:widowControl/>
              <w:adjustRightInd/>
              <w:rPr>
                <w:b/>
                <w:bCs/>
              </w:rPr>
            </w:pPr>
            <w:r w:rsidRPr="00FC5A33">
              <w:rPr>
                <w:b/>
                <w:bCs/>
              </w:rPr>
              <w:t>Financovanie zabezpečené v rozpočte</w:t>
            </w:r>
          </w:p>
        </w:tc>
        <w:tc>
          <w:tcPr>
            <w:tcW w:w="1520" w:type="dxa"/>
            <w:shd w:val="clear" w:color="auto" w:fill="C0C0C0"/>
            <w:noWrap/>
          </w:tcPr>
          <w:p w:rsidR="00FC5A33" w:rsidRPr="00FC5A33" w:rsidRDefault="00FC5A33" w:rsidP="00FC5A33">
            <w:pPr>
              <w:widowControl/>
              <w:adjustRightInd/>
              <w:jc w:val="right"/>
              <w:rPr>
                <w:b/>
                <w:bCs/>
              </w:rPr>
            </w:pPr>
            <w:r w:rsidRPr="00FC5A33">
              <w:rPr>
                <w:b/>
                <w:bCs/>
              </w:rPr>
              <w:t>20 000 000</w:t>
            </w:r>
          </w:p>
        </w:tc>
        <w:tc>
          <w:tcPr>
            <w:tcW w:w="1340" w:type="dxa"/>
            <w:shd w:val="clear" w:color="auto" w:fill="C0C0C0"/>
            <w:noWrap/>
          </w:tcPr>
          <w:p w:rsidR="00FC5A33" w:rsidRPr="00FC5A33" w:rsidRDefault="00FC5A33" w:rsidP="00FC5A33">
            <w:pPr>
              <w:widowControl/>
              <w:adjustRightInd/>
              <w:jc w:val="right"/>
              <w:rPr>
                <w:b/>
                <w:bCs/>
              </w:rPr>
            </w:pPr>
            <w:r w:rsidRPr="00FC5A33">
              <w:rPr>
                <w:b/>
                <w:bCs/>
              </w:rPr>
              <w:t>20 000 000</w:t>
            </w:r>
          </w:p>
        </w:tc>
        <w:tc>
          <w:tcPr>
            <w:tcW w:w="1520" w:type="dxa"/>
            <w:shd w:val="clear" w:color="auto" w:fill="C0C0C0"/>
            <w:noWrap/>
          </w:tcPr>
          <w:p w:rsidR="00FC5A33" w:rsidRPr="00FC5A33" w:rsidRDefault="00FC5A33" w:rsidP="00FC5A33">
            <w:pPr>
              <w:widowControl/>
              <w:adjustRightInd/>
              <w:jc w:val="right"/>
              <w:rPr>
                <w:b/>
                <w:bCs/>
              </w:rPr>
            </w:pPr>
            <w:r w:rsidRPr="00FC5A33">
              <w:rPr>
                <w:b/>
                <w:bCs/>
              </w:rPr>
              <w:t>20 000 000</w:t>
            </w:r>
          </w:p>
        </w:tc>
        <w:tc>
          <w:tcPr>
            <w:tcW w:w="1520" w:type="dxa"/>
            <w:shd w:val="clear" w:color="auto" w:fill="C0C0C0"/>
            <w:noWrap/>
          </w:tcPr>
          <w:p w:rsidR="00FC5A33" w:rsidRPr="00FC5A33" w:rsidRDefault="00FC5A33" w:rsidP="00FC5A33">
            <w:pPr>
              <w:widowControl/>
              <w:adjustRightInd/>
              <w:jc w:val="right"/>
              <w:rPr>
                <w:b/>
                <w:bCs/>
              </w:rPr>
            </w:pPr>
            <w:r w:rsidRPr="00FC5A33">
              <w:rPr>
                <w:b/>
                <w:bCs/>
              </w:rPr>
              <w:t>20 000 000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pPr>
            <w:r w:rsidRPr="00FC5A33">
              <w:t xml:space="preserve">v tom: MDV SR /01701 </w:t>
            </w:r>
          </w:p>
        </w:tc>
        <w:tc>
          <w:tcPr>
            <w:tcW w:w="1520" w:type="dxa"/>
            <w:noWrap/>
          </w:tcPr>
          <w:p w:rsidR="00FC5A33" w:rsidRPr="00FC5A33" w:rsidRDefault="00FC5A33" w:rsidP="00FC5A33">
            <w:pPr>
              <w:widowControl/>
              <w:adjustRightInd/>
              <w:jc w:val="right"/>
              <w:rPr>
                <w:bCs/>
                <w:iCs/>
              </w:rPr>
            </w:pPr>
            <w:r w:rsidRPr="00FC5A33">
              <w:rPr>
                <w:bCs/>
                <w:iCs/>
              </w:rPr>
              <w:t>20 000 000</w:t>
            </w:r>
          </w:p>
        </w:tc>
        <w:tc>
          <w:tcPr>
            <w:tcW w:w="1340" w:type="dxa"/>
            <w:noWrap/>
          </w:tcPr>
          <w:p w:rsidR="00FC5A33" w:rsidRPr="00FC5A33" w:rsidRDefault="00FC5A33" w:rsidP="00FC5A33">
            <w:pPr>
              <w:widowControl/>
              <w:adjustRightInd/>
              <w:jc w:val="right"/>
              <w:rPr>
                <w:bCs/>
                <w:iCs/>
              </w:rPr>
            </w:pPr>
            <w:r w:rsidRPr="00FC5A33">
              <w:rPr>
                <w:bCs/>
                <w:iCs/>
              </w:rPr>
              <w:t>0</w:t>
            </w:r>
          </w:p>
        </w:tc>
        <w:tc>
          <w:tcPr>
            <w:tcW w:w="1520" w:type="dxa"/>
            <w:noWrap/>
          </w:tcPr>
          <w:p w:rsidR="00FC5A33" w:rsidRPr="00FC5A33" w:rsidRDefault="00FC5A33" w:rsidP="00FC5A33">
            <w:pPr>
              <w:widowControl/>
              <w:adjustRightInd/>
              <w:jc w:val="right"/>
              <w:rPr>
                <w:bCs/>
                <w:iCs/>
              </w:rPr>
            </w:pPr>
            <w:r w:rsidRPr="00FC5A33">
              <w:rPr>
                <w:bCs/>
                <w:iCs/>
              </w:rPr>
              <w:t>0</w:t>
            </w:r>
          </w:p>
        </w:tc>
        <w:tc>
          <w:tcPr>
            <w:tcW w:w="1520" w:type="dxa"/>
            <w:noWrap/>
          </w:tcPr>
          <w:p w:rsidR="00FC5A33" w:rsidRPr="00FC5A33" w:rsidRDefault="00FC5A33" w:rsidP="00FC5A33">
            <w:pPr>
              <w:widowControl/>
              <w:adjustRightInd/>
              <w:jc w:val="right"/>
              <w:rPr>
                <w:bCs/>
                <w:iCs/>
              </w:rPr>
            </w:pPr>
            <w:r w:rsidRPr="00FC5A33">
              <w:rPr>
                <w:bCs/>
                <w:iCs/>
              </w:rPr>
              <w:t>0</w:t>
            </w:r>
          </w:p>
        </w:tc>
      </w:tr>
      <w:tr w:rsidR="00FC5A33" w:rsidRPr="00FC5A33" w:rsidTr="00FC5A33">
        <w:trPr>
          <w:trHeight w:val="70"/>
          <w:jc w:val="center"/>
        </w:trPr>
        <w:tc>
          <w:tcPr>
            <w:tcW w:w="4661" w:type="dxa"/>
            <w:noWrap/>
            <w:vAlign w:val="center"/>
          </w:tcPr>
          <w:p w:rsidR="00FC5A33" w:rsidRPr="00FC5A33" w:rsidRDefault="00FC5A33" w:rsidP="00FC5A33">
            <w:pPr>
              <w:widowControl/>
              <w:adjustRightInd/>
            </w:pPr>
            <w:r w:rsidRPr="00FC5A33">
              <w:t xml:space="preserve">           rozpočet verejnej správy</w:t>
            </w:r>
          </w:p>
        </w:tc>
        <w:tc>
          <w:tcPr>
            <w:tcW w:w="1520" w:type="dxa"/>
            <w:noWrap/>
          </w:tcPr>
          <w:p w:rsidR="00FC5A33" w:rsidRPr="00FC5A33" w:rsidRDefault="00FC5A33" w:rsidP="00FC5A33">
            <w:pPr>
              <w:widowControl/>
              <w:adjustRightInd/>
              <w:jc w:val="right"/>
              <w:rPr>
                <w:bCs/>
                <w:iCs/>
              </w:rPr>
            </w:pPr>
          </w:p>
        </w:tc>
        <w:tc>
          <w:tcPr>
            <w:tcW w:w="1340" w:type="dxa"/>
            <w:noWrap/>
          </w:tcPr>
          <w:p w:rsidR="00FC5A33" w:rsidRPr="00FC5A33" w:rsidRDefault="00FC5A33" w:rsidP="00FC5A33">
            <w:pPr>
              <w:widowControl/>
              <w:adjustRightInd/>
              <w:jc w:val="right"/>
              <w:rPr>
                <w:bCs/>
                <w:iCs/>
              </w:rPr>
            </w:pPr>
            <w:r w:rsidRPr="00FC5A33">
              <w:rPr>
                <w:bCs/>
                <w:iCs/>
              </w:rPr>
              <w:t>20 000 000</w:t>
            </w:r>
          </w:p>
        </w:tc>
        <w:tc>
          <w:tcPr>
            <w:tcW w:w="1520" w:type="dxa"/>
            <w:noWrap/>
          </w:tcPr>
          <w:p w:rsidR="00FC5A33" w:rsidRPr="00FC5A33" w:rsidRDefault="00FC5A33" w:rsidP="00FC5A33">
            <w:pPr>
              <w:widowControl/>
              <w:adjustRightInd/>
              <w:jc w:val="right"/>
              <w:rPr>
                <w:bCs/>
                <w:iCs/>
              </w:rPr>
            </w:pPr>
            <w:r w:rsidRPr="00FC5A33">
              <w:rPr>
                <w:bCs/>
                <w:iCs/>
              </w:rPr>
              <w:t>20 000 000</w:t>
            </w:r>
          </w:p>
        </w:tc>
        <w:tc>
          <w:tcPr>
            <w:tcW w:w="1520" w:type="dxa"/>
            <w:noWrap/>
          </w:tcPr>
          <w:p w:rsidR="00FC5A33" w:rsidRPr="00FC5A33" w:rsidRDefault="00FC5A33" w:rsidP="00FC5A33">
            <w:pPr>
              <w:widowControl/>
              <w:adjustRightInd/>
              <w:jc w:val="right"/>
              <w:rPr>
                <w:bCs/>
                <w:iCs/>
              </w:rPr>
            </w:pPr>
            <w:r w:rsidRPr="00FC5A33">
              <w:rPr>
                <w:bCs/>
                <w:iCs/>
              </w:rPr>
              <w:t>20 000 000</w:t>
            </w:r>
          </w:p>
        </w:tc>
      </w:tr>
      <w:tr w:rsidR="00FC5A33" w:rsidRPr="00FC5A33" w:rsidTr="00FC5A33">
        <w:trPr>
          <w:trHeight w:val="70"/>
          <w:jc w:val="center"/>
        </w:trPr>
        <w:tc>
          <w:tcPr>
            <w:tcW w:w="4661" w:type="dxa"/>
            <w:shd w:val="clear" w:color="auto" w:fill="BFBFBF" w:themeFill="background1" w:themeFillShade="BF"/>
            <w:noWrap/>
            <w:vAlign w:val="center"/>
          </w:tcPr>
          <w:p w:rsidR="00FC5A33" w:rsidRPr="00FC5A33" w:rsidRDefault="00FC5A33" w:rsidP="00FC5A33">
            <w:pPr>
              <w:widowControl/>
              <w:adjustRightInd/>
              <w:rPr>
                <w:b/>
              </w:rPr>
            </w:pPr>
            <w:r w:rsidRPr="00FC5A33">
              <w:rPr>
                <w:b/>
              </w:rPr>
              <w:t>Iné ako rozpočtové zdroje</w:t>
            </w:r>
          </w:p>
        </w:tc>
        <w:tc>
          <w:tcPr>
            <w:tcW w:w="1520" w:type="dxa"/>
            <w:shd w:val="clear" w:color="auto" w:fill="BFBFBF" w:themeFill="background1" w:themeFillShade="BF"/>
            <w:noWrap/>
            <w:vAlign w:val="center"/>
          </w:tcPr>
          <w:p w:rsidR="00FC5A33" w:rsidRPr="00FC5A33" w:rsidRDefault="00FC5A33" w:rsidP="00FC5A33">
            <w:pPr>
              <w:widowControl/>
              <w:adjustRightInd/>
              <w:jc w:val="right"/>
              <w:rPr>
                <w:b/>
                <w:bCs/>
              </w:rPr>
            </w:pPr>
            <w:r w:rsidRPr="00FC5A33">
              <w:rPr>
                <w:b/>
                <w:bCs/>
              </w:rPr>
              <w:t>0</w:t>
            </w:r>
          </w:p>
        </w:tc>
        <w:tc>
          <w:tcPr>
            <w:tcW w:w="1340" w:type="dxa"/>
            <w:shd w:val="clear" w:color="auto" w:fill="BFBFBF" w:themeFill="background1" w:themeFillShade="BF"/>
            <w:noWrap/>
            <w:vAlign w:val="center"/>
          </w:tcPr>
          <w:p w:rsidR="00FC5A33" w:rsidRPr="00FC5A33" w:rsidRDefault="00FC5A33" w:rsidP="00FC5A33">
            <w:pPr>
              <w:widowControl/>
              <w:adjustRightInd/>
              <w:jc w:val="right"/>
              <w:rPr>
                <w:b/>
                <w:bCs/>
              </w:rPr>
            </w:pPr>
            <w:r w:rsidRPr="00FC5A33">
              <w:rPr>
                <w:b/>
                <w:bCs/>
              </w:rPr>
              <w:t>0</w:t>
            </w:r>
          </w:p>
        </w:tc>
        <w:tc>
          <w:tcPr>
            <w:tcW w:w="1520" w:type="dxa"/>
            <w:shd w:val="clear" w:color="auto" w:fill="BFBFBF" w:themeFill="background1" w:themeFillShade="BF"/>
            <w:noWrap/>
            <w:vAlign w:val="center"/>
          </w:tcPr>
          <w:p w:rsidR="00FC5A33" w:rsidRPr="00FC5A33" w:rsidRDefault="00FC5A33" w:rsidP="00FC5A33">
            <w:pPr>
              <w:widowControl/>
              <w:adjustRightInd/>
              <w:jc w:val="right"/>
              <w:rPr>
                <w:b/>
                <w:bCs/>
              </w:rPr>
            </w:pPr>
            <w:r w:rsidRPr="00FC5A33">
              <w:rPr>
                <w:b/>
                <w:bCs/>
              </w:rPr>
              <w:t>0</w:t>
            </w:r>
          </w:p>
        </w:tc>
        <w:tc>
          <w:tcPr>
            <w:tcW w:w="1520" w:type="dxa"/>
            <w:shd w:val="clear" w:color="auto" w:fill="BFBFBF" w:themeFill="background1" w:themeFillShade="BF"/>
            <w:noWrap/>
            <w:vAlign w:val="center"/>
          </w:tcPr>
          <w:p w:rsidR="00FC5A33" w:rsidRPr="00FC5A33" w:rsidRDefault="00FC5A33" w:rsidP="00FC5A33">
            <w:pPr>
              <w:widowControl/>
              <w:adjustRightInd/>
              <w:jc w:val="right"/>
              <w:rPr>
                <w:b/>
                <w:bCs/>
              </w:rPr>
            </w:pPr>
            <w:r w:rsidRPr="00FC5A33">
              <w:rPr>
                <w:b/>
                <w:bCs/>
              </w:rPr>
              <w:t>0</w:t>
            </w:r>
          </w:p>
        </w:tc>
      </w:tr>
      <w:tr w:rsidR="00FC5A33" w:rsidRPr="00FC5A33" w:rsidTr="00FC5A33">
        <w:trPr>
          <w:trHeight w:val="70"/>
          <w:jc w:val="center"/>
        </w:trPr>
        <w:tc>
          <w:tcPr>
            <w:tcW w:w="4661" w:type="dxa"/>
            <w:shd w:val="clear" w:color="auto" w:fill="A6A6A6" w:themeFill="background1" w:themeFillShade="A6"/>
            <w:noWrap/>
            <w:vAlign w:val="center"/>
          </w:tcPr>
          <w:p w:rsidR="00FC5A33" w:rsidRPr="00FC5A33" w:rsidRDefault="00FC5A33" w:rsidP="00FC5A33">
            <w:pPr>
              <w:widowControl/>
              <w:adjustRightInd/>
              <w:rPr>
                <w:b/>
                <w:bCs/>
              </w:rPr>
            </w:pPr>
            <w:r w:rsidRPr="00FC5A33">
              <w:rPr>
                <w:b/>
                <w:bCs/>
              </w:rPr>
              <w:t>Rozpočtovo nekrytý vplyv / úspora</w:t>
            </w:r>
          </w:p>
        </w:tc>
        <w:tc>
          <w:tcPr>
            <w:tcW w:w="1520" w:type="dxa"/>
            <w:shd w:val="clear" w:color="auto" w:fill="A6A6A6" w:themeFill="background1" w:themeFillShade="A6"/>
            <w:noWrap/>
            <w:vAlign w:val="center"/>
          </w:tcPr>
          <w:p w:rsidR="00FC5A33" w:rsidRPr="00FC5A33" w:rsidRDefault="00FC5A33" w:rsidP="00FC5A33">
            <w:pPr>
              <w:widowControl/>
              <w:adjustRightInd/>
              <w:jc w:val="right"/>
              <w:rPr>
                <w:b/>
                <w:bCs/>
              </w:rPr>
            </w:pPr>
            <w:r w:rsidRPr="00FC5A33">
              <w:rPr>
                <w:b/>
                <w:bCs/>
              </w:rPr>
              <w:t>0</w:t>
            </w:r>
          </w:p>
        </w:tc>
        <w:tc>
          <w:tcPr>
            <w:tcW w:w="1340" w:type="dxa"/>
            <w:shd w:val="clear" w:color="auto" w:fill="A6A6A6" w:themeFill="background1" w:themeFillShade="A6"/>
            <w:noWrap/>
            <w:vAlign w:val="center"/>
          </w:tcPr>
          <w:p w:rsidR="00FC5A33" w:rsidRPr="00FC5A33" w:rsidRDefault="00FC5A33" w:rsidP="00FC5A33">
            <w:pPr>
              <w:widowControl/>
              <w:adjustRightInd/>
              <w:jc w:val="right"/>
              <w:rPr>
                <w:b/>
                <w:bCs/>
              </w:rPr>
            </w:pPr>
            <w:r w:rsidRPr="00FC5A33">
              <w:rPr>
                <w:b/>
                <w:bCs/>
              </w:rPr>
              <w:t>0</w:t>
            </w:r>
          </w:p>
        </w:tc>
        <w:tc>
          <w:tcPr>
            <w:tcW w:w="1520" w:type="dxa"/>
            <w:shd w:val="clear" w:color="auto" w:fill="A6A6A6" w:themeFill="background1" w:themeFillShade="A6"/>
            <w:noWrap/>
            <w:vAlign w:val="center"/>
          </w:tcPr>
          <w:p w:rsidR="00FC5A33" w:rsidRPr="00FC5A33" w:rsidRDefault="00FC5A33" w:rsidP="00FC5A33">
            <w:pPr>
              <w:widowControl/>
              <w:adjustRightInd/>
              <w:jc w:val="right"/>
              <w:rPr>
                <w:b/>
                <w:bCs/>
              </w:rPr>
            </w:pPr>
            <w:r w:rsidRPr="00FC5A33">
              <w:rPr>
                <w:b/>
                <w:bCs/>
              </w:rPr>
              <w:t>0</w:t>
            </w:r>
          </w:p>
        </w:tc>
        <w:tc>
          <w:tcPr>
            <w:tcW w:w="1520" w:type="dxa"/>
            <w:shd w:val="clear" w:color="auto" w:fill="A6A6A6" w:themeFill="background1" w:themeFillShade="A6"/>
            <w:noWrap/>
            <w:vAlign w:val="center"/>
          </w:tcPr>
          <w:p w:rsidR="00FC5A33" w:rsidRPr="00FC5A33" w:rsidRDefault="00FC5A33" w:rsidP="00FC5A33">
            <w:pPr>
              <w:widowControl/>
              <w:adjustRightInd/>
              <w:jc w:val="right"/>
              <w:rPr>
                <w:b/>
                <w:bCs/>
              </w:rPr>
            </w:pPr>
            <w:r w:rsidRPr="00FC5A33">
              <w:rPr>
                <w:b/>
                <w:bCs/>
              </w:rPr>
              <w:t>0</w:t>
            </w:r>
          </w:p>
        </w:tc>
      </w:tr>
      <w:bookmarkEnd w:id="0"/>
    </w:tbl>
    <w:p w:rsidR="00FC5A33" w:rsidRPr="00FC5A33" w:rsidRDefault="00FC5A33" w:rsidP="00FC5A33">
      <w:pPr>
        <w:widowControl/>
        <w:adjustRightInd/>
        <w:jc w:val="both"/>
        <w:rPr>
          <w:b/>
          <w:bCs/>
        </w:rPr>
      </w:pPr>
      <w:r w:rsidRPr="00FC5A33">
        <w:rPr>
          <w:b/>
          <w:bCs/>
        </w:rPr>
        <w:br w:type="page"/>
      </w:r>
      <w:r w:rsidRPr="00FC5A33">
        <w:rPr>
          <w:b/>
          <w:bCs/>
        </w:rPr>
        <w:lastRenderedPageBreak/>
        <w:t>2.1.1. Financovanie návrhu - Návrh na riešenie úbytku príjmov alebo zvýšených výdavkov podľa § 33 ods. 1 zákona č. 523/2004 Z. z. o rozpočtových pravidlách verejnej správy:</w:t>
      </w:r>
    </w:p>
    <w:p w:rsidR="00FC5A33" w:rsidRPr="00FC5A33" w:rsidRDefault="00FC5A33" w:rsidP="00FC5A33">
      <w:pPr>
        <w:widowControl/>
        <w:adjustRightInd/>
        <w:jc w:val="both"/>
        <w:rPr>
          <w:b/>
          <w:bCs/>
          <w:sz w:val="12"/>
        </w:rPr>
      </w:pPr>
    </w:p>
    <w:p w:rsidR="00FC5A33" w:rsidRPr="00FC5A33" w:rsidRDefault="00FC5A33" w:rsidP="00FC5A33">
      <w:pPr>
        <w:widowControl/>
        <w:pBdr>
          <w:top w:val="single" w:sz="4" w:space="1" w:color="auto"/>
          <w:left w:val="single" w:sz="4" w:space="4" w:color="auto"/>
          <w:bottom w:val="single" w:sz="4" w:space="0" w:color="auto"/>
          <w:right w:val="single" w:sz="4" w:space="4" w:color="auto"/>
        </w:pBdr>
        <w:adjustRightInd/>
        <w:jc w:val="both"/>
        <w:rPr>
          <w:bCs/>
          <w:sz w:val="22"/>
          <w:szCs w:val="22"/>
        </w:rPr>
      </w:pPr>
      <w:r w:rsidRPr="00FC5A33">
        <w:rPr>
          <w:rFonts w:eastAsiaTheme="minorHAnsi"/>
          <w:sz w:val="22"/>
          <w:szCs w:val="22"/>
          <w:lang w:eastAsia="en-US"/>
        </w:rPr>
        <w:t>Predkladaný materiál predpokladá negatívny vplyv na rozpočet verejnej správy v rokoch 2021- 2023, rozpočtovo krytý rozpočtom verejnej správy na roky 2021-2023. Financovanie bude realizované v rámci  programu 017 Program rozvoja bývania, podprogram 01701 Výstavba a obnova bytového fondu, z ktorého sa financuje poskytovanie dotácií na obstaranie nájomného bytu, dotácií na obstaranie technickej vybavenosti a dotácií na odstránenie systémovej poruchy bytového domu podľa tohto zákona, ako aj financovanie poskytovania príspevkov podľa § 9 ods. 1 písm. f) zákona č. 555/2005 Z. z. o energetickej hospodárnosti budov a o zmene a doplnení niektorých zákonov v znení neskorších predpisov.</w:t>
      </w:r>
    </w:p>
    <w:p w:rsidR="00FC5A33" w:rsidRPr="00FC5A33" w:rsidRDefault="00FC5A33" w:rsidP="00FC5A33">
      <w:pPr>
        <w:widowControl/>
        <w:adjustRightInd/>
        <w:rPr>
          <w:b/>
          <w:bCs/>
          <w:sz w:val="18"/>
          <w:szCs w:val="18"/>
        </w:rPr>
      </w:pPr>
    </w:p>
    <w:p w:rsidR="00FC5A33" w:rsidRPr="00FC5A33" w:rsidRDefault="00FC5A33" w:rsidP="00FC5A33">
      <w:pPr>
        <w:widowControl/>
        <w:adjustRightInd/>
        <w:rPr>
          <w:b/>
          <w:bCs/>
        </w:rPr>
      </w:pPr>
      <w:r w:rsidRPr="00FC5A33">
        <w:rPr>
          <w:b/>
          <w:bCs/>
        </w:rPr>
        <w:t>2.2. Popis a charakteristika návrhu</w:t>
      </w:r>
    </w:p>
    <w:p w:rsidR="00FC5A33" w:rsidRPr="00FC5A33" w:rsidRDefault="00FC5A33" w:rsidP="00FC5A33">
      <w:pPr>
        <w:widowControl/>
        <w:adjustRightInd/>
        <w:rPr>
          <w:sz w:val="18"/>
          <w:szCs w:val="18"/>
        </w:rPr>
      </w:pPr>
    </w:p>
    <w:p w:rsidR="00FC5A33" w:rsidRPr="00FC5A33" w:rsidRDefault="00FC5A33" w:rsidP="00FC5A33">
      <w:pPr>
        <w:widowControl/>
        <w:adjustRightInd/>
        <w:jc w:val="both"/>
        <w:rPr>
          <w:b/>
          <w:bCs/>
        </w:rPr>
      </w:pPr>
      <w:r w:rsidRPr="00FC5A33">
        <w:rPr>
          <w:b/>
          <w:bCs/>
        </w:rPr>
        <w:t>2.2.1. Popis návrhu:</w:t>
      </w:r>
    </w:p>
    <w:p w:rsidR="00FC5A33" w:rsidRPr="00FC5A33" w:rsidRDefault="00FC5A33" w:rsidP="00FC5A33">
      <w:pPr>
        <w:widowControl/>
        <w:adjustRightInd/>
        <w:jc w:val="both"/>
        <w:rPr>
          <w:b/>
          <w:bCs/>
        </w:rPr>
      </w:pPr>
    </w:p>
    <w:p w:rsidR="00FC5A33" w:rsidRPr="00FC5A33" w:rsidRDefault="00FC5A33" w:rsidP="00FC5A33">
      <w:pPr>
        <w:widowControl/>
        <w:adjustRightInd/>
        <w:ind w:firstLine="709"/>
        <w:jc w:val="both"/>
        <w:rPr>
          <w:rFonts w:eastAsiaTheme="minorHAnsi"/>
          <w:sz w:val="22"/>
          <w:szCs w:val="22"/>
          <w:lang w:eastAsia="en-US"/>
        </w:rPr>
      </w:pPr>
      <w:r w:rsidRPr="00FC5A33">
        <w:rPr>
          <w:rFonts w:eastAsiaTheme="minorHAnsi"/>
          <w:sz w:val="22"/>
          <w:szCs w:val="22"/>
          <w:lang w:eastAsia="en-US"/>
        </w:rPr>
        <w:t>Návrh zákona, ktorým sa mení a dopĺňa zákon č. 443/2010 Z. z. o dotáciách na rozvoj bývania a o sociálnom bývaní v znení neskorších predpisov upravuje okrem iného aj podiel dotácie v závislosti od priemernej podlahovej plochy podporených nájomných bytov.</w:t>
      </w:r>
    </w:p>
    <w:p w:rsidR="00FC5A33" w:rsidRPr="00FC5A33" w:rsidRDefault="00FC5A33" w:rsidP="00FC5A33">
      <w:pPr>
        <w:widowControl/>
        <w:adjustRightInd/>
        <w:ind w:firstLine="709"/>
        <w:jc w:val="both"/>
        <w:rPr>
          <w:rFonts w:eastAsiaTheme="minorHAnsi"/>
          <w:sz w:val="22"/>
          <w:szCs w:val="22"/>
          <w:lang w:eastAsia="en-US"/>
        </w:rPr>
      </w:pPr>
      <w:r w:rsidRPr="00FC5A33">
        <w:rPr>
          <w:rFonts w:eastAsiaTheme="minorHAnsi"/>
          <w:sz w:val="22"/>
          <w:szCs w:val="22"/>
          <w:lang w:eastAsia="en-US"/>
        </w:rPr>
        <w:t>V prípade obstarávania nájomných bytov bežného štandardu sa navrhuje stanoviť podiel dotácie ako 40 % z obstarávacích nákladov, ak priemerná podlahová plocha nájomných bytov nepresahuje 52 m2 a 35 % z obstarávacích nákladov, ak priemerná podlahová plocha nájomných bytov presahuje 52 m2 a nepresahuje 60 m2. V prípade obstarávania nájomných bytov nižšieho štandardu sa navrhuje stanoviť podiel dotácie ako 75 % z oprávnených nákladov ak priemerná podlahová plocha nájomných bytov nižšieho štandardu nepresahuje 55 m</w:t>
      </w:r>
      <w:r w:rsidRPr="00FC5A33">
        <w:rPr>
          <w:rFonts w:eastAsiaTheme="minorHAnsi"/>
          <w:sz w:val="22"/>
          <w:szCs w:val="22"/>
          <w:vertAlign w:val="superscript"/>
          <w:lang w:eastAsia="en-US"/>
        </w:rPr>
        <w:t>2</w:t>
      </w:r>
      <w:r w:rsidRPr="00FC5A33">
        <w:rPr>
          <w:rFonts w:eastAsiaTheme="minorHAnsi"/>
          <w:sz w:val="22"/>
          <w:szCs w:val="22"/>
          <w:lang w:eastAsia="en-US"/>
        </w:rPr>
        <w:t>.</w:t>
      </w:r>
    </w:p>
    <w:p w:rsidR="00FC5A33" w:rsidRPr="00FC5A33" w:rsidRDefault="00FC5A33" w:rsidP="00FC5A33">
      <w:pPr>
        <w:widowControl/>
        <w:adjustRightInd/>
        <w:ind w:firstLine="709"/>
        <w:jc w:val="both"/>
        <w:rPr>
          <w:rFonts w:eastAsiaTheme="minorHAnsi"/>
          <w:sz w:val="22"/>
          <w:szCs w:val="22"/>
          <w:lang w:eastAsia="en-US"/>
        </w:rPr>
      </w:pPr>
      <w:r w:rsidRPr="00FC5A33">
        <w:rPr>
          <w:rFonts w:eastAsiaTheme="minorHAnsi"/>
          <w:sz w:val="22"/>
          <w:szCs w:val="22"/>
          <w:lang w:eastAsia="en-US"/>
        </w:rPr>
        <w:t>Oproti súčasnej úprave tak dôjde k zjednodušeniu pravidiel – zníženiu počtu pásiem celkovo z piatich na tri a zároveň k zvýšeniu podielu poskytovanej dotácie.</w:t>
      </w:r>
    </w:p>
    <w:p w:rsidR="00FC5A33" w:rsidRPr="00FC5A33" w:rsidRDefault="00FC5A33" w:rsidP="00FC5A33">
      <w:pPr>
        <w:widowControl/>
        <w:adjustRightInd/>
        <w:ind w:firstLine="709"/>
        <w:jc w:val="both"/>
        <w:rPr>
          <w:rFonts w:eastAsiaTheme="minorHAnsi"/>
          <w:sz w:val="22"/>
          <w:szCs w:val="22"/>
          <w:lang w:eastAsia="en-US"/>
        </w:rPr>
      </w:pPr>
      <w:r w:rsidRPr="00FC5A33">
        <w:rPr>
          <w:rFonts w:eastAsiaTheme="minorHAnsi"/>
          <w:sz w:val="22"/>
          <w:szCs w:val="22"/>
          <w:lang w:eastAsia="en-US"/>
        </w:rPr>
        <w:t>Účelom návrhu zákona je v súlade s Programovým vyhlásením vlády na obdobie rokov 2020 – 2024 zvýšenie atraktivity nájomného bývania a zefektívnenie čerpania podpory obstarávania nájomných bytov a s tým súvisiaca úprava niektorých podmienok a postupov pri poskytovaní dotácií na rozvoj bývania, ako aj ďalšie úpravy, ktoré vyplynuli z aplikačnej praxe.</w:t>
      </w:r>
    </w:p>
    <w:p w:rsidR="00FC5A33" w:rsidRPr="00FC5A33" w:rsidRDefault="00FC5A33" w:rsidP="00FC5A33">
      <w:pPr>
        <w:widowControl/>
        <w:adjustRightInd/>
        <w:ind w:firstLine="709"/>
        <w:jc w:val="both"/>
        <w:rPr>
          <w:rFonts w:eastAsiaTheme="minorHAnsi"/>
          <w:sz w:val="22"/>
          <w:szCs w:val="22"/>
          <w:lang w:eastAsia="en-US"/>
        </w:rPr>
      </w:pPr>
      <w:r w:rsidRPr="00FC5A33">
        <w:rPr>
          <w:rFonts w:eastAsiaTheme="minorHAnsi"/>
          <w:sz w:val="22"/>
          <w:szCs w:val="22"/>
          <w:lang w:eastAsia="en-US"/>
        </w:rPr>
        <w:t>Vláda Slovenskej republiky sa v Programovom vyhlásení vlády na obdobie rokov 2020 - 2024 zaviazala pokračovať v podpore nájomného bývania a zvýšiť atraktivity nájomného bývania, čo bude následne znamenať zvýšenie zdrojov vyčleňovaných v štátnom rozpočte na uvedený účel.</w:t>
      </w:r>
    </w:p>
    <w:p w:rsidR="00FC5A33" w:rsidRPr="00FC5A33" w:rsidRDefault="00FC5A33" w:rsidP="00FC5A33">
      <w:pPr>
        <w:widowControl/>
        <w:adjustRightInd/>
        <w:ind w:firstLine="709"/>
        <w:jc w:val="both"/>
        <w:rPr>
          <w:rFonts w:eastAsiaTheme="minorHAnsi"/>
          <w:sz w:val="22"/>
          <w:szCs w:val="22"/>
          <w:lang w:eastAsia="en-US"/>
        </w:rPr>
      </w:pPr>
      <w:r w:rsidRPr="00FC5A33">
        <w:rPr>
          <w:rFonts w:eastAsiaTheme="minorHAnsi"/>
          <w:sz w:val="22"/>
          <w:szCs w:val="22"/>
          <w:lang w:eastAsia="en-US"/>
        </w:rPr>
        <w:t>V súvislosti s predkladaným návrhom zákona je potrebné poznamenať, že pre rozvoj sociálneho nájomného bývania a tým aj zabezpečenie cenovo dostupného bývania pre zraniteľné skupiny obyvateľstva by bolo potrebné zo strany štátu podporiť obstaranie cca 2 000 nájomných bytov ročne. Obstaranie tohto počtu nájomných bytov vrátane súvisiacej technickej vybavenosti by pri zákonom stanovenej výške dotácie vyžadovalo vyčleniť v štátnom rozpočte finančné prostriedky na poskytovanie dotácií vo výške 48 000 000 eur ročne.</w:t>
      </w:r>
    </w:p>
    <w:p w:rsidR="00FC5A33" w:rsidRPr="00FC5A33" w:rsidRDefault="00FC5A33" w:rsidP="00FC5A33">
      <w:pPr>
        <w:widowControl/>
        <w:tabs>
          <w:tab w:val="left" w:pos="360"/>
        </w:tabs>
        <w:adjustRightInd/>
        <w:ind w:firstLine="709"/>
        <w:jc w:val="both"/>
        <w:rPr>
          <w:b/>
          <w:bCs/>
        </w:rPr>
      </w:pPr>
    </w:p>
    <w:p w:rsidR="00FC5A33" w:rsidRPr="00FC5A33" w:rsidRDefault="00FC5A33" w:rsidP="00FC5A33">
      <w:pPr>
        <w:widowControl/>
        <w:adjustRightInd/>
        <w:rPr>
          <w:b/>
          <w:bCs/>
        </w:rPr>
      </w:pPr>
      <w:r w:rsidRPr="00FC5A33">
        <w:rPr>
          <w:b/>
          <w:bCs/>
        </w:rPr>
        <w:t>2.2.2. Charakteristika návrhu:</w:t>
      </w:r>
    </w:p>
    <w:p w:rsidR="00FC5A33" w:rsidRPr="00FC5A33" w:rsidRDefault="00FC5A33" w:rsidP="00FC5A33">
      <w:pPr>
        <w:widowControl/>
        <w:adjustRightInd/>
      </w:pPr>
    </w:p>
    <w:p w:rsidR="00FC5A33" w:rsidRPr="00FC5A33" w:rsidRDefault="00FC5A33" w:rsidP="00FC5A33">
      <w:pPr>
        <w:widowControl/>
        <w:adjustRightInd/>
      </w:pPr>
      <w:r w:rsidRPr="00FC5A33">
        <w:rPr>
          <w:b/>
          <w:bdr w:val="single" w:sz="4" w:space="0" w:color="auto"/>
        </w:rPr>
        <w:t xml:space="preserve">     </w:t>
      </w:r>
      <w:r w:rsidRPr="00FC5A33">
        <w:rPr>
          <w:b/>
        </w:rPr>
        <w:t xml:space="preserve">  </w:t>
      </w:r>
      <w:r w:rsidRPr="00FC5A33">
        <w:t>zmena sadzby</w:t>
      </w:r>
    </w:p>
    <w:p w:rsidR="00FC5A33" w:rsidRPr="00FC5A33" w:rsidRDefault="00FC5A33" w:rsidP="00FC5A33">
      <w:pPr>
        <w:widowControl/>
        <w:adjustRightInd/>
      </w:pPr>
      <w:r w:rsidRPr="00FC5A33">
        <w:rPr>
          <w:bdr w:val="single" w:sz="4" w:space="0" w:color="auto"/>
        </w:rPr>
        <w:t xml:space="preserve">     </w:t>
      </w:r>
      <w:r w:rsidRPr="00FC5A33">
        <w:t xml:space="preserve">  zmena v nároku</w:t>
      </w:r>
    </w:p>
    <w:p w:rsidR="00FC5A33" w:rsidRPr="00FC5A33" w:rsidRDefault="00FC5A33" w:rsidP="00FC5A33">
      <w:pPr>
        <w:widowControl/>
        <w:adjustRightInd/>
      </w:pPr>
      <w:r w:rsidRPr="00FC5A33">
        <w:rPr>
          <w:bdr w:val="single" w:sz="4" w:space="0" w:color="auto"/>
        </w:rPr>
        <w:t xml:space="preserve">     </w:t>
      </w:r>
      <w:r w:rsidRPr="00FC5A33">
        <w:t xml:space="preserve">  nová služba alebo nariadenie (alebo ich zrušenie)</w:t>
      </w:r>
    </w:p>
    <w:p w:rsidR="00FC5A33" w:rsidRPr="00FC5A33" w:rsidRDefault="00FC5A33" w:rsidP="00FC5A33">
      <w:pPr>
        <w:widowControl/>
        <w:adjustRightInd/>
      </w:pPr>
      <w:r w:rsidRPr="00FC5A33">
        <w:rPr>
          <w:bdr w:val="single" w:sz="4" w:space="0" w:color="auto"/>
        </w:rPr>
        <w:t xml:space="preserve">     </w:t>
      </w:r>
      <w:r w:rsidRPr="00FC5A33">
        <w:t xml:space="preserve">  kombinovaný návrh</w:t>
      </w:r>
    </w:p>
    <w:p w:rsidR="00FC5A33" w:rsidRPr="00FC5A33" w:rsidRDefault="00FC5A33" w:rsidP="00FC5A33">
      <w:pPr>
        <w:widowControl/>
        <w:adjustRightInd/>
      </w:pPr>
      <w:r w:rsidRPr="00FC5A33">
        <w:rPr>
          <w:bdr w:val="single" w:sz="4" w:space="0" w:color="auto"/>
        </w:rPr>
        <w:t xml:space="preserve"> x  </w:t>
      </w:r>
      <w:r w:rsidRPr="00FC5A33">
        <w:t xml:space="preserve">  iné </w:t>
      </w:r>
    </w:p>
    <w:p w:rsidR="00FC5A33" w:rsidRPr="00FC5A33" w:rsidRDefault="00FC5A33" w:rsidP="00FC5A33">
      <w:pPr>
        <w:widowControl/>
        <w:adjustRightInd/>
      </w:pPr>
    </w:p>
    <w:p w:rsidR="00FC5A33" w:rsidRPr="00FC5A33" w:rsidRDefault="00FC5A33" w:rsidP="00FC5A33">
      <w:pPr>
        <w:widowControl/>
        <w:adjustRightInd/>
      </w:pPr>
      <w:r w:rsidRPr="00FC5A33">
        <w:rPr>
          <w:b/>
          <w:bCs/>
        </w:rPr>
        <w:t>2.2.3. Predpoklady vývoja objemu aktivít:</w:t>
      </w:r>
    </w:p>
    <w:p w:rsidR="00FC5A33" w:rsidRPr="00FC5A33" w:rsidRDefault="00FC5A33" w:rsidP="00FC5A33">
      <w:pPr>
        <w:widowControl/>
        <w:adjustRightInd/>
        <w:ind w:firstLine="708"/>
        <w:jc w:val="both"/>
      </w:pPr>
      <w:r w:rsidRPr="00FC5A33">
        <w:t>Jasne popíšte, v prípade potreby použite nižšie uvedenú tabuľku. Uveďte aj odhady základov daní a/alebo poplatkov, ak sa ich táto zmena týka.</w:t>
      </w:r>
    </w:p>
    <w:p w:rsidR="00FC5A33" w:rsidRPr="00FC5A33" w:rsidRDefault="00FC5A33" w:rsidP="00FC5A33">
      <w:pPr>
        <w:widowControl/>
        <w:adjustRightInd/>
        <w:ind w:firstLine="708"/>
        <w:jc w:val="both"/>
      </w:pPr>
    </w:p>
    <w:p w:rsidR="00FC5A33" w:rsidRPr="00FC5A33" w:rsidRDefault="00FC5A33" w:rsidP="00FC5A33">
      <w:pPr>
        <w:widowControl/>
        <w:adjustRightInd/>
        <w:ind w:firstLine="708"/>
        <w:jc w:val="both"/>
      </w:pPr>
    </w:p>
    <w:p w:rsidR="004D2A15" w:rsidRDefault="004D2A15" w:rsidP="00FC5A33">
      <w:pPr>
        <w:widowControl/>
        <w:adjustRightInd/>
        <w:jc w:val="right"/>
        <w:rPr>
          <w:sz w:val="20"/>
          <w:szCs w:val="20"/>
        </w:rPr>
      </w:pPr>
    </w:p>
    <w:p w:rsidR="004D2A15" w:rsidRDefault="004D2A15" w:rsidP="00FC5A33">
      <w:pPr>
        <w:widowControl/>
        <w:adjustRightInd/>
        <w:jc w:val="right"/>
        <w:rPr>
          <w:sz w:val="20"/>
          <w:szCs w:val="20"/>
        </w:rPr>
      </w:pPr>
    </w:p>
    <w:p w:rsidR="00FC5A33" w:rsidRPr="004654F8" w:rsidRDefault="00FC5A33" w:rsidP="004654F8">
      <w:pPr>
        <w:widowControl/>
        <w:tabs>
          <w:tab w:val="num" w:pos="1080"/>
        </w:tabs>
        <w:adjustRightInd/>
        <w:spacing w:after="120"/>
        <w:jc w:val="right"/>
        <w:rPr>
          <w:bCs/>
        </w:rPr>
      </w:pPr>
      <w:r w:rsidRPr="004654F8">
        <w:rPr>
          <w:bCs/>
        </w:rPr>
        <w:lastRenderedPageBreak/>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FC5A33" w:rsidRPr="00FC5A33" w:rsidTr="00FC5A33">
        <w:trPr>
          <w:cantSplit/>
          <w:trHeight w:val="70"/>
        </w:trPr>
        <w:tc>
          <w:tcPr>
            <w:tcW w:w="4530" w:type="dxa"/>
            <w:vMerge w:val="restart"/>
            <w:shd w:val="clear" w:color="auto" w:fill="BFBFBF" w:themeFill="background1" w:themeFillShade="BF"/>
            <w:vAlign w:val="center"/>
          </w:tcPr>
          <w:p w:rsidR="00FC5A33" w:rsidRPr="00FC5A33" w:rsidRDefault="00FC5A33" w:rsidP="00FC5A33">
            <w:pPr>
              <w:widowControl/>
              <w:autoSpaceDE w:val="0"/>
              <w:autoSpaceDN w:val="0"/>
              <w:jc w:val="center"/>
              <w:rPr>
                <w:b/>
                <w:bCs/>
              </w:rPr>
            </w:pPr>
            <w:r w:rsidRPr="00FC5A33">
              <w:rPr>
                <w:b/>
                <w:bCs/>
              </w:rPr>
              <w:t>Objem aktivít</w:t>
            </w:r>
          </w:p>
        </w:tc>
        <w:tc>
          <w:tcPr>
            <w:tcW w:w="1134" w:type="dxa"/>
            <w:gridSpan w:val="4"/>
            <w:shd w:val="clear" w:color="auto" w:fill="BFBFBF" w:themeFill="background1" w:themeFillShade="BF"/>
            <w:vAlign w:val="center"/>
          </w:tcPr>
          <w:p w:rsidR="00FC5A33" w:rsidRPr="00FC5A33" w:rsidRDefault="00FC5A33" w:rsidP="00FC5A33">
            <w:pPr>
              <w:widowControl/>
              <w:autoSpaceDE w:val="0"/>
              <w:autoSpaceDN w:val="0"/>
              <w:jc w:val="center"/>
              <w:rPr>
                <w:b/>
                <w:bCs/>
              </w:rPr>
            </w:pPr>
            <w:r w:rsidRPr="00FC5A33">
              <w:rPr>
                <w:b/>
                <w:bCs/>
              </w:rPr>
              <w:t>Odhadované objemy</w:t>
            </w:r>
          </w:p>
        </w:tc>
      </w:tr>
      <w:tr w:rsidR="00FC5A33" w:rsidRPr="00FC5A33" w:rsidTr="00FC5A33">
        <w:trPr>
          <w:cantSplit/>
          <w:trHeight w:val="70"/>
        </w:trPr>
        <w:tc>
          <w:tcPr>
            <w:tcW w:w="4530" w:type="dxa"/>
            <w:vMerge/>
            <w:shd w:val="clear" w:color="auto" w:fill="BFBFBF" w:themeFill="background1" w:themeFillShade="BF"/>
          </w:tcPr>
          <w:p w:rsidR="00FC5A33" w:rsidRPr="00FC5A33" w:rsidRDefault="00FC5A33" w:rsidP="00FC5A33">
            <w:pPr>
              <w:widowControl/>
              <w:autoSpaceDE w:val="0"/>
              <w:autoSpaceDN w:val="0"/>
              <w:jc w:val="center"/>
              <w:rPr>
                <w:b/>
                <w:bCs/>
              </w:rPr>
            </w:pPr>
          </w:p>
        </w:tc>
        <w:tc>
          <w:tcPr>
            <w:tcW w:w="1134" w:type="dxa"/>
            <w:shd w:val="clear" w:color="auto" w:fill="BFBFBF" w:themeFill="background1" w:themeFillShade="BF"/>
            <w:vAlign w:val="center"/>
          </w:tcPr>
          <w:p w:rsidR="00FC5A33" w:rsidRPr="00FC5A33" w:rsidRDefault="00FC5A33" w:rsidP="00FC5A33">
            <w:pPr>
              <w:widowControl/>
              <w:autoSpaceDE w:val="0"/>
              <w:autoSpaceDN w:val="0"/>
              <w:jc w:val="center"/>
              <w:rPr>
                <w:b/>
                <w:bCs/>
              </w:rPr>
            </w:pPr>
            <w:r w:rsidRPr="00FC5A33">
              <w:rPr>
                <w:b/>
                <w:bCs/>
              </w:rPr>
              <w:t>20</w:t>
            </w:r>
            <w:r>
              <w:rPr>
                <w:b/>
                <w:bCs/>
              </w:rPr>
              <w:t>20</w:t>
            </w:r>
          </w:p>
        </w:tc>
        <w:tc>
          <w:tcPr>
            <w:tcW w:w="1134" w:type="dxa"/>
            <w:shd w:val="clear" w:color="auto" w:fill="BFBFBF" w:themeFill="background1" w:themeFillShade="BF"/>
            <w:vAlign w:val="center"/>
          </w:tcPr>
          <w:p w:rsidR="00FC5A33" w:rsidRPr="00FC5A33" w:rsidRDefault="00FC5A33" w:rsidP="00FC5A33">
            <w:pPr>
              <w:widowControl/>
              <w:autoSpaceDE w:val="0"/>
              <w:autoSpaceDN w:val="0"/>
              <w:jc w:val="center"/>
              <w:rPr>
                <w:b/>
                <w:bCs/>
              </w:rPr>
            </w:pPr>
            <w:r w:rsidRPr="00FC5A33">
              <w:rPr>
                <w:b/>
                <w:bCs/>
              </w:rPr>
              <w:t>20</w:t>
            </w:r>
            <w:r>
              <w:rPr>
                <w:b/>
                <w:bCs/>
              </w:rPr>
              <w:t>21</w:t>
            </w:r>
          </w:p>
        </w:tc>
        <w:tc>
          <w:tcPr>
            <w:tcW w:w="1134" w:type="dxa"/>
            <w:shd w:val="clear" w:color="auto" w:fill="BFBFBF" w:themeFill="background1" w:themeFillShade="BF"/>
            <w:vAlign w:val="center"/>
          </w:tcPr>
          <w:p w:rsidR="00FC5A33" w:rsidRPr="00FC5A33" w:rsidRDefault="00FC5A33" w:rsidP="00FC5A33">
            <w:pPr>
              <w:widowControl/>
              <w:autoSpaceDE w:val="0"/>
              <w:autoSpaceDN w:val="0"/>
              <w:jc w:val="center"/>
              <w:rPr>
                <w:b/>
                <w:bCs/>
              </w:rPr>
            </w:pPr>
            <w:r w:rsidRPr="00FC5A33">
              <w:rPr>
                <w:b/>
                <w:bCs/>
              </w:rPr>
              <w:t>20</w:t>
            </w:r>
            <w:r>
              <w:rPr>
                <w:b/>
                <w:bCs/>
              </w:rPr>
              <w:t>22</w:t>
            </w:r>
          </w:p>
        </w:tc>
        <w:tc>
          <w:tcPr>
            <w:tcW w:w="1134" w:type="dxa"/>
            <w:shd w:val="clear" w:color="auto" w:fill="BFBFBF" w:themeFill="background1" w:themeFillShade="BF"/>
            <w:vAlign w:val="center"/>
          </w:tcPr>
          <w:p w:rsidR="00FC5A33" w:rsidRPr="00FC5A33" w:rsidRDefault="00FC5A33" w:rsidP="00FC5A33">
            <w:pPr>
              <w:widowControl/>
              <w:autoSpaceDE w:val="0"/>
              <w:autoSpaceDN w:val="0"/>
              <w:jc w:val="center"/>
              <w:rPr>
                <w:b/>
                <w:bCs/>
              </w:rPr>
            </w:pPr>
            <w:r w:rsidRPr="00FC5A33">
              <w:rPr>
                <w:b/>
                <w:bCs/>
              </w:rPr>
              <w:t>202</w:t>
            </w:r>
            <w:r>
              <w:rPr>
                <w:b/>
                <w:bCs/>
              </w:rPr>
              <w:t>3</w:t>
            </w:r>
          </w:p>
        </w:tc>
      </w:tr>
      <w:tr w:rsidR="00FC5A33" w:rsidRPr="00FC5A33" w:rsidTr="00FC5A33">
        <w:trPr>
          <w:trHeight w:val="70"/>
        </w:trPr>
        <w:tc>
          <w:tcPr>
            <w:tcW w:w="4530" w:type="dxa"/>
          </w:tcPr>
          <w:p w:rsidR="00FC5A33" w:rsidRPr="00FC5A33" w:rsidRDefault="00FC5A33" w:rsidP="00FC5A33">
            <w:pPr>
              <w:widowControl/>
              <w:autoSpaceDE w:val="0"/>
              <w:autoSpaceDN w:val="0"/>
              <w:rPr>
                <w:color w:val="000000"/>
              </w:rPr>
            </w:pPr>
            <w:r w:rsidRPr="00FC5A33">
              <w:rPr>
                <w:color w:val="000000"/>
              </w:rPr>
              <w:t>Indikátor ABC</w:t>
            </w:r>
          </w:p>
        </w:tc>
        <w:tc>
          <w:tcPr>
            <w:tcW w:w="1134" w:type="dxa"/>
          </w:tcPr>
          <w:p w:rsidR="00FC5A33" w:rsidRPr="00FC5A33" w:rsidRDefault="00FC5A33" w:rsidP="00FC5A33">
            <w:pPr>
              <w:widowControl/>
              <w:autoSpaceDE w:val="0"/>
              <w:autoSpaceDN w:val="0"/>
              <w:jc w:val="right"/>
              <w:rPr>
                <w:color w:val="000000"/>
              </w:rPr>
            </w:pPr>
          </w:p>
        </w:tc>
        <w:tc>
          <w:tcPr>
            <w:tcW w:w="1134" w:type="dxa"/>
          </w:tcPr>
          <w:p w:rsidR="00FC5A33" w:rsidRPr="00FC5A33" w:rsidRDefault="00FC5A33" w:rsidP="00FC5A33">
            <w:pPr>
              <w:widowControl/>
              <w:autoSpaceDE w:val="0"/>
              <w:autoSpaceDN w:val="0"/>
              <w:jc w:val="right"/>
              <w:rPr>
                <w:color w:val="000000"/>
              </w:rPr>
            </w:pPr>
          </w:p>
        </w:tc>
        <w:tc>
          <w:tcPr>
            <w:tcW w:w="1134" w:type="dxa"/>
          </w:tcPr>
          <w:p w:rsidR="00FC5A33" w:rsidRPr="00FC5A33" w:rsidRDefault="00FC5A33" w:rsidP="00FC5A33">
            <w:pPr>
              <w:widowControl/>
              <w:autoSpaceDE w:val="0"/>
              <w:autoSpaceDN w:val="0"/>
              <w:jc w:val="right"/>
              <w:rPr>
                <w:color w:val="000000"/>
              </w:rPr>
            </w:pPr>
          </w:p>
        </w:tc>
        <w:tc>
          <w:tcPr>
            <w:tcW w:w="1134" w:type="dxa"/>
          </w:tcPr>
          <w:p w:rsidR="00FC5A33" w:rsidRPr="00FC5A33" w:rsidRDefault="00FC5A33" w:rsidP="00FC5A33">
            <w:pPr>
              <w:widowControl/>
              <w:autoSpaceDE w:val="0"/>
              <w:autoSpaceDN w:val="0"/>
              <w:jc w:val="right"/>
              <w:rPr>
                <w:color w:val="000000"/>
              </w:rPr>
            </w:pPr>
          </w:p>
        </w:tc>
      </w:tr>
      <w:tr w:rsidR="00FC5A33" w:rsidRPr="00FC5A33" w:rsidTr="00FC5A33">
        <w:trPr>
          <w:trHeight w:val="70"/>
        </w:trPr>
        <w:tc>
          <w:tcPr>
            <w:tcW w:w="4530" w:type="dxa"/>
          </w:tcPr>
          <w:p w:rsidR="00FC5A33" w:rsidRPr="00FC5A33" w:rsidRDefault="00FC5A33" w:rsidP="00FC5A33">
            <w:pPr>
              <w:widowControl/>
              <w:autoSpaceDE w:val="0"/>
              <w:autoSpaceDN w:val="0"/>
              <w:rPr>
                <w:color w:val="000000"/>
              </w:rPr>
            </w:pPr>
            <w:r w:rsidRPr="00FC5A33">
              <w:rPr>
                <w:color w:val="000000"/>
              </w:rPr>
              <w:t>Indikátor KLM</w:t>
            </w:r>
          </w:p>
        </w:tc>
        <w:tc>
          <w:tcPr>
            <w:tcW w:w="1134" w:type="dxa"/>
          </w:tcPr>
          <w:p w:rsidR="00FC5A33" w:rsidRPr="00FC5A33" w:rsidRDefault="00FC5A33" w:rsidP="00FC5A33">
            <w:pPr>
              <w:widowControl/>
              <w:autoSpaceDE w:val="0"/>
              <w:autoSpaceDN w:val="0"/>
              <w:jc w:val="right"/>
              <w:rPr>
                <w:color w:val="000000"/>
              </w:rPr>
            </w:pPr>
          </w:p>
        </w:tc>
        <w:tc>
          <w:tcPr>
            <w:tcW w:w="1134" w:type="dxa"/>
          </w:tcPr>
          <w:p w:rsidR="00FC5A33" w:rsidRPr="00FC5A33" w:rsidRDefault="00FC5A33" w:rsidP="00FC5A33">
            <w:pPr>
              <w:widowControl/>
              <w:autoSpaceDE w:val="0"/>
              <w:autoSpaceDN w:val="0"/>
              <w:jc w:val="right"/>
              <w:rPr>
                <w:color w:val="000000"/>
              </w:rPr>
            </w:pPr>
          </w:p>
        </w:tc>
        <w:tc>
          <w:tcPr>
            <w:tcW w:w="1134" w:type="dxa"/>
          </w:tcPr>
          <w:p w:rsidR="00FC5A33" w:rsidRPr="00FC5A33" w:rsidRDefault="00FC5A33" w:rsidP="00FC5A33">
            <w:pPr>
              <w:widowControl/>
              <w:autoSpaceDE w:val="0"/>
              <w:autoSpaceDN w:val="0"/>
              <w:jc w:val="right"/>
              <w:rPr>
                <w:color w:val="000000"/>
              </w:rPr>
            </w:pPr>
          </w:p>
        </w:tc>
        <w:tc>
          <w:tcPr>
            <w:tcW w:w="1134" w:type="dxa"/>
          </w:tcPr>
          <w:p w:rsidR="00FC5A33" w:rsidRPr="00FC5A33" w:rsidRDefault="00FC5A33" w:rsidP="00FC5A33">
            <w:pPr>
              <w:widowControl/>
              <w:autoSpaceDE w:val="0"/>
              <w:autoSpaceDN w:val="0"/>
              <w:jc w:val="right"/>
              <w:rPr>
                <w:color w:val="000000"/>
              </w:rPr>
            </w:pPr>
          </w:p>
        </w:tc>
      </w:tr>
      <w:tr w:rsidR="00FC5A33" w:rsidRPr="00FC5A33" w:rsidTr="00FC5A33">
        <w:trPr>
          <w:trHeight w:val="70"/>
        </w:trPr>
        <w:tc>
          <w:tcPr>
            <w:tcW w:w="4530" w:type="dxa"/>
          </w:tcPr>
          <w:p w:rsidR="00FC5A33" w:rsidRPr="00FC5A33" w:rsidRDefault="00FC5A33" w:rsidP="00FC5A33">
            <w:pPr>
              <w:widowControl/>
              <w:autoSpaceDE w:val="0"/>
              <w:autoSpaceDN w:val="0"/>
              <w:rPr>
                <w:color w:val="000000"/>
              </w:rPr>
            </w:pPr>
            <w:r w:rsidRPr="00FC5A33">
              <w:rPr>
                <w:color w:val="000000"/>
              </w:rPr>
              <w:t>Indikátor XYZ</w:t>
            </w:r>
          </w:p>
        </w:tc>
        <w:tc>
          <w:tcPr>
            <w:tcW w:w="1134" w:type="dxa"/>
          </w:tcPr>
          <w:p w:rsidR="00FC5A33" w:rsidRPr="00FC5A33" w:rsidRDefault="00FC5A33" w:rsidP="00FC5A33">
            <w:pPr>
              <w:widowControl/>
              <w:autoSpaceDE w:val="0"/>
              <w:autoSpaceDN w:val="0"/>
              <w:jc w:val="right"/>
              <w:rPr>
                <w:color w:val="000000"/>
              </w:rPr>
            </w:pPr>
          </w:p>
        </w:tc>
        <w:tc>
          <w:tcPr>
            <w:tcW w:w="1134" w:type="dxa"/>
          </w:tcPr>
          <w:p w:rsidR="00FC5A33" w:rsidRPr="00FC5A33" w:rsidRDefault="00FC5A33" w:rsidP="00FC5A33">
            <w:pPr>
              <w:widowControl/>
              <w:autoSpaceDE w:val="0"/>
              <w:autoSpaceDN w:val="0"/>
              <w:jc w:val="right"/>
              <w:rPr>
                <w:color w:val="000000"/>
              </w:rPr>
            </w:pPr>
          </w:p>
        </w:tc>
        <w:tc>
          <w:tcPr>
            <w:tcW w:w="1134" w:type="dxa"/>
          </w:tcPr>
          <w:p w:rsidR="00FC5A33" w:rsidRPr="00FC5A33" w:rsidRDefault="00FC5A33" w:rsidP="00FC5A33">
            <w:pPr>
              <w:widowControl/>
              <w:autoSpaceDE w:val="0"/>
              <w:autoSpaceDN w:val="0"/>
              <w:jc w:val="right"/>
              <w:rPr>
                <w:color w:val="000000"/>
              </w:rPr>
            </w:pPr>
          </w:p>
        </w:tc>
        <w:tc>
          <w:tcPr>
            <w:tcW w:w="1134" w:type="dxa"/>
          </w:tcPr>
          <w:p w:rsidR="00FC5A33" w:rsidRPr="00FC5A33" w:rsidRDefault="00FC5A33" w:rsidP="00FC5A33">
            <w:pPr>
              <w:widowControl/>
              <w:autoSpaceDE w:val="0"/>
              <w:autoSpaceDN w:val="0"/>
              <w:jc w:val="right"/>
              <w:rPr>
                <w:color w:val="000000"/>
              </w:rPr>
            </w:pPr>
          </w:p>
        </w:tc>
      </w:tr>
    </w:tbl>
    <w:p w:rsidR="00FC5A33" w:rsidRPr="00FC5A33" w:rsidRDefault="00FC5A33" w:rsidP="00FC5A33">
      <w:pPr>
        <w:widowControl/>
        <w:adjustRightInd/>
        <w:ind w:firstLine="708"/>
        <w:jc w:val="both"/>
      </w:pPr>
      <w:r w:rsidRPr="00FC5A33">
        <w:t xml:space="preserve"> </w:t>
      </w:r>
    </w:p>
    <w:p w:rsidR="00FC5A33" w:rsidRPr="00FC5A33" w:rsidRDefault="00FC5A33" w:rsidP="00FC5A33">
      <w:pPr>
        <w:widowControl/>
        <w:adjustRightInd/>
        <w:rPr>
          <w:b/>
          <w:bCs/>
        </w:rPr>
      </w:pPr>
      <w:r w:rsidRPr="00FC5A33">
        <w:rPr>
          <w:b/>
          <w:bCs/>
        </w:rPr>
        <w:t>2.2.4. Výpočty vplyvov na verejné financie</w:t>
      </w:r>
    </w:p>
    <w:p w:rsidR="00FC5A33" w:rsidRPr="00FC5A33" w:rsidRDefault="00FC5A33" w:rsidP="00FC5A33">
      <w:pPr>
        <w:widowControl/>
        <w:adjustRightInd/>
        <w:ind w:firstLine="709"/>
        <w:jc w:val="both"/>
        <w:rPr>
          <w:rFonts w:eastAsiaTheme="minorHAnsi"/>
          <w:lang w:eastAsia="en-US"/>
        </w:rPr>
      </w:pPr>
    </w:p>
    <w:p w:rsidR="00FC5A33" w:rsidRPr="00FC5A33" w:rsidRDefault="00FC5A33" w:rsidP="00FC5A33">
      <w:pPr>
        <w:widowControl/>
        <w:adjustRightInd/>
        <w:ind w:firstLine="709"/>
        <w:jc w:val="both"/>
        <w:rPr>
          <w:rFonts w:eastAsiaTheme="minorHAnsi"/>
          <w:sz w:val="22"/>
          <w:szCs w:val="22"/>
          <w:lang w:eastAsia="en-US"/>
        </w:rPr>
      </w:pPr>
      <w:r w:rsidRPr="00FC5A33">
        <w:rPr>
          <w:rFonts w:eastAsiaTheme="minorHAnsi"/>
          <w:sz w:val="22"/>
          <w:szCs w:val="22"/>
          <w:lang w:eastAsia="en-US"/>
        </w:rPr>
        <w:t>Predkladaný materiál predpokladá negatívny vplyv na rozpočet verejnej správy v rokoch 2021 - 2023, rozpočtovo krytý v rámci rozpočtu verejnej správy na roky 2021 - 2023. Financovanie bude realizované v rámci programu 017 Program rozvoja bývania, podprogram 01701 Výstavba a obnova bytového fondu, z ktorého sa financuje poskytovanie dotácií na obstaranie nájomného bytu, dotácií na obstaranie technickej vybavenosti a dotácií na odstránenie systémovej poruchy bytového domu podľa tohto zákona, ako aj financovanie poskytovania príspevkov podľa § 9 ods. 1 písm. f) zákona č. 555/2005 Z. z. o energetickej hospodárnosti budov a o zmene a doplnení niektorých zákonov v znení neskorších predpisov.</w:t>
      </w:r>
    </w:p>
    <w:p w:rsidR="00FC5A33" w:rsidRDefault="00FC5A33"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Pr="00FC5A33" w:rsidRDefault="00A531AF" w:rsidP="00FC5A33">
      <w:pPr>
        <w:widowControl/>
        <w:tabs>
          <w:tab w:val="num" w:pos="1080"/>
        </w:tabs>
        <w:adjustRightInd/>
        <w:jc w:val="both"/>
        <w:rPr>
          <w:bCs/>
          <w:szCs w:val="20"/>
        </w:rPr>
        <w:sectPr w:rsidR="00A531AF" w:rsidRPr="00FC5A33" w:rsidSect="00FC5A33">
          <w:headerReference w:type="even" r:id="rId7"/>
          <w:footerReference w:type="even" r:id="rId8"/>
          <w:footerReference w:type="default" r:id="rId9"/>
          <w:footerReference w:type="first" r:id="rId10"/>
          <w:pgSz w:w="11906" w:h="16838"/>
          <w:pgMar w:top="1417" w:right="991" w:bottom="1276" w:left="1417" w:header="708" w:footer="708" w:gutter="0"/>
          <w:pgNumType w:start="1"/>
          <w:cols w:space="708"/>
          <w:titlePg/>
          <w:docGrid w:linePitch="360"/>
        </w:sectPr>
      </w:pPr>
    </w:p>
    <w:p w:rsidR="00FC5A33" w:rsidRPr="00FC5A33" w:rsidRDefault="00FC5A33" w:rsidP="00FC5A33">
      <w:pPr>
        <w:widowControl/>
        <w:tabs>
          <w:tab w:val="num" w:pos="1080"/>
        </w:tabs>
        <w:adjustRightInd/>
        <w:jc w:val="right"/>
        <w:rPr>
          <w:bCs/>
        </w:rPr>
      </w:pPr>
      <w:r w:rsidRPr="00FC5A33">
        <w:rPr>
          <w:bCs/>
        </w:rPr>
        <w:lastRenderedPageBreak/>
        <w:t xml:space="preserve">Tabuľka č. 3 </w:t>
      </w:r>
    </w:p>
    <w:p w:rsidR="00FC5A33" w:rsidRPr="00FC5A33" w:rsidRDefault="00FC5A33" w:rsidP="00FC5A33">
      <w:pPr>
        <w:widowControl/>
        <w:tabs>
          <w:tab w:val="num" w:pos="1080"/>
        </w:tabs>
        <w:adjustRightInd/>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FC5A33" w:rsidRPr="00FC5A33" w:rsidTr="00FC5A3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C5A33" w:rsidRPr="00FC5A33" w:rsidRDefault="00FC5A33" w:rsidP="00FC5A33">
            <w:pPr>
              <w:widowControl/>
              <w:adjustRightInd/>
              <w:jc w:val="center"/>
              <w:rPr>
                <w:b/>
                <w:bCs/>
              </w:rPr>
            </w:pPr>
            <w:r w:rsidRPr="00FC5A33">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C5A33" w:rsidRPr="00FC5A33" w:rsidRDefault="00FC5A33" w:rsidP="00FC5A33">
            <w:pPr>
              <w:widowControl/>
              <w:adjustRightInd/>
              <w:jc w:val="center"/>
              <w:rPr>
                <w:b/>
                <w:bCs/>
              </w:rPr>
            </w:pPr>
            <w:r w:rsidRPr="00FC5A33">
              <w:rPr>
                <w:b/>
                <w:bCs/>
              </w:rPr>
              <w:t>poznámka</w:t>
            </w:r>
          </w:p>
        </w:tc>
      </w:tr>
      <w:tr w:rsidR="00FC5A33" w:rsidRPr="00FC5A33" w:rsidTr="00FC5A3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FC5A33" w:rsidRPr="00FC5A33" w:rsidRDefault="00FC5A33" w:rsidP="00FC5A33">
            <w:pPr>
              <w:widowControl/>
              <w:adjustRightInd/>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w:t>
            </w:r>
            <w:r>
              <w:rPr>
                <w:b/>
                <w:bCs/>
              </w:rPr>
              <w:t>20</w:t>
            </w:r>
          </w:p>
        </w:tc>
        <w:tc>
          <w:tcPr>
            <w:tcW w:w="150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w:t>
            </w:r>
            <w:r>
              <w:rPr>
                <w:b/>
                <w:bCs/>
              </w:rPr>
              <w:t>21</w:t>
            </w:r>
          </w:p>
        </w:tc>
        <w:tc>
          <w:tcPr>
            <w:tcW w:w="150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w:t>
            </w:r>
            <w:r>
              <w:rPr>
                <w:b/>
                <w:bCs/>
              </w:rPr>
              <w:t>22</w:t>
            </w:r>
          </w:p>
        </w:tc>
        <w:tc>
          <w:tcPr>
            <w:tcW w:w="150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202</w:t>
            </w:r>
            <w:r>
              <w:rPr>
                <w:b/>
                <w:bCs/>
              </w:rPr>
              <w:t>3</w:t>
            </w:r>
          </w:p>
        </w:tc>
        <w:tc>
          <w:tcPr>
            <w:tcW w:w="3000" w:type="dxa"/>
            <w:vMerge/>
            <w:tcBorders>
              <w:top w:val="single" w:sz="4" w:space="0" w:color="auto"/>
              <w:left w:val="single" w:sz="4" w:space="0" w:color="auto"/>
              <w:bottom w:val="single" w:sz="4" w:space="0" w:color="auto"/>
              <w:right w:val="single" w:sz="4" w:space="0" w:color="auto"/>
            </w:tcBorders>
            <w:vAlign w:val="center"/>
          </w:tcPr>
          <w:p w:rsidR="00FC5A33" w:rsidRPr="00FC5A33" w:rsidRDefault="00FC5A33" w:rsidP="00FC5A33">
            <w:pPr>
              <w:widowControl/>
              <w:adjustRightInd/>
              <w:rPr>
                <w:b/>
                <w:bCs/>
                <w:color w:val="FFFFFF"/>
              </w:rPr>
            </w:pPr>
          </w:p>
        </w:tc>
      </w:tr>
      <w:tr w:rsidR="00FC5A33" w:rsidRPr="00FC5A33" w:rsidTr="00FC5A33">
        <w:trPr>
          <w:trHeight w:val="255"/>
        </w:trPr>
        <w:tc>
          <w:tcPr>
            <w:tcW w:w="495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rPr>
                <w:b/>
                <w:bCs/>
                <w:vertAlign w:val="superscript"/>
              </w:rPr>
            </w:pPr>
            <w:r w:rsidRPr="00FC5A33">
              <w:rPr>
                <w:b/>
                <w:bCs/>
              </w:rPr>
              <w:t>Daňové príjmy (100)</w:t>
            </w:r>
            <w:r w:rsidRPr="00FC5A33">
              <w:rPr>
                <w:b/>
                <w:bCs/>
                <w:vertAlign w:val="superscript"/>
              </w:rPr>
              <w:t>1</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300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495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rPr>
                <w:b/>
                <w:bCs/>
              </w:rPr>
            </w:pPr>
            <w:r w:rsidRPr="00FC5A33">
              <w:rPr>
                <w:b/>
                <w:bCs/>
              </w:rPr>
              <w:t>Nedaňové príjmy (200)</w:t>
            </w:r>
            <w:r w:rsidRPr="00FC5A33">
              <w:rPr>
                <w:b/>
                <w:bCs/>
                <w:vertAlign w:val="superscript"/>
              </w:rPr>
              <w:t>1</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300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495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rPr>
                <w:b/>
                <w:bCs/>
              </w:rPr>
            </w:pPr>
            <w:r w:rsidRPr="00FC5A33">
              <w:rPr>
                <w:b/>
                <w:bCs/>
              </w:rPr>
              <w:t>Granty a transfery (300)</w:t>
            </w:r>
            <w:r w:rsidRPr="00FC5A33">
              <w:rPr>
                <w:b/>
                <w:bCs/>
                <w:vertAlign w:val="superscript"/>
              </w:rPr>
              <w:t>1</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0</w:t>
            </w:r>
          </w:p>
        </w:tc>
        <w:tc>
          <w:tcPr>
            <w:tcW w:w="300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495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rPr>
                <w:b/>
                <w:bCs/>
              </w:rPr>
            </w:pPr>
            <w:r w:rsidRPr="00FC5A33">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shd w:val="clear" w:color="auto" w:fill="FFFF99"/>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shd w:val="clear" w:color="auto" w:fill="FFFF99"/>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shd w:val="clear" w:color="auto" w:fill="FFFF99"/>
          </w:tcPr>
          <w:p w:rsidR="00FC5A33" w:rsidRPr="00FC5A33" w:rsidRDefault="00FC5A33" w:rsidP="00FC5A33">
            <w:pPr>
              <w:widowControl/>
              <w:adjustRightInd/>
              <w:jc w:val="center"/>
              <w:rPr>
                <w:b/>
                <w:bCs/>
              </w:rPr>
            </w:pPr>
            <w:r w:rsidRPr="00FC5A33">
              <w:rPr>
                <w:b/>
                <w:bCs/>
              </w:rPr>
              <w:t>0</w:t>
            </w:r>
          </w:p>
        </w:tc>
        <w:tc>
          <w:tcPr>
            <w:tcW w:w="300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495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rPr>
                <w:b/>
                <w:bCs/>
              </w:rPr>
            </w:pPr>
            <w:r w:rsidRPr="00FC5A33">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shd w:val="clear" w:color="auto" w:fill="FFFF99"/>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shd w:val="clear" w:color="auto" w:fill="FFFF99"/>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shd w:val="clear" w:color="auto" w:fill="FFFF99"/>
          </w:tcPr>
          <w:p w:rsidR="00FC5A33" w:rsidRPr="00FC5A33" w:rsidRDefault="00FC5A33" w:rsidP="00FC5A33">
            <w:pPr>
              <w:widowControl/>
              <w:adjustRightInd/>
              <w:jc w:val="center"/>
              <w:rPr>
                <w:b/>
                <w:bCs/>
              </w:rPr>
            </w:pPr>
            <w:r w:rsidRPr="00FC5A33">
              <w:rPr>
                <w:b/>
                <w:bCs/>
              </w:rPr>
              <w:t>0</w:t>
            </w:r>
          </w:p>
        </w:tc>
        <w:tc>
          <w:tcPr>
            <w:tcW w:w="300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rPr>
                <w:b/>
                <w:bCs/>
              </w:rPr>
            </w:pPr>
            <w:r w:rsidRPr="00FC5A33">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FC5A33" w:rsidRPr="00FC5A33" w:rsidRDefault="00FC5A33" w:rsidP="00FC5A33">
            <w:pPr>
              <w:widowControl/>
              <w:adjustRightInd/>
            </w:pPr>
            <w:r w:rsidRPr="00FC5A33">
              <w:t> </w:t>
            </w:r>
          </w:p>
        </w:tc>
      </w:tr>
    </w:tbl>
    <w:p w:rsidR="00FC5A33" w:rsidRDefault="00FC5A33"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Cs/>
          <w:szCs w:val="20"/>
        </w:rPr>
      </w:pPr>
    </w:p>
    <w:p w:rsidR="00A531AF" w:rsidRPr="00FC5A33" w:rsidRDefault="00A531AF" w:rsidP="00FC5A33">
      <w:pPr>
        <w:widowControl/>
        <w:tabs>
          <w:tab w:val="num" w:pos="1080"/>
        </w:tabs>
        <w:adjustRightInd/>
        <w:jc w:val="both"/>
        <w:rPr>
          <w:bCs/>
          <w:szCs w:val="20"/>
        </w:rPr>
      </w:pPr>
    </w:p>
    <w:p w:rsidR="00A531AF" w:rsidRDefault="00A531AF" w:rsidP="00FC5A33">
      <w:pPr>
        <w:widowControl/>
        <w:tabs>
          <w:tab w:val="num" w:pos="1080"/>
        </w:tabs>
        <w:adjustRightInd/>
        <w:jc w:val="both"/>
        <w:rPr>
          <w:b/>
          <w:bCs/>
          <w:szCs w:val="20"/>
        </w:rPr>
      </w:pPr>
      <w:r>
        <w:rPr>
          <w:bCs/>
          <w:sz w:val="20"/>
          <w:szCs w:val="20"/>
        </w:rPr>
        <w:t xml:space="preserve">1 - príjmy </w:t>
      </w:r>
      <w:r w:rsidRPr="00FC5A33">
        <w:rPr>
          <w:bCs/>
          <w:sz w:val="20"/>
          <w:szCs w:val="20"/>
        </w:rPr>
        <w:t>rozpísať až do položiek platnej ekonomickej klasifikácie</w:t>
      </w:r>
    </w:p>
    <w:p w:rsidR="00A531AF" w:rsidRDefault="00A531AF" w:rsidP="00FC5A33">
      <w:pPr>
        <w:widowControl/>
        <w:tabs>
          <w:tab w:val="num" w:pos="1080"/>
        </w:tabs>
        <w:adjustRightInd/>
        <w:jc w:val="both"/>
        <w:rPr>
          <w:b/>
          <w:bCs/>
          <w:szCs w:val="20"/>
        </w:rPr>
      </w:pPr>
    </w:p>
    <w:p w:rsidR="00A531AF" w:rsidRDefault="00A531AF" w:rsidP="00FC5A33">
      <w:pPr>
        <w:widowControl/>
        <w:tabs>
          <w:tab w:val="num" w:pos="1080"/>
        </w:tabs>
        <w:adjustRightInd/>
        <w:jc w:val="both"/>
        <w:rPr>
          <w:b/>
          <w:bCs/>
          <w:szCs w:val="20"/>
        </w:rPr>
      </w:pPr>
    </w:p>
    <w:p w:rsidR="00FC5A33" w:rsidRPr="00FC5A33" w:rsidRDefault="00FC5A33" w:rsidP="00FC5A33">
      <w:pPr>
        <w:widowControl/>
        <w:tabs>
          <w:tab w:val="num" w:pos="1080"/>
        </w:tabs>
        <w:adjustRightInd/>
        <w:jc w:val="both"/>
        <w:rPr>
          <w:b/>
          <w:bCs/>
          <w:szCs w:val="20"/>
        </w:rPr>
      </w:pPr>
      <w:r w:rsidRPr="00FC5A33">
        <w:rPr>
          <w:b/>
          <w:bCs/>
          <w:szCs w:val="20"/>
        </w:rPr>
        <w:t>Poznámka:</w:t>
      </w:r>
    </w:p>
    <w:p w:rsidR="00FC5A33" w:rsidRPr="00FC5A33" w:rsidRDefault="00FC5A33" w:rsidP="00FC5A33">
      <w:pPr>
        <w:widowControl/>
        <w:tabs>
          <w:tab w:val="num" w:pos="1080"/>
        </w:tabs>
        <w:adjustRightInd/>
        <w:jc w:val="both"/>
        <w:rPr>
          <w:bCs/>
          <w:szCs w:val="20"/>
        </w:rPr>
      </w:pPr>
      <w:r w:rsidRPr="00FC5A33">
        <w:rPr>
          <w:bCs/>
          <w:szCs w:val="20"/>
        </w:rPr>
        <w:t>Ak sa vplyv týka viacerých subjektov verejnej správy, vypĺňa sa samostatná tabuľka za každý subjekt.</w:t>
      </w:r>
    </w:p>
    <w:p w:rsidR="00FC5A33" w:rsidRPr="00FC5A33" w:rsidRDefault="00FC5A33" w:rsidP="00FC5A33">
      <w:pPr>
        <w:widowControl/>
        <w:tabs>
          <w:tab w:val="num" w:pos="1080"/>
        </w:tabs>
        <w:adjustRightInd/>
        <w:ind w:right="-578"/>
        <w:jc w:val="right"/>
        <w:rPr>
          <w:bCs/>
        </w:rPr>
      </w:pPr>
      <w:r w:rsidRPr="00FC5A33">
        <w:rPr>
          <w:bCs/>
        </w:rPr>
        <w:t xml:space="preserve"> </w:t>
      </w:r>
    </w:p>
    <w:p w:rsidR="00FC5A33" w:rsidRPr="00FC5A33" w:rsidRDefault="00FC5A33" w:rsidP="00FC5A33">
      <w:pPr>
        <w:widowControl/>
        <w:tabs>
          <w:tab w:val="num" w:pos="1080"/>
        </w:tabs>
        <w:adjustRightInd/>
        <w:ind w:right="-578"/>
        <w:jc w:val="right"/>
        <w:rPr>
          <w:bCs/>
        </w:rPr>
      </w:pPr>
    </w:p>
    <w:p w:rsidR="00FC5A33" w:rsidRPr="00FC5A33" w:rsidRDefault="00FC5A33" w:rsidP="00FC5A33">
      <w:pPr>
        <w:widowControl/>
        <w:tabs>
          <w:tab w:val="num" w:pos="1080"/>
        </w:tabs>
        <w:adjustRightInd/>
        <w:ind w:right="-578"/>
        <w:jc w:val="right"/>
        <w:rPr>
          <w:bCs/>
        </w:rPr>
      </w:pPr>
    </w:p>
    <w:p w:rsidR="00FC5A33" w:rsidRPr="00FC5A33" w:rsidRDefault="00FC5A33" w:rsidP="00FC5A33">
      <w:pPr>
        <w:widowControl/>
        <w:tabs>
          <w:tab w:val="num" w:pos="1080"/>
        </w:tabs>
        <w:adjustRightInd/>
        <w:ind w:right="-578"/>
        <w:jc w:val="right"/>
        <w:rPr>
          <w:bCs/>
        </w:rPr>
      </w:pPr>
    </w:p>
    <w:p w:rsidR="00FC5A33" w:rsidRPr="00FC5A33" w:rsidRDefault="00FC5A33" w:rsidP="00FC5A33">
      <w:pPr>
        <w:widowControl/>
        <w:tabs>
          <w:tab w:val="num" w:pos="1080"/>
        </w:tabs>
        <w:adjustRightInd/>
        <w:ind w:right="-578"/>
        <w:jc w:val="right"/>
        <w:rPr>
          <w:bCs/>
        </w:rPr>
      </w:pPr>
    </w:p>
    <w:p w:rsidR="00FC5A33" w:rsidRPr="00FC5A33" w:rsidRDefault="00FC5A33" w:rsidP="00FC5A33">
      <w:pPr>
        <w:widowControl/>
        <w:tabs>
          <w:tab w:val="num" w:pos="1080"/>
        </w:tabs>
        <w:adjustRightInd/>
        <w:ind w:right="-578"/>
        <w:jc w:val="right"/>
        <w:rPr>
          <w:bCs/>
        </w:rPr>
      </w:pPr>
    </w:p>
    <w:p w:rsidR="00FC5A33" w:rsidRPr="00FC5A33" w:rsidRDefault="00FC5A33" w:rsidP="00FC5A33">
      <w:pPr>
        <w:widowControl/>
        <w:tabs>
          <w:tab w:val="num" w:pos="1080"/>
        </w:tabs>
        <w:adjustRightInd/>
        <w:ind w:right="-578"/>
        <w:jc w:val="right"/>
        <w:rPr>
          <w:bCs/>
        </w:rPr>
      </w:pPr>
    </w:p>
    <w:p w:rsidR="00FC5A33" w:rsidRPr="00FC5A33" w:rsidRDefault="00FC5A33" w:rsidP="00FC5A33">
      <w:pPr>
        <w:widowControl/>
        <w:tabs>
          <w:tab w:val="num" w:pos="1080"/>
        </w:tabs>
        <w:adjustRightInd/>
        <w:ind w:right="-578"/>
        <w:jc w:val="right"/>
        <w:rPr>
          <w:bCs/>
        </w:rPr>
      </w:pPr>
    </w:p>
    <w:p w:rsidR="00FC5A33" w:rsidRPr="00FC5A33" w:rsidRDefault="00FC5A33" w:rsidP="00FC5A33">
      <w:pPr>
        <w:widowControl/>
        <w:tabs>
          <w:tab w:val="num" w:pos="1080"/>
        </w:tabs>
        <w:adjustRightInd/>
        <w:ind w:right="-578"/>
        <w:jc w:val="right"/>
        <w:rPr>
          <w:bCs/>
        </w:rPr>
      </w:pPr>
    </w:p>
    <w:p w:rsidR="00FC5A33" w:rsidRPr="00FC5A33" w:rsidRDefault="00FC5A33" w:rsidP="00FC5A33">
      <w:pPr>
        <w:widowControl/>
        <w:tabs>
          <w:tab w:val="num" w:pos="1080"/>
        </w:tabs>
        <w:adjustRightInd/>
        <w:ind w:right="-578"/>
        <w:jc w:val="right"/>
        <w:rPr>
          <w:bCs/>
        </w:rPr>
      </w:pPr>
    </w:p>
    <w:p w:rsidR="00FC5A33" w:rsidRPr="00FC5A33" w:rsidRDefault="00FC5A33" w:rsidP="00FC5A33">
      <w:pPr>
        <w:widowControl/>
        <w:tabs>
          <w:tab w:val="num" w:pos="1080"/>
        </w:tabs>
        <w:adjustRightInd/>
        <w:ind w:right="-578"/>
        <w:jc w:val="right"/>
        <w:rPr>
          <w:bCs/>
        </w:rPr>
      </w:pPr>
    </w:p>
    <w:p w:rsidR="00580176" w:rsidRDefault="00580176" w:rsidP="00FC5A33">
      <w:pPr>
        <w:widowControl/>
        <w:tabs>
          <w:tab w:val="num" w:pos="1080"/>
        </w:tabs>
        <w:adjustRightInd/>
        <w:ind w:right="-32"/>
        <w:jc w:val="right"/>
        <w:rPr>
          <w:bCs/>
        </w:rPr>
      </w:pPr>
    </w:p>
    <w:p w:rsidR="00580176" w:rsidRDefault="00580176" w:rsidP="00FC5A33">
      <w:pPr>
        <w:widowControl/>
        <w:tabs>
          <w:tab w:val="num" w:pos="1080"/>
        </w:tabs>
        <w:adjustRightInd/>
        <w:ind w:right="-32"/>
        <w:jc w:val="right"/>
        <w:rPr>
          <w:bCs/>
        </w:rPr>
      </w:pPr>
    </w:p>
    <w:p w:rsidR="00580176" w:rsidRDefault="00580176" w:rsidP="00FC5A33">
      <w:pPr>
        <w:widowControl/>
        <w:tabs>
          <w:tab w:val="num" w:pos="1080"/>
        </w:tabs>
        <w:adjustRightInd/>
        <w:ind w:right="-32"/>
        <w:jc w:val="right"/>
        <w:rPr>
          <w:bCs/>
        </w:rPr>
      </w:pPr>
    </w:p>
    <w:p w:rsidR="00580176" w:rsidRDefault="00580176" w:rsidP="00FC5A33">
      <w:pPr>
        <w:widowControl/>
        <w:tabs>
          <w:tab w:val="num" w:pos="1080"/>
        </w:tabs>
        <w:adjustRightInd/>
        <w:ind w:right="-32"/>
        <w:jc w:val="right"/>
        <w:rPr>
          <w:bCs/>
        </w:rPr>
      </w:pPr>
    </w:p>
    <w:p w:rsidR="00580176" w:rsidRPr="00FC5A33" w:rsidRDefault="00580176" w:rsidP="00FC5A33">
      <w:pPr>
        <w:widowControl/>
        <w:tabs>
          <w:tab w:val="num" w:pos="1080"/>
        </w:tabs>
        <w:adjustRightInd/>
        <w:ind w:right="-32"/>
        <w:jc w:val="right"/>
        <w:rPr>
          <w:bCs/>
        </w:rPr>
      </w:pPr>
    </w:p>
    <w:p w:rsidR="00FC5A33" w:rsidRPr="00FC5A33" w:rsidRDefault="00FC5A33" w:rsidP="00FC5A33">
      <w:pPr>
        <w:widowControl/>
        <w:tabs>
          <w:tab w:val="num" w:pos="1080"/>
        </w:tabs>
        <w:adjustRightInd/>
        <w:ind w:right="-34"/>
        <w:jc w:val="right"/>
        <w:rPr>
          <w:bCs/>
        </w:rPr>
      </w:pPr>
    </w:p>
    <w:p w:rsidR="00FC5A33" w:rsidRPr="00FC5A33" w:rsidRDefault="00FC5A33" w:rsidP="00FC5A33">
      <w:pPr>
        <w:widowControl/>
        <w:tabs>
          <w:tab w:val="num" w:pos="1080"/>
        </w:tabs>
        <w:adjustRightInd/>
        <w:ind w:right="-34"/>
        <w:jc w:val="right"/>
        <w:rPr>
          <w:bCs/>
        </w:rPr>
      </w:pPr>
    </w:p>
    <w:p w:rsidR="00FC5A33" w:rsidRPr="00FC5A33" w:rsidRDefault="00FC5A33" w:rsidP="00FC5A33">
      <w:pPr>
        <w:widowControl/>
        <w:tabs>
          <w:tab w:val="num" w:pos="1080"/>
        </w:tabs>
        <w:adjustRightInd/>
        <w:ind w:right="-34"/>
        <w:jc w:val="right"/>
        <w:rPr>
          <w:bCs/>
        </w:rPr>
      </w:pPr>
      <w:r w:rsidRPr="00FC5A33">
        <w:rPr>
          <w:bCs/>
        </w:rPr>
        <w:t xml:space="preserve">Tabuľka č. 4 </w:t>
      </w:r>
    </w:p>
    <w:p w:rsidR="00FC5A33" w:rsidRPr="00FC5A33" w:rsidRDefault="00FC5A33" w:rsidP="00A531AF">
      <w:pPr>
        <w:widowControl/>
        <w:tabs>
          <w:tab w:val="num" w:pos="1080"/>
        </w:tabs>
        <w:adjustRightInd/>
        <w:jc w:val="both"/>
        <w:rPr>
          <w:b/>
          <w:bCs/>
          <w:szCs w:val="20"/>
        </w:rPr>
      </w:pPr>
      <w:r w:rsidRPr="00FC5A33">
        <w:rPr>
          <w:b/>
          <w:bCs/>
          <w:szCs w:val="20"/>
        </w:rPr>
        <w:t>Ministerstvo dopravy a výstavby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FC5A33" w:rsidRPr="00FC5A33" w:rsidTr="00FC5A3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FC5A33" w:rsidRPr="00FC5A33" w:rsidRDefault="00FC5A33" w:rsidP="00FC5A33">
            <w:pPr>
              <w:widowControl/>
              <w:adjustRightInd/>
              <w:jc w:val="center"/>
              <w:rPr>
                <w:b/>
                <w:bCs/>
              </w:rPr>
            </w:pPr>
            <w:r w:rsidRPr="00FC5A33">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C5A33" w:rsidRPr="00FC5A33" w:rsidRDefault="00FC5A33" w:rsidP="00FC5A33">
            <w:pPr>
              <w:widowControl/>
              <w:adjustRightInd/>
              <w:jc w:val="center"/>
              <w:rPr>
                <w:b/>
                <w:bCs/>
              </w:rPr>
            </w:pPr>
            <w:r w:rsidRPr="00FC5A33">
              <w:rPr>
                <w:b/>
                <w:bCs/>
              </w:rPr>
              <w:t>poznámka</w:t>
            </w:r>
          </w:p>
        </w:tc>
      </w:tr>
      <w:tr w:rsidR="00FC5A33" w:rsidRPr="00FC5A33" w:rsidTr="00FC5A3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FC5A33" w:rsidRPr="00FC5A33" w:rsidRDefault="00FC5A33" w:rsidP="00FC5A33">
            <w:pPr>
              <w:widowControl/>
              <w:adjustRightInd/>
              <w:rPr>
                <w:b/>
                <w:bCs/>
                <w:color w:val="FFFFFF"/>
              </w:rPr>
            </w:pPr>
          </w:p>
        </w:tc>
        <w:tc>
          <w:tcPr>
            <w:tcW w:w="154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FC5A33" w:rsidRPr="00FC5A33" w:rsidRDefault="00FC5A33" w:rsidP="00FC5A33">
            <w:pPr>
              <w:widowControl/>
              <w:adjustRightInd/>
              <w:rPr>
                <w:b/>
                <w:bCs/>
                <w:color w:val="FFFFFF"/>
              </w:rPr>
            </w:pP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rPr>
                <w:b/>
                <w:bCs/>
              </w:rPr>
            </w:pPr>
            <w:r w:rsidRPr="00FC5A33">
              <w:rPr>
                <w:b/>
                <w:bCs/>
              </w:rPr>
              <w:t>Bežné výdavky (600)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ind w:left="209"/>
            </w:pPr>
            <w:r w:rsidRPr="00FC5A33">
              <w:t>Mzdy, platy, služobné príjmy a ostatné osobné vyrovnania (610)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ind w:left="209"/>
            </w:pPr>
            <w:r w:rsidRPr="00FC5A33">
              <w:t>Poistné a príspevok do poisťovní (620)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ind w:left="209"/>
            </w:pPr>
            <w:r w:rsidRPr="00FC5A33">
              <w:t>Tovary a služby (630)2</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ind w:left="209"/>
            </w:pPr>
            <w:r w:rsidRPr="00FC5A33">
              <w:t>Bežné transfery (640)2</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vAlign w:val="center"/>
          </w:tcPr>
          <w:p w:rsidR="00FC5A33" w:rsidRPr="00FC5A33" w:rsidRDefault="00FC5A33" w:rsidP="00FC5A33">
            <w:pPr>
              <w:widowControl/>
              <w:adjustRightInd/>
              <w:ind w:left="209"/>
            </w:pPr>
            <w:r w:rsidRPr="00FC5A33">
              <w:t>Splácanie úrokov a ostatné platby súvisiace s úverom, pôžičkou, návratnou finančnou výpomocou a finančným prenájmom (650)2</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vAlign w:val="center"/>
          </w:tcPr>
          <w:p w:rsidR="00FC5A33" w:rsidRPr="00FC5A33" w:rsidRDefault="00FC5A33" w:rsidP="00FC5A33">
            <w:pPr>
              <w:widowControl/>
              <w:adjustRightInd/>
              <w:jc w:val="center"/>
            </w:pPr>
            <w:r w:rsidRPr="00FC5A33">
              <w:t>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rPr>
                <w:b/>
                <w:bCs/>
              </w:rPr>
            </w:pPr>
            <w:r w:rsidRPr="00FC5A33">
              <w:rPr>
                <w:b/>
                <w:bCs/>
              </w:rPr>
              <w:t>Kapitálové výdavky (700)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20 000 000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20 000 000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20 000 000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rPr>
                <w:b/>
                <w:bCs/>
              </w:rPr>
            </w:pPr>
            <w:r w:rsidRPr="00FC5A33">
              <w:rPr>
                <w:b/>
                <w:bCs/>
              </w:rPr>
              <w:t>20 000 000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ind w:left="209"/>
            </w:pPr>
            <w:r w:rsidRPr="00FC5A33">
              <w:t>Obstarávanie kapitálových aktív (710)2</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pPr>
            <w:r w:rsidRPr="00FC5A33">
              <w:t>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pPr>
            <w:r w:rsidRPr="00FC5A33">
              <w:t>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ind w:left="209"/>
            </w:pPr>
            <w:r w:rsidRPr="00FC5A33">
              <w:t>Kapitálové transfery (720)2</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pPr>
            <w:r w:rsidRPr="00FC5A33">
              <w:t>20 000 000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pPr>
            <w:r w:rsidRPr="00FC5A33">
              <w:t>20 000 000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pPr>
            <w:r w:rsidRPr="00FC5A33">
              <w:t>20 000 000</w:t>
            </w:r>
          </w:p>
        </w:tc>
        <w:tc>
          <w:tcPr>
            <w:tcW w:w="1540" w:type="dxa"/>
            <w:tcBorders>
              <w:top w:val="nil"/>
              <w:left w:val="nil"/>
              <w:bottom w:val="single" w:sz="4" w:space="0" w:color="auto"/>
              <w:right w:val="single" w:sz="4" w:space="0" w:color="auto"/>
            </w:tcBorders>
          </w:tcPr>
          <w:p w:rsidR="00FC5A33" w:rsidRPr="00FC5A33" w:rsidRDefault="00FC5A33" w:rsidP="00FC5A33">
            <w:pPr>
              <w:widowControl/>
              <w:adjustRightInd/>
              <w:jc w:val="center"/>
            </w:pPr>
            <w:r w:rsidRPr="00FC5A33">
              <w:t>20 000 000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7070" w:type="dxa"/>
            <w:tcBorders>
              <w:top w:val="nil"/>
              <w:left w:val="single" w:sz="4" w:space="0" w:color="auto"/>
              <w:bottom w:val="single" w:sz="4" w:space="0" w:color="auto"/>
              <w:right w:val="single" w:sz="4" w:space="0" w:color="auto"/>
            </w:tcBorders>
          </w:tcPr>
          <w:p w:rsidR="00FC5A33" w:rsidRPr="00FC5A33" w:rsidRDefault="00FC5A33" w:rsidP="00FC5A33">
            <w:pPr>
              <w:widowControl/>
              <w:adjustRightInd/>
              <w:rPr>
                <w:b/>
                <w:bCs/>
              </w:rPr>
            </w:pPr>
            <w:r w:rsidRPr="00FC5A33">
              <w:rPr>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FC5A33" w:rsidRPr="00FC5A33" w:rsidRDefault="00FC5A33" w:rsidP="00FC5A33">
            <w:pPr>
              <w:widowControl/>
              <w:adjustRightInd/>
              <w:jc w:val="center"/>
              <w:rPr>
                <w:b/>
                <w:bCs/>
              </w:rPr>
            </w:pPr>
            <w:r w:rsidRPr="00FC5A33">
              <w:rPr>
                <w:b/>
                <w:bCs/>
              </w:rPr>
              <w:t>0</w:t>
            </w:r>
          </w:p>
        </w:tc>
        <w:tc>
          <w:tcPr>
            <w:tcW w:w="1540" w:type="dxa"/>
            <w:tcBorders>
              <w:top w:val="nil"/>
              <w:left w:val="nil"/>
              <w:bottom w:val="single" w:sz="4" w:space="0" w:color="auto"/>
              <w:right w:val="single" w:sz="4" w:space="0" w:color="auto"/>
            </w:tcBorders>
            <w:shd w:val="clear" w:color="auto" w:fill="FFFF99"/>
            <w:vAlign w:val="center"/>
          </w:tcPr>
          <w:p w:rsidR="00FC5A33" w:rsidRPr="00FC5A33" w:rsidRDefault="00FC5A33" w:rsidP="00FC5A33">
            <w:pPr>
              <w:widowControl/>
              <w:adjustRightInd/>
              <w:jc w:val="center"/>
              <w:rPr>
                <w:b/>
                <w:bCs/>
              </w:rPr>
            </w:pPr>
            <w:r w:rsidRPr="00FC5A33">
              <w:rPr>
                <w:b/>
                <w:bCs/>
              </w:rPr>
              <w:t>0</w:t>
            </w:r>
          </w:p>
        </w:tc>
        <w:tc>
          <w:tcPr>
            <w:tcW w:w="1540" w:type="dxa"/>
            <w:tcBorders>
              <w:top w:val="nil"/>
              <w:left w:val="nil"/>
              <w:bottom w:val="single" w:sz="4" w:space="0" w:color="auto"/>
              <w:right w:val="single" w:sz="4" w:space="0" w:color="auto"/>
            </w:tcBorders>
            <w:shd w:val="clear" w:color="auto" w:fill="FFFF99"/>
            <w:vAlign w:val="center"/>
          </w:tcPr>
          <w:p w:rsidR="00FC5A33" w:rsidRPr="00FC5A33" w:rsidRDefault="00FC5A33" w:rsidP="00FC5A33">
            <w:pPr>
              <w:widowControl/>
              <w:adjustRightInd/>
              <w:jc w:val="center"/>
              <w:rPr>
                <w:b/>
                <w:bCs/>
              </w:rPr>
            </w:pPr>
            <w:r w:rsidRPr="00FC5A33">
              <w:rPr>
                <w:b/>
                <w:bCs/>
              </w:rPr>
              <w:t>0</w:t>
            </w:r>
          </w:p>
        </w:tc>
        <w:tc>
          <w:tcPr>
            <w:tcW w:w="1540" w:type="dxa"/>
            <w:tcBorders>
              <w:top w:val="nil"/>
              <w:left w:val="nil"/>
              <w:bottom w:val="single" w:sz="4" w:space="0" w:color="auto"/>
              <w:right w:val="single" w:sz="4" w:space="0" w:color="auto"/>
            </w:tcBorders>
            <w:shd w:val="clear" w:color="auto" w:fill="FFFF99"/>
            <w:vAlign w:val="center"/>
          </w:tcPr>
          <w:p w:rsidR="00FC5A33" w:rsidRPr="00FC5A33" w:rsidRDefault="00FC5A33" w:rsidP="00FC5A33">
            <w:pPr>
              <w:widowControl/>
              <w:adjustRightInd/>
              <w:jc w:val="center"/>
              <w:rPr>
                <w:b/>
                <w:bCs/>
              </w:rPr>
            </w:pPr>
            <w:r w:rsidRPr="00FC5A33">
              <w:rPr>
                <w:b/>
                <w:bCs/>
              </w:rPr>
              <w:t>0</w:t>
            </w:r>
          </w:p>
        </w:tc>
        <w:tc>
          <w:tcPr>
            <w:tcW w:w="2220" w:type="dxa"/>
            <w:tcBorders>
              <w:top w:val="nil"/>
              <w:left w:val="nil"/>
              <w:bottom w:val="single" w:sz="4" w:space="0" w:color="auto"/>
              <w:right w:val="single" w:sz="4" w:space="0" w:color="auto"/>
            </w:tcBorders>
            <w:noWrap/>
            <w:vAlign w:val="bottom"/>
          </w:tcPr>
          <w:p w:rsidR="00FC5A33" w:rsidRPr="00FC5A33" w:rsidRDefault="00FC5A33" w:rsidP="00FC5A33">
            <w:pPr>
              <w:widowControl/>
              <w:adjustRightInd/>
            </w:pPr>
            <w:r w:rsidRPr="00FC5A33">
              <w:t> </w:t>
            </w:r>
          </w:p>
        </w:tc>
      </w:tr>
      <w:tr w:rsidR="00FC5A33" w:rsidRPr="00FC5A33" w:rsidTr="00FC5A3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rPr>
                <w:b/>
                <w:bCs/>
              </w:rPr>
            </w:pPr>
            <w:r w:rsidRPr="00FC5A33">
              <w:rPr>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FC5A33" w:rsidRPr="00FC5A33" w:rsidRDefault="00FC5A33" w:rsidP="00FC5A33">
            <w:pPr>
              <w:widowControl/>
              <w:adjustRightInd/>
              <w:jc w:val="center"/>
              <w:rPr>
                <w:b/>
                <w:bCs/>
              </w:rPr>
            </w:pPr>
            <w:r w:rsidRPr="00FC5A33">
              <w:rPr>
                <w:b/>
                <w:bCs/>
              </w:rPr>
              <w:t>20 000 000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C5A33" w:rsidRPr="00FC5A33" w:rsidRDefault="00FC5A33" w:rsidP="00FC5A33">
            <w:pPr>
              <w:widowControl/>
              <w:adjustRightInd/>
            </w:pPr>
            <w:r w:rsidRPr="00FC5A33">
              <w:t> </w:t>
            </w:r>
          </w:p>
        </w:tc>
      </w:tr>
    </w:tbl>
    <w:p w:rsidR="00FC5A33" w:rsidRPr="00FC5A33" w:rsidRDefault="00FC5A33" w:rsidP="00A531AF">
      <w:pPr>
        <w:widowControl/>
        <w:tabs>
          <w:tab w:val="num" w:pos="1080"/>
        </w:tabs>
        <w:adjustRightInd/>
        <w:jc w:val="both"/>
        <w:rPr>
          <w:bCs/>
        </w:rPr>
      </w:pPr>
      <w:r w:rsidRPr="00FC5A33">
        <w:rPr>
          <w:bCs/>
        </w:rPr>
        <w:t>2 – výdavky rozpísať až do položiek platnej ekonomickej klasifikácie</w:t>
      </w:r>
    </w:p>
    <w:p w:rsidR="00FC5A33" w:rsidRDefault="00FC5A33" w:rsidP="00FC5A33">
      <w:pPr>
        <w:widowControl/>
        <w:adjustRightInd/>
        <w:rPr>
          <w:b/>
          <w:sz w:val="20"/>
          <w:szCs w:val="20"/>
        </w:rPr>
      </w:pPr>
    </w:p>
    <w:p w:rsidR="00FC5A33" w:rsidRPr="00FC5A33" w:rsidRDefault="00FC5A33" w:rsidP="00FC5A33">
      <w:pPr>
        <w:widowControl/>
        <w:adjustRightInd/>
        <w:rPr>
          <w:b/>
          <w:sz w:val="20"/>
          <w:szCs w:val="20"/>
        </w:rPr>
      </w:pPr>
    </w:p>
    <w:p w:rsidR="00FC5A33" w:rsidRPr="00FC5A33" w:rsidRDefault="00FC5A33" w:rsidP="00FC5A33">
      <w:pPr>
        <w:widowControl/>
        <w:adjustRightInd/>
        <w:rPr>
          <w:sz w:val="20"/>
          <w:szCs w:val="20"/>
        </w:rPr>
      </w:pPr>
    </w:p>
    <w:p w:rsidR="00A531AF" w:rsidRDefault="00A531AF" w:rsidP="00BA028C">
      <w:pPr>
        <w:pStyle w:val="Zkladntext"/>
        <w:spacing w:before="120" w:line="240" w:lineRule="auto"/>
        <w:ind w:firstLine="709"/>
        <w:sectPr w:rsidR="00A531AF" w:rsidSect="00DE7434">
          <w:footerReference w:type="default" r:id="rId11"/>
          <w:pgSz w:w="16840" w:h="11910" w:orient="landscape"/>
          <w:pgMar w:top="1040" w:right="1120" w:bottom="1040" w:left="720" w:header="708" w:footer="536" w:gutter="0"/>
          <w:pgNumType w:start="8"/>
          <w:cols w:space="708"/>
          <w:docGrid w:linePitch="326"/>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3"/>
        <w:gridCol w:w="4803"/>
      </w:tblGrid>
      <w:tr w:rsidR="00FC5A33" w:rsidRPr="00C457B2" w:rsidTr="00FC5A33">
        <w:trPr>
          <w:trHeight w:val="931"/>
        </w:trPr>
        <w:tc>
          <w:tcPr>
            <w:tcW w:w="9606" w:type="dxa"/>
            <w:gridSpan w:val="2"/>
            <w:shd w:val="clear" w:color="auto" w:fill="D9D9D9"/>
          </w:tcPr>
          <w:p w:rsidR="00FC5A33" w:rsidRPr="004F1879" w:rsidRDefault="00FC5A33" w:rsidP="00FC5A33">
            <w:pPr>
              <w:pStyle w:val="TableParagraph"/>
              <w:spacing w:before="20" w:line="321" w:lineRule="exact"/>
              <w:ind w:left="400" w:right="390"/>
              <w:jc w:val="center"/>
              <w:rPr>
                <w:b/>
                <w:sz w:val="28"/>
                <w:lang w:eastAsia="en-US"/>
              </w:rPr>
            </w:pPr>
            <w:r w:rsidRPr="004F1879">
              <w:rPr>
                <w:b/>
                <w:sz w:val="28"/>
                <w:lang w:eastAsia="en-US"/>
              </w:rPr>
              <w:t>Analýza sociálnych vplyvov</w:t>
            </w:r>
          </w:p>
          <w:p w:rsidR="00FC5A33" w:rsidRPr="004F1879" w:rsidRDefault="00FC5A33" w:rsidP="00FC5A33">
            <w:pPr>
              <w:pStyle w:val="TableParagraph"/>
              <w:ind w:left="400" w:right="396"/>
              <w:jc w:val="center"/>
              <w:rPr>
                <w:b/>
                <w:sz w:val="24"/>
                <w:lang w:eastAsia="en-US"/>
              </w:rPr>
            </w:pPr>
            <w:r w:rsidRPr="004F1879">
              <w:rPr>
                <w:b/>
                <w:sz w:val="24"/>
                <w:lang w:eastAsia="en-US"/>
              </w:rPr>
              <w:t>Vplyvy na hospodárenie domácností, prístup k zdrojom, právam, tovarom a službám, sociálnu inklúziu, rovnosť príležitostí a rodovú rovnosť a vplyvy na zamestnanosť</w:t>
            </w:r>
          </w:p>
        </w:tc>
      </w:tr>
      <w:tr w:rsidR="00FC5A33" w:rsidRPr="00C457B2" w:rsidTr="00FC5A33">
        <w:trPr>
          <w:trHeight w:val="609"/>
        </w:trPr>
        <w:tc>
          <w:tcPr>
            <w:tcW w:w="9606" w:type="dxa"/>
            <w:gridSpan w:val="2"/>
            <w:shd w:val="clear" w:color="auto" w:fill="D9D9D9"/>
          </w:tcPr>
          <w:p w:rsidR="00FC5A33" w:rsidRPr="004F1879" w:rsidRDefault="00FC5A33" w:rsidP="00FC5A33">
            <w:pPr>
              <w:pStyle w:val="TableParagraph"/>
              <w:spacing w:before="19"/>
              <w:ind w:right="391"/>
              <w:rPr>
                <w:b/>
                <w:sz w:val="24"/>
                <w:lang w:eastAsia="en-US"/>
              </w:rPr>
            </w:pPr>
            <w:r w:rsidRPr="004F1879">
              <w:rPr>
                <w:b/>
                <w:lang w:eastAsia="en-US"/>
              </w:rPr>
              <w:t xml:space="preserve">4.1 </w:t>
            </w:r>
            <w:r w:rsidRPr="004F1879">
              <w:rPr>
                <w:b/>
                <w:sz w:val="24"/>
                <w:lang w:eastAsia="en-US"/>
              </w:rPr>
              <w:t>Identifikujte, popíšte a kvantifikujte vplyv na hospodárenie domácností a špecifikujte ovplyvnené skupiny domácností, ktoré budú pozitívne/negatívne ovplyvnené.</w:t>
            </w:r>
          </w:p>
        </w:tc>
      </w:tr>
      <w:tr w:rsidR="00FC5A33" w:rsidRPr="00C457B2" w:rsidTr="00FC5A33">
        <w:trPr>
          <w:trHeight w:val="791"/>
        </w:trPr>
        <w:tc>
          <w:tcPr>
            <w:tcW w:w="9606" w:type="dxa"/>
            <w:gridSpan w:val="2"/>
            <w:shd w:val="clear" w:color="auto" w:fill="F1F1F1"/>
          </w:tcPr>
          <w:p w:rsidR="00FC5A33" w:rsidRPr="004F1879" w:rsidRDefault="00FC5A33" w:rsidP="00FC5A33">
            <w:pPr>
              <w:pStyle w:val="TableParagraph"/>
              <w:spacing w:before="14"/>
              <w:rPr>
                <w:i/>
                <w:sz w:val="20"/>
                <w:lang w:eastAsia="en-US"/>
              </w:rPr>
            </w:pPr>
            <w:r w:rsidRPr="004F1879">
              <w:rPr>
                <w:i/>
                <w:sz w:val="20"/>
                <w:lang w:eastAsia="en-US"/>
              </w:rPr>
              <w:t>Vedie návrh k zvýšeniu alebo zníženiu príjmov alebo výdavkov domácností?</w:t>
            </w:r>
          </w:p>
          <w:p w:rsidR="00FC5A33" w:rsidRPr="004F1879" w:rsidRDefault="00FC5A33" w:rsidP="00FC5A33">
            <w:pPr>
              <w:pStyle w:val="TableParagraph"/>
              <w:rPr>
                <w:i/>
                <w:sz w:val="20"/>
                <w:lang w:eastAsia="en-US"/>
              </w:rPr>
            </w:pPr>
            <w:r w:rsidRPr="004F1879">
              <w:rPr>
                <w:i/>
                <w:sz w:val="20"/>
                <w:lang w:eastAsia="en-US"/>
              </w:rPr>
              <w:t>Ktoré skupiny domácností/obyvateľstva sú takto ovplyvnené a akým spôsobom?</w:t>
            </w:r>
          </w:p>
          <w:p w:rsidR="00FC5A33" w:rsidRPr="004F1879" w:rsidRDefault="00FC5A33" w:rsidP="00FC5A33">
            <w:pPr>
              <w:pStyle w:val="TableParagraph"/>
              <w:rPr>
                <w:i/>
                <w:sz w:val="20"/>
                <w:lang w:eastAsia="en-US"/>
              </w:rPr>
            </w:pPr>
            <w:r w:rsidRPr="004F1879">
              <w:rPr>
                <w:i/>
                <w:sz w:val="20"/>
                <w:lang w:eastAsia="en-US"/>
              </w:rPr>
              <w:t>Sú medzi potenciálne ovplyvnenými skupinami skupiny v riziku chudoby alebo sociálneho vylúčenia?</w:t>
            </w:r>
          </w:p>
        </w:tc>
      </w:tr>
      <w:tr w:rsidR="00FC5A33" w:rsidRPr="00C457B2" w:rsidTr="00FC5A33">
        <w:trPr>
          <w:trHeight w:val="815"/>
        </w:trPr>
        <w:tc>
          <w:tcPr>
            <w:tcW w:w="4803" w:type="dxa"/>
            <w:tcBorders>
              <w:bottom w:val="dotted" w:sz="4" w:space="0" w:color="000000"/>
            </w:tcBorders>
          </w:tcPr>
          <w:p w:rsidR="00FC5A33" w:rsidRPr="004F1879" w:rsidRDefault="00FC5A33" w:rsidP="00FC5A33">
            <w:pPr>
              <w:pStyle w:val="TableParagraph"/>
              <w:spacing w:before="16"/>
              <w:ind w:right="467"/>
              <w:jc w:val="both"/>
              <w:rPr>
                <w:i/>
                <w:sz w:val="20"/>
                <w:lang w:eastAsia="en-US"/>
              </w:rPr>
            </w:pPr>
            <w:r w:rsidRPr="004F1879">
              <w:rPr>
                <w:i/>
                <w:sz w:val="20"/>
                <w:lang w:eastAsia="en-US"/>
              </w:rPr>
              <w:t xml:space="preserve">Popíšte </w:t>
            </w:r>
            <w:r w:rsidRPr="004F1879">
              <w:rPr>
                <w:b/>
                <w:i/>
                <w:sz w:val="20"/>
                <w:lang w:eastAsia="en-US"/>
              </w:rPr>
              <w:t xml:space="preserve">pozitívny </w:t>
            </w:r>
            <w:r w:rsidRPr="004F1879">
              <w:rPr>
                <w:i/>
                <w:sz w:val="20"/>
                <w:lang w:eastAsia="en-US"/>
              </w:rPr>
              <w:t>vplyv na hospodárenie domácností s uvedením, či ide o zvýšenie príjmov alebo zníženie výdavkov:</w:t>
            </w:r>
          </w:p>
        </w:tc>
        <w:tc>
          <w:tcPr>
            <w:tcW w:w="4803" w:type="dxa"/>
            <w:tcBorders>
              <w:bottom w:val="dotted" w:sz="4" w:space="0" w:color="000000"/>
            </w:tcBorders>
          </w:tcPr>
          <w:p w:rsidR="00FC5A33" w:rsidRPr="004F1879" w:rsidRDefault="00580176" w:rsidP="00FC5A33">
            <w:pPr>
              <w:pStyle w:val="TableParagraph"/>
              <w:spacing w:line="228" w:lineRule="exact"/>
              <w:ind w:left="108"/>
              <w:rPr>
                <w:sz w:val="20"/>
                <w:lang w:eastAsia="en-US"/>
              </w:rPr>
            </w:pPr>
            <w:r w:rsidRPr="008556A1">
              <w:rPr>
                <w:rFonts w:eastAsia="Calibri"/>
                <w:sz w:val="20"/>
                <w:szCs w:val="20"/>
              </w:rPr>
              <w:t>Domácnosti</w:t>
            </w:r>
            <w:r>
              <w:rPr>
                <w:rFonts w:eastAsia="Calibri"/>
                <w:sz w:val="20"/>
                <w:szCs w:val="20"/>
              </w:rPr>
              <w:t xml:space="preserve"> – oprávnené fyzické osoby –</w:t>
            </w:r>
            <w:r w:rsidRPr="008556A1">
              <w:rPr>
                <w:rFonts w:eastAsia="Calibri"/>
                <w:sz w:val="20"/>
                <w:szCs w:val="20"/>
              </w:rPr>
              <w:t xml:space="preserve"> </w:t>
            </w:r>
            <w:r>
              <w:rPr>
                <w:rFonts w:eastAsia="Calibri"/>
                <w:sz w:val="20"/>
                <w:szCs w:val="20"/>
              </w:rPr>
              <w:t>budú mať zabezpečené</w:t>
            </w:r>
            <w:r w:rsidRPr="008556A1">
              <w:rPr>
                <w:rFonts w:eastAsia="Calibri"/>
                <w:sz w:val="20"/>
                <w:szCs w:val="20"/>
              </w:rPr>
              <w:t xml:space="preserve"> nájomné bývanie.</w:t>
            </w:r>
          </w:p>
        </w:tc>
      </w:tr>
      <w:tr w:rsidR="00FC5A33" w:rsidRPr="00C457B2" w:rsidTr="00FC5A33">
        <w:trPr>
          <w:trHeight w:val="1204"/>
        </w:trPr>
        <w:tc>
          <w:tcPr>
            <w:tcW w:w="4803" w:type="dxa"/>
            <w:tcBorders>
              <w:top w:val="dotted" w:sz="4" w:space="0" w:color="000000"/>
            </w:tcBorders>
          </w:tcPr>
          <w:p w:rsidR="00FC5A33" w:rsidRPr="004F1879" w:rsidRDefault="00FC5A33" w:rsidP="00FC5A33">
            <w:pPr>
              <w:pStyle w:val="TableParagraph"/>
              <w:spacing w:before="14"/>
              <w:rPr>
                <w:i/>
                <w:sz w:val="20"/>
                <w:lang w:eastAsia="en-US"/>
              </w:rPr>
            </w:pPr>
            <w:r w:rsidRPr="004F1879">
              <w:rPr>
                <w:i/>
                <w:sz w:val="20"/>
                <w:lang w:eastAsia="en-US"/>
              </w:rPr>
              <w:t xml:space="preserve">Špecifikujte </w:t>
            </w:r>
            <w:r w:rsidRPr="004F1879">
              <w:rPr>
                <w:b/>
                <w:i/>
                <w:sz w:val="20"/>
                <w:lang w:eastAsia="en-US"/>
              </w:rPr>
              <w:t xml:space="preserve">pozitívne </w:t>
            </w:r>
            <w:r w:rsidRPr="004F1879">
              <w:rPr>
                <w:i/>
                <w:sz w:val="20"/>
                <w:lang w:eastAsia="en-US"/>
              </w:rPr>
              <w:t>ovplyvnené skupiny:</w:t>
            </w:r>
          </w:p>
        </w:tc>
        <w:tc>
          <w:tcPr>
            <w:tcW w:w="4803" w:type="dxa"/>
            <w:tcBorders>
              <w:top w:val="dotted" w:sz="4" w:space="0" w:color="000000"/>
            </w:tcBorders>
          </w:tcPr>
          <w:p w:rsidR="00FC5A33" w:rsidRPr="004F1879" w:rsidRDefault="00580176" w:rsidP="00580176">
            <w:pPr>
              <w:pStyle w:val="TableParagraph"/>
              <w:spacing w:line="228" w:lineRule="exact"/>
              <w:ind w:left="108"/>
              <w:rPr>
                <w:sz w:val="20"/>
                <w:lang w:eastAsia="en-US"/>
              </w:rPr>
            </w:pPr>
            <w:r>
              <w:rPr>
                <w:rFonts w:eastAsia="Calibri"/>
                <w:sz w:val="20"/>
                <w:szCs w:val="20"/>
              </w:rPr>
              <w:t xml:space="preserve">Zabezpečenie nájomného bývania pre oprávnené fyzické osoby </w:t>
            </w:r>
            <w:r w:rsidRPr="008556A1">
              <w:rPr>
                <w:rFonts w:eastAsia="Calibri"/>
                <w:sz w:val="20"/>
                <w:szCs w:val="20"/>
              </w:rPr>
              <w:t>v </w:t>
            </w:r>
            <w:r>
              <w:rPr>
                <w:rFonts w:eastAsia="Calibri"/>
                <w:sz w:val="20"/>
                <w:szCs w:val="20"/>
              </w:rPr>
              <w:t>bytovom dome, polyfunkčnom bytovom dome alebo v rodinnom dome.</w:t>
            </w:r>
          </w:p>
        </w:tc>
      </w:tr>
      <w:tr w:rsidR="00FC5A33" w:rsidRPr="00C457B2" w:rsidTr="00FC5A33">
        <w:trPr>
          <w:trHeight w:val="816"/>
        </w:trPr>
        <w:tc>
          <w:tcPr>
            <w:tcW w:w="4803" w:type="dxa"/>
            <w:tcBorders>
              <w:bottom w:val="dotted" w:sz="4" w:space="0" w:color="000000"/>
            </w:tcBorders>
          </w:tcPr>
          <w:p w:rsidR="00FC5A33" w:rsidRPr="004F1879" w:rsidRDefault="00FC5A33" w:rsidP="00FC5A33">
            <w:pPr>
              <w:pStyle w:val="TableParagraph"/>
              <w:spacing w:before="17"/>
              <w:ind w:right="383"/>
              <w:rPr>
                <w:i/>
                <w:sz w:val="20"/>
                <w:lang w:eastAsia="en-US"/>
              </w:rPr>
            </w:pPr>
            <w:r w:rsidRPr="004F1879">
              <w:rPr>
                <w:i/>
                <w:sz w:val="20"/>
                <w:lang w:eastAsia="en-US"/>
              </w:rPr>
              <w:t xml:space="preserve">Popíšte </w:t>
            </w:r>
            <w:r w:rsidRPr="004F1879">
              <w:rPr>
                <w:b/>
                <w:i/>
                <w:sz w:val="20"/>
                <w:lang w:eastAsia="en-US"/>
              </w:rPr>
              <w:t xml:space="preserve">negatívny </w:t>
            </w:r>
            <w:r w:rsidRPr="004F1879">
              <w:rPr>
                <w:i/>
                <w:sz w:val="20"/>
                <w:lang w:eastAsia="en-US"/>
              </w:rPr>
              <w:t>vplyv na hospodárenie domácností s uvedením, či ide o zníženie príjmov alebo zvýšenie výdavkov:</w:t>
            </w:r>
          </w:p>
        </w:tc>
        <w:tc>
          <w:tcPr>
            <w:tcW w:w="4803" w:type="dxa"/>
            <w:tcBorders>
              <w:bottom w:val="dotted" w:sz="4" w:space="0" w:color="000000"/>
            </w:tcBorders>
          </w:tcPr>
          <w:p w:rsidR="00FC5A33" w:rsidRPr="004F1879" w:rsidRDefault="00580176" w:rsidP="00580176">
            <w:pPr>
              <w:pStyle w:val="TableParagraph"/>
              <w:spacing w:line="228" w:lineRule="exact"/>
              <w:ind w:left="108"/>
              <w:rPr>
                <w:sz w:val="20"/>
                <w:lang w:eastAsia="en-US"/>
              </w:rPr>
            </w:pPr>
            <w:r w:rsidRPr="001A5B02">
              <w:rPr>
                <w:rFonts w:eastAsia="Calibri"/>
                <w:sz w:val="20"/>
                <w:szCs w:val="20"/>
              </w:rPr>
              <w:t>Bez vplyvu.</w:t>
            </w:r>
          </w:p>
        </w:tc>
      </w:tr>
      <w:tr w:rsidR="00FC5A33" w:rsidRPr="00C457B2" w:rsidTr="00FC5A33">
        <w:trPr>
          <w:trHeight w:val="678"/>
        </w:trPr>
        <w:tc>
          <w:tcPr>
            <w:tcW w:w="4803" w:type="dxa"/>
            <w:tcBorders>
              <w:top w:val="dotted" w:sz="4" w:space="0" w:color="000000"/>
            </w:tcBorders>
          </w:tcPr>
          <w:p w:rsidR="00FC5A33" w:rsidRPr="004F1879" w:rsidRDefault="00FC5A33" w:rsidP="00FC5A33">
            <w:pPr>
              <w:pStyle w:val="TableParagraph"/>
              <w:spacing w:before="16"/>
              <w:rPr>
                <w:i/>
                <w:sz w:val="20"/>
                <w:lang w:eastAsia="en-US"/>
              </w:rPr>
            </w:pPr>
            <w:r w:rsidRPr="004F1879">
              <w:rPr>
                <w:i/>
                <w:sz w:val="20"/>
                <w:lang w:eastAsia="en-US"/>
              </w:rPr>
              <w:t xml:space="preserve">Špecifikujte </w:t>
            </w:r>
            <w:r w:rsidRPr="004F1879">
              <w:rPr>
                <w:b/>
                <w:i/>
                <w:sz w:val="20"/>
                <w:lang w:eastAsia="en-US"/>
              </w:rPr>
              <w:t xml:space="preserve">negatívne </w:t>
            </w:r>
            <w:r w:rsidRPr="004F1879">
              <w:rPr>
                <w:i/>
                <w:sz w:val="20"/>
                <w:lang w:eastAsia="en-US"/>
              </w:rPr>
              <w:t>ovplyvnené skupiny:</w:t>
            </w:r>
          </w:p>
        </w:tc>
        <w:tc>
          <w:tcPr>
            <w:tcW w:w="4803" w:type="dxa"/>
            <w:tcBorders>
              <w:top w:val="dotted" w:sz="4" w:space="0" w:color="000000"/>
            </w:tcBorders>
          </w:tcPr>
          <w:p w:rsidR="00FC5A33" w:rsidRPr="004F1879" w:rsidRDefault="00FC5A33" w:rsidP="00FC5A33">
            <w:pPr>
              <w:pStyle w:val="TableParagraph"/>
              <w:ind w:left="0"/>
              <w:rPr>
                <w:sz w:val="20"/>
                <w:lang w:eastAsia="en-US"/>
              </w:rPr>
            </w:pPr>
          </w:p>
        </w:tc>
      </w:tr>
      <w:tr w:rsidR="00FC5A33" w:rsidRPr="00C457B2" w:rsidTr="00FC5A33">
        <w:trPr>
          <w:trHeight w:val="736"/>
        </w:trPr>
        <w:tc>
          <w:tcPr>
            <w:tcW w:w="4803" w:type="dxa"/>
          </w:tcPr>
          <w:p w:rsidR="00FC5A33" w:rsidRPr="004F1879" w:rsidRDefault="00FC5A33" w:rsidP="00FC5A33">
            <w:pPr>
              <w:pStyle w:val="TableParagraph"/>
              <w:spacing w:before="16"/>
              <w:ind w:right="211"/>
              <w:rPr>
                <w:i/>
                <w:sz w:val="20"/>
                <w:lang w:eastAsia="en-US"/>
              </w:rPr>
            </w:pPr>
            <w:r w:rsidRPr="004F1879">
              <w:rPr>
                <w:i/>
                <w:sz w:val="20"/>
                <w:lang w:eastAsia="en-US"/>
              </w:rPr>
              <w:t xml:space="preserve">Špecifikujte ovplyvnené skupiny </w:t>
            </w:r>
            <w:r w:rsidRPr="004F1879">
              <w:rPr>
                <w:b/>
                <w:i/>
                <w:sz w:val="20"/>
                <w:lang w:eastAsia="en-US"/>
              </w:rPr>
              <w:t xml:space="preserve">v riziku chudoby alebo sociálneho vylúčenia </w:t>
            </w:r>
            <w:r w:rsidRPr="004F1879">
              <w:rPr>
                <w:i/>
                <w:sz w:val="20"/>
                <w:lang w:eastAsia="en-US"/>
              </w:rPr>
              <w:t>a popíšte vplyv:</w:t>
            </w:r>
          </w:p>
        </w:tc>
        <w:tc>
          <w:tcPr>
            <w:tcW w:w="4803" w:type="dxa"/>
          </w:tcPr>
          <w:p w:rsidR="00FC5A33" w:rsidRPr="004F1879" w:rsidRDefault="00FC5A33" w:rsidP="00FC5A33">
            <w:pPr>
              <w:pStyle w:val="TableParagraph"/>
              <w:ind w:left="0"/>
              <w:rPr>
                <w:sz w:val="20"/>
                <w:lang w:eastAsia="en-US"/>
              </w:rPr>
            </w:pPr>
          </w:p>
        </w:tc>
      </w:tr>
      <w:tr w:rsidR="00FC5A33" w:rsidRPr="00C457B2" w:rsidTr="00FC5A33">
        <w:trPr>
          <w:trHeight w:val="976"/>
        </w:trPr>
        <w:tc>
          <w:tcPr>
            <w:tcW w:w="9606" w:type="dxa"/>
            <w:gridSpan w:val="2"/>
            <w:shd w:val="clear" w:color="auto" w:fill="F1F1F1"/>
          </w:tcPr>
          <w:p w:rsidR="00FC5A33" w:rsidRPr="004F1879" w:rsidRDefault="00FC5A33" w:rsidP="00FC5A33">
            <w:pPr>
              <w:pStyle w:val="TableParagraph"/>
              <w:spacing w:before="16"/>
              <w:ind w:right="80"/>
              <w:rPr>
                <w:i/>
                <w:sz w:val="20"/>
                <w:lang w:eastAsia="en-US"/>
              </w:rPr>
            </w:pPr>
            <w:r w:rsidRPr="004F1879">
              <w:rPr>
                <w:i/>
                <w:sz w:val="20"/>
                <w:lang w:eastAsia="en-US"/>
              </w:rPr>
              <w:t>Kvantifikujte rast alebo pokles príjmov/výdavkov za jednotlivé ovplyvnené skupiny domácností / skupiny jednotlivcov a počet obyvateľstva/domácností ovplyvnených predkladaným materiálom.</w:t>
            </w:r>
          </w:p>
          <w:p w:rsidR="00FC5A33" w:rsidRPr="004F1879" w:rsidRDefault="00FC5A33" w:rsidP="00FC5A33">
            <w:pPr>
              <w:pStyle w:val="TableParagraph"/>
              <w:spacing w:before="1"/>
              <w:ind w:right="2944"/>
              <w:rPr>
                <w:i/>
                <w:sz w:val="20"/>
                <w:lang w:eastAsia="en-US"/>
              </w:rPr>
            </w:pPr>
            <w:r w:rsidRPr="004F1879">
              <w:rPr>
                <w:i/>
                <w:sz w:val="20"/>
                <w:lang w:eastAsia="en-US"/>
              </w:rPr>
              <w:t>V prípade vyššieho počtu ovplyvnených skupín doplňte do tabuľky ďalšie riadky. V prípade, ak neuvádzate kvantifikáciu, uveďte dôvod.</w:t>
            </w:r>
          </w:p>
        </w:tc>
      </w:tr>
      <w:tr w:rsidR="00FC5A33" w:rsidRPr="00C457B2" w:rsidTr="00FC5A33">
        <w:trPr>
          <w:trHeight w:val="342"/>
        </w:trPr>
        <w:tc>
          <w:tcPr>
            <w:tcW w:w="9606" w:type="dxa"/>
            <w:gridSpan w:val="2"/>
          </w:tcPr>
          <w:p w:rsidR="00FC5A33" w:rsidRPr="004F1879" w:rsidRDefault="00FC5A33" w:rsidP="00FC5A33">
            <w:pPr>
              <w:pStyle w:val="TableParagraph"/>
              <w:spacing w:before="21"/>
              <w:rPr>
                <w:b/>
                <w:i/>
                <w:sz w:val="20"/>
                <w:lang w:eastAsia="en-US"/>
              </w:rPr>
            </w:pPr>
            <w:r w:rsidRPr="004F1879">
              <w:rPr>
                <w:b/>
                <w:i/>
                <w:sz w:val="20"/>
                <w:lang w:eastAsia="en-US"/>
              </w:rPr>
              <w:t>Ovplyvnená skupina č. 1:</w:t>
            </w:r>
          </w:p>
        </w:tc>
      </w:tr>
      <w:tr w:rsidR="00FC5A33" w:rsidRPr="00C457B2" w:rsidTr="00FC5A33">
        <w:trPr>
          <w:trHeight w:val="746"/>
        </w:trPr>
        <w:tc>
          <w:tcPr>
            <w:tcW w:w="4803" w:type="dxa"/>
            <w:tcBorders>
              <w:bottom w:val="single" w:sz="4" w:space="0" w:color="BEBEBE"/>
            </w:tcBorders>
          </w:tcPr>
          <w:p w:rsidR="00FC5A33" w:rsidRPr="004F1879" w:rsidRDefault="00FC5A33" w:rsidP="00FC5A33">
            <w:pPr>
              <w:pStyle w:val="TableParagraph"/>
              <w:spacing w:before="16" w:line="229" w:lineRule="exact"/>
              <w:rPr>
                <w:i/>
                <w:sz w:val="20"/>
                <w:lang w:eastAsia="en-US"/>
              </w:rPr>
            </w:pPr>
            <w:r w:rsidRPr="004F1879">
              <w:rPr>
                <w:i/>
                <w:sz w:val="20"/>
                <w:lang w:eastAsia="en-US"/>
              </w:rPr>
              <w:t>Pozitívny vplyv - priemerný rast príjmov/ pokles</w:t>
            </w:r>
          </w:p>
          <w:p w:rsidR="00FC5A33" w:rsidRPr="004F1879" w:rsidRDefault="00FC5A33" w:rsidP="00FC5A33">
            <w:pPr>
              <w:pStyle w:val="TableParagraph"/>
              <w:spacing w:line="229" w:lineRule="exact"/>
              <w:rPr>
                <w:i/>
                <w:sz w:val="20"/>
                <w:lang w:eastAsia="en-US"/>
              </w:rPr>
            </w:pPr>
            <w:r w:rsidRPr="004F1879">
              <w:rPr>
                <w:i/>
                <w:sz w:val="20"/>
                <w:lang w:eastAsia="en-US"/>
              </w:rPr>
              <w:t>výdavkov v skupine v eurách a/alebo v % / obdobie:</w:t>
            </w:r>
          </w:p>
        </w:tc>
        <w:tc>
          <w:tcPr>
            <w:tcW w:w="4803" w:type="dxa"/>
            <w:tcBorders>
              <w:bottom w:val="single" w:sz="4" w:space="0" w:color="D9D9D9"/>
            </w:tcBorders>
          </w:tcPr>
          <w:p w:rsidR="00FC5A33" w:rsidRPr="004F1879" w:rsidRDefault="00580176" w:rsidP="00FC5A33">
            <w:pPr>
              <w:pStyle w:val="TableParagraph"/>
              <w:spacing w:before="16"/>
              <w:ind w:left="108" w:right="95"/>
              <w:jc w:val="both"/>
              <w:rPr>
                <w:sz w:val="20"/>
                <w:lang w:eastAsia="en-US"/>
              </w:rPr>
            </w:pPr>
            <w:r>
              <w:rPr>
                <w:rFonts w:eastAsia="Calibri"/>
                <w:sz w:val="20"/>
                <w:szCs w:val="20"/>
              </w:rPr>
              <w:t xml:space="preserve">Podľa odborného odhadu </w:t>
            </w:r>
            <w:r w:rsidRPr="00E919A6">
              <w:rPr>
                <w:rFonts w:eastAsia="Calibri"/>
                <w:sz w:val="20"/>
                <w:szCs w:val="20"/>
              </w:rPr>
              <w:t xml:space="preserve">ušetria </w:t>
            </w:r>
            <w:r>
              <w:rPr>
                <w:rFonts w:eastAsia="Calibri"/>
                <w:sz w:val="20"/>
                <w:szCs w:val="20"/>
              </w:rPr>
              <w:t xml:space="preserve">oprávnené fyzické osoby v priemere </w:t>
            </w:r>
            <w:r w:rsidRPr="00E919A6">
              <w:rPr>
                <w:rFonts w:eastAsia="Calibri"/>
                <w:sz w:val="20"/>
                <w:szCs w:val="20"/>
              </w:rPr>
              <w:t xml:space="preserve">cca 200 eur </w:t>
            </w:r>
            <w:r>
              <w:rPr>
                <w:rFonts w:eastAsia="Calibri"/>
                <w:sz w:val="20"/>
                <w:szCs w:val="20"/>
              </w:rPr>
              <w:t>mesačne</w:t>
            </w:r>
            <w:r w:rsidRPr="00E919A6">
              <w:rPr>
                <w:rFonts w:eastAsia="Calibri"/>
                <w:sz w:val="20"/>
                <w:szCs w:val="20"/>
              </w:rPr>
              <w:t xml:space="preserve"> na nájomnom</w:t>
            </w:r>
            <w:r>
              <w:rPr>
                <w:rFonts w:eastAsia="Calibri"/>
                <w:sz w:val="20"/>
                <w:szCs w:val="20"/>
              </w:rPr>
              <w:t xml:space="preserve"> </w:t>
            </w:r>
            <w:r w:rsidRPr="00E919A6">
              <w:rPr>
                <w:rFonts w:eastAsia="Calibri"/>
                <w:sz w:val="20"/>
                <w:szCs w:val="20"/>
              </w:rPr>
              <w:t>za</w:t>
            </w:r>
            <w:r>
              <w:rPr>
                <w:rFonts w:eastAsia="Calibri"/>
                <w:sz w:val="20"/>
                <w:szCs w:val="20"/>
              </w:rPr>
              <w:t> </w:t>
            </w:r>
            <w:r w:rsidRPr="00E919A6">
              <w:rPr>
                <w:rFonts w:eastAsia="Calibri"/>
                <w:sz w:val="20"/>
                <w:szCs w:val="20"/>
              </w:rPr>
              <w:t>nájom bytu obstaraného z verejných zdrojov oproti trhovému nájomnému za byt.</w:t>
            </w:r>
          </w:p>
        </w:tc>
      </w:tr>
      <w:tr w:rsidR="00FC5A33" w:rsidRPr="00C457B2" w:rsidTr="00FC5A33">
        <w:trPr>
          <w:trHeight w:val="551"/>
        </w:trPr>
        <w:tc>
          <w:tcPr>
            <w:tcW w:w="4803" w:type="dxa"/>
            <w:tcBorders>
              <w:top w:val="single" w:sz="4" w:space="0" w:color="BEBEBE"/>
              <w:bottom w:val="single" w:sz="4" w:space="0" w:color="BEBEBE"/>
            </w:tcBorders>
          </w:tcPr>
          <w:p w:rsidR="00FC5A33" w:rsidRPr="004F1879" w:rsidRDefault="00FC5A33" w:rsidP="00FC5A33">
            <w:pPr>
              <w:pStyle w:val="TableParagraph"/>
              <w:spacing w:before="14"/>
              <w:rPr>
                <w:i/>
                <w:sz w:val="20"/>
                <w:lang w:eastAsia="en-US"/>
              </w:rPr>
            </w:pPr>
            <w:r w:rsidRPr="004F1879">
              <w:rPr>
                <w:i/>
                <w:sz w:val="20"/>
                <w:lang w:eastAsia="en-US"/>
              </w:rPr>
              <w:t>Negatívny vplyv - priemerný pokles príjmov/ rast</w:t>
            </w:r>
          </w:p>
          <w:p w:rsidR="00FC5A33" w:rsidRPr="004F1879" w:rsidRDefault="00FC5A33" w:rsidP="00FC5A33">
            <w:pPr>
              <w:pStyle w:val="TableParagraph"/>
              <w:rPr>
                <w:i/>
                <w:sz w:val="20"/>
                <w:lang w:eastAsia="en-US"/>
              </w:rPr>
            </w:pPr>
            <w:r w:rsidRPr="004F1879">
              <w:rPr>
                <w:i/>
                <w:sz w:val="20"/>
                <w:lang w:eastAsia="en-US"/>
              </w:rPr>
              <w:t>výdavkov v skupine v eurách a/alebo v % / obdobie:</w:t>
            </w:r>
          </w:p>
        </w:tc>
        <w:tc>
          <w:tcPr>
            <w:tcW w:w="4803" w:type="dxa"/>
            <w:tcBorders>
              <w:top w:val="single" w:sz="4" w:space="0" w:color="D9D9D9"/>
              <w:bottom w:val="single" w:sz="4" w:space="0" w:color="BEBEBE"/>
            </w:tcBorders>
          </w:tcPr>
          <w:p w:rsidR="00FC5A33" w:rsidRPr="004F1879" w:rsidRDefault="00580176" w:rsidP="00580176">
            <w:pPr>
              <w:pStyle w:val="TableParagraph"/>
              <w:spacing w:before="16"/>
              <w:ind w:left="108" w:right="95"/>
              <w:jc w:val="both"/>
              <w:rPr>
                <w:sz w:val="20"/>
                <w:lang w:eastAsia="en-US"/>
              </w:rPr>
            </w:pPr>
            <w:r w:rsidRPr="001A5B02">
              <w:rPr>
                <w:rFonts w:eastAsia="Calibri"/>
                <w:sz w:val="20"/>
                <w:szCs w:val="20"/>
              </w:rPr>
              <w:t>Bez vplyvu.</w:t>
            </w:r>
          </w:p>
        </w:tc>
      </w:tr>
      <w:tr w:rsidR="00FC5A33" w:rsidRPr="00C457B2" w:rsidTr="00FC5A33">
        <w:trPr>
          <w:trHeight w:val="745"/>
        </w:trPr>
        <w:tc>
          <w:tcPr>
            <w:tcW w:w="4803" w:type="dxa"/>
            <w:tcBorders>
              <w:top w:val="single" w:sz="4" w:space="0" w:color="BEBEBE"/>
            </w:tcBorders>
          </w:tcPr>
          <w:p w:rsidR="00FC5A33" w:rsidRPr="004F1879" w:rsidRDefault="00FC5A33" w:rsidP="00FC5A33">
            <w:pPr>
              <w:pStyle w:val="TableParagraph"/>
              <w:spacing w:before="16"/>
              <w:rPr>
                <w:i/>
                <w:sz w:val="20"/>
                <w:lang w:eastAsia="en-US"/>
              </w:rPr>
            </w:pPr>
            <w:r w:rsidRPr="004F1879">
              <w:rPr>
                <w:i/>
                <w:sz w:val="20"/>
                <w:lang w:eastAsia="en-US"/>
              </w:rPr>
              <w:t>Veľkosť skupiny (počet obyvateľov):</w:t>
            </w:r>
          </w:p>
        </w:tc>
        <w:tc>
          <w:tcPr>
            <w:tcW w:w="4803" w:type="dxa"/>
            <w:tcBorders>
              <w:top w:val="single" w:sz="4" w:space="0" w:color="BEBEBE"/>
            </w:tcBorders>
          </w:tcPr>
          <w:p w:rsidR="00FC5A33" w:rsidRPr="004F1879" w:rsidRDefault="00580176" w:rsidP="00580176">
            <w:pPr>
              <w:pStyle w:val="TableParagraph"/>
              <w:spacing w:before="16"/>
              <w:ind w:left="108" w:right="95"/>
              <w:jc w:val="both"/>
              <w:rPr>
                <w:sz w:val="20"/>
                <w:lang w:eastAsia="en-US"/>
              </w:rPr>
            </w:pPr>
            <w:r w:rsidRPr="00DE15A7">
              <w:rPr>
                <w:rFonts w:eastAsia="Calibri"/>
                <w:sz w:val="20"/>
                <w:szCs w:val="20"/>
              </w:rPr>
              <w:t>Vzhľadom na objem predpokladaných výdavkov zo</w:t>
            </w:r>
            <w:r>
              <w:rPr>
                <w:rFonts w:eastAsia="Calibri"/>
                <w:sz w:val="20"/>
                <w:szCs w:val="20"/>
              </w:rPr>
              <w:t> </w:t>
            </w:r>
            <w:r w:rsidRPr="00DE15A7">
              <w:rPr>
                <w:rFonts w:eastAsia="Calibri"/>
                <w:sz w:val="20"/>
                <w:szCs w:val="20"/>
              </w:rPr>
              <w:t xml:space="preserve">štátneho rozpočtu návrh môže ovplyvniť cca </w:t>
            </w:r>
            <w:r>
              <w:rPr>
                <w:rFonts w:eastAsia="Calibri"/>
                <w:sz w:val="20"/>
                <w:szCs w:val="20"/>
              </w:rPr>
              <w:t>2 500</w:t>
            </w:r>
            <w:r w:rsidRPr="00DE15A7">
              <w:rPr>
                <w:rFonts w:eastAsia="Calibri"/>
                <w:sz w:val="20"/>
                <w:szCs w:val="20"/>
              </w:rPr>
              <w:t xml:space="preserve"> </w:t>
            </w:r>
            <w:r>
              <w:rPr>
                <w:rFonts w:eastAsia="Calibri"/>
                <w:sz w:val="20"/>
                <w:szCs w:val="20"/>
              </w:rPr>
              <w:t>fyzických osôb</w:t>
            </w:r>
            <w:r w:rsidRPr="00DE15A7">
              <w:rPr>
                <w:rFonts w:eastAsia="Calibri"/>
                <w:sz w:val="20"/>
                <w:szCs w:val="20"/>
              </w:rPr>
              <w:t>.</w:t>
            </w:r>
          </w:p>
        </w:tc>
      </w:tr>
      <w:tr w:rsidR="00FC5A33" w:rsidRPr="00C457B2" w:rsidTr="00FC5A33">
        <w:trPr>
          <w:trHeight w:val="321"/>
        </w:trPr>
        <w:tc>
          <w:tcPr>
            <w:tcW w:w="9606" w:type="dxa"/>
            <w:gridSpan w:val="2"/>
          </w:tcPr>
          <w:p w:rsidR="00FC5A33" w:rsidRPr="004F1879" w:rsidRDefault="00FC5A33" w:rsidP="00FC5A33">
            <w:pPr>
              <w:pStyle w:val="TableParagraph"/>
              <w:spacing w:before="21"/>
              <w:rPr>
                <w:b/>
                <w:i/>
                <w:sz w:val="20"/>
                <w:lang w:eastAsia="en-US"/>
              </w:rPr>
            </w:pPr>
            <w:r w:rsidRPr="004F1879">
              <w:rPr>
                <w:b/>
                <w:i/>
                <w:sz w:val="20"/>
                <w:lang w:eastAsia="en-US"/>
              </w:rPr>
              <w:t>Ovplyvnená skupina č. 2:</w:t>
            </w:r>
          </w:p>
        </w:tc>
      </w:tr>
      <w:tr w:rsidR="00FC5A33" w:rsidRPr="00C457B2" w:rsidTr="00FC5A33">
        <w:trPr>
          <w:trHeight w:val="642"/>
        </w:trPr>
        <w:tc>
          <w:tcPr>
            <w:tcW w:w="4803" w:type="dxa"/>
            <w:tcBorders>
              <w:bottom w:val="single" w:sz="4" w:space="0" w:color="BEBEBE"/>
            </w:tcBorders>
          </w:tcPr>
          <w:p w:rsidR="00FC5A33" w:rsidRPr="004F1879" w:rsidRDefault="00FC5A33" w:rsidP="00FC5A33">
            <w:pPr>
              <w:pStyle w:val="TableParagraph"/>
              <w:spacing w:before="16"/>
              <w:rPr>
                <w:i/>
                <w:sz w:val="20"/>
                <w:lang w:eastAsia="en-US"/>
              </w:rPr>
            </w:pPr>
            <w:r w:rsidRPr="004F1879">
              <w:rPr>
                <w:i/>
                <w:sz w:val="20"/>
                <w:lang w:eastAsia="en-US"/>
              </w:rPr>
              <w:t>Pozitívny vplyv - priemerný rast príjmov/pokles</w:t>
            </w:r>
          </w:p>
          <w:p w:rsidR="00FC5A33" w:rsidRPr="004F1879" w:rsidRDefault="00FC5A33" w:rsidP="00FC5A33">
            <w:pPr>
              <w:pStyle w:val="TableParagraph"/>
              <w:rPr>
                <w:i/>
                <w:sz w:val="20"/>
                <w:lang w:eastAsia="en-US"/>
              </w:rPr>
            </w:pPr>
            <w:r w:rsidRPr="004F1879">
              <w:rPr>
                <w:i/>
                <w:sz w:val="20"/>
                <w:lang w:eastAsia="en-US"/>
              </w:rPr>
              <w:t>výdavkov v skupine v eurách a/alebo v % / obdobie:</w:t>
            </w:r>
          </w:p>
        </w:tc>
        <w:tc>
          <w:tcPr>
            <w:tcW w:w="4803" w:type="dxa"/>
            <w:tcBorders>
              <w:bottom w:val="single" w:sz="4" w:space="0" w:color="BEBEBE"/>
            </w:tcBorders>
          </w:tcPr>
          <w:p w:rsidR="00FC5A33" w:rsidRPr="00580176" w:rsidRDefault="00580176" w:rsidP="00580176">
            <w:pPr>
              <w:pStyle w:val="TableParagraph"/>
              <w:spacing w:before="16"/>
              <w:ind w:left="108" w:right="95"/>
              <w:jc w:val="both"/>
              <w:rPr>
                <w:rFonts w:eastAsia="Calibri"/>
                <w:sz w:val="20"/>
                <w:szCs w:val="20"/>
              </w:rPr>
            </w:pPr>
            <w:r w:rsidRPr="001A5B02">
              <w:rPr>
                <w:rFonts w:eastAsia="Calibri"/>
                <w:sz w:val="20"/>
                <w:szCs w:val="20"/>
              </w:rPr>
              <w:t>Bez vplyvu.</w:t>
            </w:r>
          </w:p>
        </w:tc>
      </w:tr>
      <w:tr w:rsidR="00FC5A33" w:rsidRPr="00C457B2" w:rsidTr="00FC5A33">
        <w:trPr>
          <w:trHeight w:val="554"/>
        </w:trPr>
        <w:tc>
          <w:tcPr>
            <w:tcW w:w="4803" w:type="dxa"/>
            <w:tcBorders>
              <w:top w:val="single" w:sz="4" w:space="0" w:color="BEBEBE"/>
              <w:bottom w:val="single" w:sz="4" w:space="0" w:color="BEBEBE"/>
            </w:tcBorders>
          </w:tcPr>
          <w:p w:rsidR="00FC5A33" w:rsidRPr="004F1879" w:rsidRDefault="00FC5A33" w:rsidP="00FC5A33">
            <w:pPr>
              <w:pStyle w:val="TableParagraph"/>
              <w:spacing w:before="16"/>
              <w:rPr>
                <w:i/>
                <w:sz w:val="20"/>
                <w:lang w:eastAsia="en-US"/>
              </w:rPr>
            </w:pPr>
            <w:r w:rsidRPr="004F1879">
              <w:rPr>
                <w:i/>
                <w:sz w:val="20"/>
                <w:lang w:eastAsia="en-US"/>
              </w:rPr>
              <w:t>Negatívny vplyv - priemerný pokles príjmov/ rast</w:t>
            </w:r>
          </w:p>
          <w:p w:rsidR="00FC5A33" w:rsidRPr="004F1879" w:rsidRDefault="00FC5A33" w:rsidP="00FC5A33">
            <w:pPr>
              <w:pStyle w:val="TableParagraph"/>
              <w:rPr>
                <w:i/>
                <w:sz w:val="20"/>
                <w:lang w:eastAsia="en-US"/>
              </w:rPr>
            </w:pPr>
            <w:r w:rsidRPr="004F1879">
              <w:rPr>
                <w:i/>
                <w:sz w:val="20"/>
                <w:lang w:eastAsia="en-US"/>
              </w:rPr>
              <w:t>výdavkov v skupine v eurách a/alebo v % / obdobie:</w:t>
            </w:r>
          </w:p>
        </w:tc>
        <w:tc>
          <w:tcPr>
            <w:tcW w:w="4803" w:type="dxa"/>
            <w:tcBorders>
              <w:top w:val="single" w:sz="4" w:space="0" w:color="BEBEBE"/>
              <w:bottom w:val="single" w:sz="4" w:space="0" w:color="BEBEBE"/>
            </w:tcBorders>
          </w:tcPr>
          <w:p w:rsidR="00FC5A33" w:rsidRPr="00580176" w:rsidRDefault="00580176" w:rsidP="00580176">
            <w:pPr>
              <w:pStyle w:val="TableParagraph"/>
              <w:spacing w:before="16"/>
              <w:ind w:left="108" w:right="95"/>
              <w:jc w:val="both"/>
              <w:rPr>
                <w:rFonts w:eastAsia="Calibri"/>
                <w:sz w:val="20"/>
                <w:szCs w:val="20"/>
              </w:rPr>
            </w:pPr>
            <w:r w:rsidRPr="001A5B02">
              <w:rPr>
                <w:rFonts w:eastAsia="Calibri"/>
                <w:sz w:val="20"/>
                <w:szCs w:val="20"/>
              </w:rPr>
              <w:t>Bez vplyvu.</w:t>
            </w:r>
          </w:p>
        </w:tc>
      </w:tr>
      <w:tr w:rsidR="00FC5A33" w:rsidRPr="00C457B2" w:rsidTr="00FC5A33">
        <w:trPr>
          <w:trHeight w:val="419"/>
        </w:trPr>
        <w:tc>
          <w:tcPr>
            <w:tcW w:w="4803" w:type="dxa"/>
            <w:tcBorders>
              <w:top w:val="single" w:sz="4" w:space="0" w:color="BEBEBE"/>
            </w:tcBorders>
          </w:tcPr>
          <w:p w:rsidR="00FC5A33" w:rsidRPr="004F1879" w:rsidRDefault="00FC5A33" w:rsidP="00FC5A33">
            <w:pPr>
              <w:pStyle w:val="TableParagraph"/>
              <w:spacing w:before="16"/>
              <w:rPr>
                <w:i/>
                <w:sz w:val="20"/>
                <w:lang w:eastAsia="en-US"/>
              </w:rPr>
            </w:pPr>
            <w:r w:rsidRPr="004F1879">
              <w:rPr>
                <w:i/>
                <w:sz w:val="20"/>
                <w:lang w:eastAsia="en-US"/>
              </w:rPr>
              <w:t>Veľkosť skupiny (počet obyvateľov):</w:t>
            </w:r>
          </w:p>
        </w:tc>
        <w:tc>
          <w:tcPr>
            <w:tcW w:w="4803" w:type="dxa"/>
            <w:tcBorders>
              <w:top w:val="single" w:sz="4" w:space="0" w:color="BEBEBE"/>
            </w:tcBorders>
          </w:tcPr>
          <w:p w:rsidR="00FC5A33" w:rsidRPr="004F1879" w:rsidRDefault="00FC5A33" w:rsidP="00FC5A33">
            <w:pPr>
              <w:pStyle w:val="TableParagraph"/>
              <w:ind w:left="0"/>
              <w:rPr>
                <w:sz w:val="20"/>
                <w:lang w:eastAsia="en-US"/>
              </w:rPr>
            </w:pPr>
          </w:p>
        </w:tc>
      </w:tr>
      <w:tr w:rsidR="00FC5A33" w:rsidRPr="00C457B2" w:rsidTr="00FC5A33">
        <w:trPr>
          <w:trHeight w:val="396"/>
        </w:trPr>
        <w:tc>
          <w:tcPr>
            <w:tcW w:w="4803" w:type="dxa"/>
          </w:tcPr>
          <w:p w:rsidR="00FC5A33" w:rsidRPr="004F1879" w:rsidRDefault="00FC5A33" w:rsidP="00FC5A33">
            <w:pPr>
              <w:pStyle w:val="TableParagraph"/>
              <w:spacing w:before="14"/>
              <w:rPr>
                <w:i/>
                <w:sz w:val="20"/>
                <w:lang w:eastAsia="en-US"/>
              </w:rPr>
            </w:pPr>
            <w:r w:rsidRPr="004F1879">
              <w:rPr>
                <w:i/>
                <w:sz w:val="20"/>
                <w:lang w:eastAsia="en-US"/>
              </w:rPr>
              <w:t>Dôvod chýbajúcej kvantifikácie:</w:t>
            </w:r>
          </w:p>
        </w:tc>
        <w:tc>
          <w:tcPr>
            <w:tcW w:w="4803" w:type="dxa"/>
          </w:tcPr>
          <w:p w:rsidR="00FC5A33" w:rsidRPr="004F1879" w:rsidRDefault="00FC5A33" w:rsidP="00FC5A33">
            <w:pPr>
              <w:pStyle w:val="TableParagraph"/>
              <w:ind w:left="0"/>
              <w:rPr>
                <w:sz w:val="20"/>
                <w:lang w:eastAsia="en-US"/>
              </w:rPr>
            </w:pPr>
          </w:p>
        </w:tc>
      </w:tr>
      <w:tr w:rsidR="00FC5A33" w:rsidRPr="00C457B2" w:rsidTr="00FC5A33">
        <w:trPr>
          <w:trHeight w:val="1206"/>
        </w:trPr>
        <w:tc>
          <w:tcPr>
            <w:tcW w:w="4803" w:type="dxa"/>
          </w:tcPr>
          <w:p w:rsidR="00FC5A33" w:rsidRPr="004F1879" w:rsidRDefault="00FC5A33" w:rsidP="00FC5A33">
            <w:pPr>
              <w:pStyle w:val="TableParagraph"/>
              <w:spacing w:before="16"/>
              <w:ind w:right="95"/>
              <w:jc w:val="both"/>
              <w:rPr>
                <w:i/>
                <w:sz w:val="20"/>
                <w:lang w:eastAsia="en-US"/>
              </w:rPr>
            </w:pPr>
            <w:r w:rsidRPr="004F1879">
              <w:rPr>
                <w:i/>
                <w:sz w:val="20"/>
                <w:lang w:eastAsia="en-US"/>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4803" w:type="dxa"/>
          </w:tcPr>
          <w:p w:rsidR="00FC5A33" w:rsidRPr="004F1879" w:rsidRDefault="00FC5A33" w:rsidP="00FC5A33">
            <w:pPr>
              <w:pStyle w:val="TableParagraph"/>
              <w:ind w:left="0"/>
              <w:rPr>
                <w:sz w:val="20"/>
                <w:lang w:eastAsia="en-US"/>
              </w:rPr>
            </w:pPr>
          </w:p>
        </w:tc>
      </w:tr>
    </w:tbl>
    <w:p w:rsidR="00FC5A33" w:rsidRPr="00C457B2" w:rsidRDefault="00FC5A33" w:rsidP="00FC5A33">
      <w:pPr>
        <w:rPr>
          <w:sz w:val="20"/>
        </w:rPr>
        <w:sectPr w:rsidR="00FC5A33" w:rsidRPr="00C457B2" w:rsidSect="00DE7434">
          <w:pgSz w:w="11910" w:h="16840"/>
          <w:pgMar w:top="1120" w:right="1040" w:bottom="720" w:left="1040" w:header="708" w:footer="536" w:gutter="0"/>
          <w:pgNumType w:start="10"/>
          <w:cols w:space="708"/>
          <w:docGrid w:linePitch="326"/>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1"/>
        <w:gridCol w:w="5775"/>
      </w:tblGrid>
      <w:tr w:rsidR="00FC5A33" w:rsidRPr="00C457B2" w:rsidTr="00FC5A33">
        <w:trPr>
          <w:trHeight w:val="609"/>
        </w:trPr>
        <w:tc>
          <w:tcPr>
            <w:tcW w:w="9606" w:type="dxa"/>
            <w:gridSpan w:val="2"/>
            <w:shd w:val="clear" w:color="auto" w:fill="D9D9D9"/>
          </w:tcPr>
          <w:p w:rsidR="00FC5A33" w:rsidRPr="004F1879" w:rsidRDefault="00FC5A33" w:rsidP="00FC5A33">
            <w:pPr>
              <w:pStyle w:val="TableParagraph"/>
              <w:spacing w:before="19"/>
              <w:rPr>
                <w:b/>
                <w:sz w:val="24"/>
                <w:lang w:eastAsia="en-US"/>
              </w:rPr>
            </w:pPr>
            <w:r w:rsidRPr="004F1879">
              <w:rPr>
                <w:b/>
                <w:sz w:val="24"/>
                <w:lang w:eastAsia="en-US"/>
              </w:rPr>
              <w:t>4.2 Identifikujte, popíšte a kvantifikujte vplyvy na prístup k zdrojom, právam, tovarom a službám u jednotlivých ovplyvnených skupín obyvateľstva a vplyv na sociálnu inklúziu.</w:t>
            </w:r>
          </w:p>
        </w:tc>
      </w:tr>
      <w:tr w:rsidR="00FC5A33" w:rsidRPr="00C457B2" w:rsidTr="00FC5A33">
        <w:trPr>
          <w:trHeight w:val="746"/>
        </w:trPr>
        <w:tc>
          <w:tcPr>
            <w:tcW w:w="9606" w:type="dxa"/>
            <w:gridSpan w:val="2"/>
            <w:shd w:val="clear" w:color="auto" w:fill="F1F1F1"/>
          </w:tcPr>
          <w:p w:rsidR="00FC5A33" w:rsidRPr="004F1879" w:rsidRDefault="00FC5A33" w:rsidP="00FC5A33">
            <w:pPr>
              <w:pStyle w:val="TableParagraph"/>
              <w:spacing w:before="16"/>
              <w:rPr>
                <w:i/>
                <w:sz w:val="20"/>
                <w:lang w:eastAsia="en-US"/>
              </w:rPr>
            </w:pPr>
            <w:r w:rsidRPr="004F1879">
              <w:rPr>
                <w:i/>
                <w:sz w:val="20"/>
                <w:lang w:eastAsia="en-US"/>
              </w:rPr>
              <w:t>Má návrh vplyv na prístup k zdrojom, právam, tovarom a službám?</w:t>
            </w:r>
          </w:p>
          <w:p w:rsidR="00FC5A33" w:rsidRPr="004F1879" w:rsidRDefault="00FC5A33" w:rsidP="00FC5A33">
            <w:pPr>
              <w:pStyle w:val="TableParagraph"/>
              <w:spacing w:before="1"/>
              <w:rPr>
                <w:i/>
                <w:sz w:val="20"/>
                <w:lang w:eastAsia="en-US"/>
              </w:rPr>
            </w:pPr>
            <w:r w:rsidRPr="004F1879">
              <w:rPr>
                <w:i/>
                <w:sz w:val="20"/>
                <w:lang w:eastAsia="en-US"/>
              </w:rPr>
              <w:t>Špecifikujete ovplyvnené skupiny obyvateľstva a charakter zmeny v prístupnosti s ohľadom na dostupnosť finančnú, geografickú, kvalitu, organizovanie a pod. Uveďte veľkosť jednotlivých ovplyvnených skupín.</w:t>
            </w:r>
          </w:p>
        </w:tc>
      </w:tr>
      <w:tr w:rsidR="00FC5A33" w:rsidRPr="00C457B2" w:rsidTr="00FC5A33">
        <w:trPr>
          <w:trHeight w:val="6069"/>
        </w:trPr>
        <w:tc>
          <w:tcPr>
            <w:tcW w:w="3831" w:type="dxa"/>
          </w:tcPr>
          <w:p w:rsidR="00FC5A33" w:rsidRPr="004F1879" w:rsidRDefault="00FC5A33" w:rsidP="00FC5A33">
            <w:pPr>
              <w:pStyle w:val="TableParagraph"/>
              <w:spacing w:before="18" w:line="207" w:lineRule="exact"/>
              <w:jc w:val="both"/>
              <w:rPr>
                <w:i/>
                <w:sz w:val="18"/>
                <w:lang w:eastAsia="en-US"/>
              </w:rPr>
            </w:pPr>
            <w:r w:rsidRPr="004F1879">
              <w:rPr>
                <w:i/>
                <w:sz w:val="18"/>
                <w:lang w:eastAsia="en-US"/>
              </w:rPr>
              <w:t>Rozumie sa najmä na prístup k:</w:t>
            </w:r>
          </w:p>
          <w:p w:rsidR="00FC5A33" w:rsidRPr="004F1879" w:rsidRDefault="00FC5A33" w:rsidP="00FC5A33">
            <w:pPr>
              <w:pStyle w:val="TableParagraph"/>
              <w:ind w:left="468" w:right="96"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sociálnej  ochrane,  sociálno-právnej ochrane, sociálnym službám (vrátane služieb starostlivosti o deti, starších ľudí a ľudí so zdravotným</w:t>
            </w:r>
            <w:r w:rsidRPr="004F1879">
              <w:rPr>
                <w:i/>
                <w:spacing w:val="-4"/>
                <w:sz w:val="18"/>
                <w:lang w:eastAsia="en-US"/>
              </w:rPr>
              <w:t xml:space="preserve"> </w:t>
            </w:r>
            <w:r w:rsidRPr="004F1879">
              <w:rPr>
                <w:i/>
                <w:sz w:val="18"/>
                <w:lang w:eastAsia="en-US"/>
              </w:rPr>
              <w:t>postihnutím),</w:t>
            </w:r>
          </w:p>
          <w:p w:rsidR="00FC5A33" w:rsidRPr="004F1879" w:rsidRDefault="00FC5A33" w:rsidP="00FC5A33">
            <w:pPr>
              <w:pStyle w:val="TableParagraph"/>
              <w:ind w:left="468" w:right="98"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kvalitnej práci, ochrane zdravia, dôstojnosti  a bezpečnosti pri práci  pre  zamestnancov  a existujúcim zamestnaneckým</w:t>
            </w:r>
            <w:r w:rsidRPr="004F1879">
              <w:rPr>
                <w:i/>
                <w:spacing w:val="-4"/>
                <w:sz w:val="18"/>
                <w:lang w:eastAsia="en-US"/>
              </w:rPr>
              <w:t xml:space="preserve"> </w:t>
            </w:r>
            <w:r w:rsidRPr="004F1879">
              <w:rPr>
                <w:i/>
                <w:sz w:val="18"/>
                <w:lang w:eastAsia="en-US"/>
              </w:rPr>
              <w:t>právam,</w:t>
            </w:r>
          </w:p>
          <w:p w:rsidR="00FC5A33" w:rsidRPr="004F1879" w:rsidRDefault="00FC5A33" w:rsidP="00FC5A33">
            <w:pPr>
              <w:pStyle w:val="TableParagraph"/>
              <w:ind w:left="468" w:right="99"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pomoci  pri  úhrade   výdavkov   súvisiacich so zdravotným</w:t>
            </w:r>
            <w:r w:rsidRPr="004F1879">
              <w:rPr>
                <w:i/>
                <w:spacing w:val="-1"/>
                <w:sz w:val="18"/>
                <w:lang w:eastAsia="en-US"/>
              </w:rPr>
              <w:t xml:space="preserve"> </w:t>
            </w:r>
            <w:r w:rsidRPr="004F1879">
              <w:rPr>
                <w:i/>
                <w:sz w:val="18"/>
                <w:lang w:eastAsia="en-US"/>
              </w:rPr>
              <w:t>postihnutím,</w:t>
            </w:r>
          </w:p>
          <w:p w:rsidR="00FC5A33" w:rsidRPr="004F1879" w:rsidRDefault="00FC5A33" w:rsidP="00FC5A33">
            <w:pPr>
              <w:pStyle w:val="TableParagraph"/>
              <w:ind w:left="468" w:right="96"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zamestnaniu, na trh práce (napr. uľahčenie zosúladenia rodinných a pracovných povinností,        služby        zamestnanosti),  k školeniam, odbornému vzdelávaniu a príprave na trh práce,</w:t>
            </w:r>
          </w:p>
          <w:p w:rsidR="00FC5A33" w:rsidRPr="004F1879" w:rsidRDefault="00FC5A33" w:rsidP="00FC5A33">
            <w:pPr>
              <w:pStyle w:val="TableParagraph"/>
              <w:ind w:left="468" w:right="99"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zdravotnej starostlivosti vrátane cenovo dostupných pomôcok pre občanov so zdravotným postihnutím,</w:t>
            </w:r>
          </w:p>
          <w:p w:rsidR="00FC5A33" w:rsidRPr="004F1879" w:rsidRDefault="00FC5A33" w:rsidP="00FC5A33">
            <w:pPr>
              <w:pStyle w:val="TableParagraph"/>
              <w:ind w:left="468" w:right="98"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k formálnemu   i neformálnemu   vzdelávaniu a celoživotnému</w:t>
            </w:r>
            <w:r w:rsidRPr="004F1879">
              <w:rPr>
                <w:i/>
                <w:spacing w:val="1"/>
                <w:sz w:val="18"/>
                <w:lang w:eastAsia="en-US"/>
              </w:rPr>
              <w:t xml:space="preserve"> </w:t>
            </w:r>
            <w:r w:rsidRPr="004F1879">
              <w:rPr>
                <w:i/>
                <w:sz w:val="18"/>
                <w:lang w:eastAsia="en-US"/>
              </w:rPr>
              <w:t>vzdelávaniu,</w:t>
            </w:r>
          </w:p>
          <w:p w:rsidR="00FC5A33" w:rsidRPr="004F1879" w:rsidRDefault="00FC5A33" w:rsidP="00FC5A33">
            <w:pPr>
              <w:pStyle w:val="TableParagraph"/>
              <w:tabs>
                <w:tab w:val="left" w:pos="1547"/>
                <w:tab w:val="left" w:pos="2951"/>
              </w:tabs>
              <w:spacing w:before="1"/>
              <w:ind w:left="468" w:right="96"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spacing w:val="9"/>
                <w:sz w:val="18"/>
                <w:lang w:eastAsia="en-US"/>
              </w:rPr>
              <w:t xml:space="preserve"> </w:t>
            </w:r>
            <w:r w:rsidRPr="004F1879">
              <w:rPr>
                <w:i/>
                <w:sz w:val="18"/>
                <w:lang w:eastAsia="en-US"/>
              </w:rPr>
              <w:t>bývaniu</w:t>
            </w:r>
            <w:r w:rsidRPr="004F1879">
              <w:rPr>
                <w:i/>
                <w:sz w:val="18"/>
                <w:lang w:eastAsia="en-US"/>
              </w:rPr>
              <w:tab/>
              <w:t>a súvisiacim</w:t>
            </w:r>
            <w:r w:rsidRPr="004F1879">
              <w:rPr>
                <w:i/>
                <w:sz w:val="18"/>
                <w:lang w:eastAsia="en-US"/>
              </w:rPr>
              <w:tab/>
            </w:r>
            <w:r w:rsidRPr="004F1879">
              <w:rPr>
                <w:i/>
                <w:spacing w:val="-3"/>
                <w:sz w:val="18"/>
                <w:lang w:eastAsia="en-US"/>
              </w:rPr>
              <w:t xml:space="preserve">základným </w:t>
            </w:r>
            <w:r w:rsidRPr="004F1879">
              <w:rPr>
                <w:i/>
                <w:sz w:val="18"/>
                <w:lang w:eastAsia="en-US"/>
              </w:rPr>
              <w:t>komunálnym</w:t>
            </w:r>
            <w:r w:rsidRPr="004F1879">
              <w:rPr>
                <w:i/>
                <w:spacing w:val="-2"/>
                <w:sz w:val="18"/>
                <w:lang w:eastAsia="en-US"/>
              </w:rPr>
              <w:t xml:space="preserve"> </w:t>
            </w:r>
            <w:r w:rsidRPr="004F1879">
              <w:rPr>
                <w:i/>
                <w:sz w:val="18"/>
                <w:lang w:eastAsia="en-US"/>
              </w:rPr>
              <w:t>službám,</w:t>
            </w:r>
          </w:p>
          <w:p w:rsidR="00FC5A33" w:rsidRPr="004F1879" w:rsidRDefault="00FC5A33" w:rsidP="00FC5A33">
            <w:pPr>
              <w:pStyle w:val="TableParagraph"/>
              <w:spacing w:line="206" w:lineRule="exact"/>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doprave,</w:t>
            </w:r>
          </w:p>
          <w:p w:rsidR="00FC5A33" w:rsidRPr="004F1879" w:rsidRDefault="00FC5A33" w:rsidP="00FC5A33">
            <w:pPr>
              <w:pStyle w:val="TableParagraph"/>
              <w:ind w:left="468" w:hanging="361"/>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ďalším službám najmä službám všeobecného záujmu a tovarom,</w:t>
            </w:r>
          </w:p>
          <w:p w:rsidR="00FC5A33" w:rsidRPr="004F1879" w:rsidRDefault="00FC5A33" w:rsidP="00FC5A33">
            <w:pPr>
              <w:pStyle w:val="TableParagraph"/>
              <w:spacing w:before="1"/>
              <w:ind w:left="468" w:hanging="361"/>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spravodlivosti, právnej ochrane, právnym službám,</w:t>
            </w:r>
          </w:p>
          <w:p w:rsidR="00FC5A33" w:rsidRPr="004F1879" w:rsidRDefault="00FC5A33" w:rsidP="00FC5A33">
            <w:pPr>
              <w:pStyle w:val="TableParagraph"/>
              <w:spacing w:line="206" w:lineRule="exact"/>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informáciám</w:t>
            </w:r>
          </w:p>
          <w:p w:rsidR="00FC5A33" w:rsidRPr="004F1879" w:rsidRDefault="00FC5A33" w:rsidP="00FC5A33">
            <w:pPr>
              <w:pStyle w:val="TableParagraph"/>
              <w:spacing w:before="2"/>
              <w:rPr>
                <w:i/>
                <w:sz w:val="18"/>
                <w:lang w:eastAsia="en-US"/>
              </w:rPr>
            </w:pPr>
            <w:r w:rsidRPr="004F1879">
              <w:rPr>
                <w:rFonts w:ascii="Wingdings" w:hAnsi="Wingdings"/>
                <w:sz w:val="20"/>
                <w:lang w:eastAsia="en-US"/>
              </w:rPr>
              <w:t></w:t>
            </w:r>
            <w:r w:rsidRPr="004F1879">
              <w:rPr>
                <w:sz w:val="20"/>
                <w:lang w:eastAsia="en-US"/>
              </w:rPr>
              <w:t xml:space="preserve"> </w:t>
            </w:r>
            <w:r w:rsidRPr="004F1879">
              <w:rPr>
                <w:i/>
                <w:sz w:val="18"/>
                <w:lang w:eastAsia="en-US"/>
              </w:rPr>
              <w:t>k iným právam (napr. politickým).</w:t>
            </w:r>
          </w:p>
        </w:tc>
        <w:tc>
          <w:tcPr>
            <w:tcW w:w="5775" w:type="dxa"/>
          </w:tcPr>
          <w:p w:rsidR="00580176" w:rsidRDefault="00580176" w:rsidP="00580176">
            <w:pPr>
              <w:pStyle w:val="TableParagraph"/>
              <w:spacing w:before="16" w:after="120"/>
              <w:ind w:left="108" w:right="95"/>
              <w:jc w:val="both"/>
              <w:rPr>
                <w:rFonts w:eastAsia="Calibri"/>
                <w:sz w:val="20"/>
                <w:szCs w:val="20"/>
              </w:rPr>
            </w:pPr>
            <w:r w:rsidRPr="00247C57">
              <w:rPr>
                <w:rFonts w:eastAsia="Calibri"/>
                <w:sz w:val="20"/>
                <w:szCs w:val="20"/>
              </w:rPr>
              <w:t>Návrh vytvára podmienky pre prístup k bývaniu</w:t>
            </w:r>
            <w:r>
              <w:rPr>
                <w:rFonts w:eastAsia="Calibri"/>
                <w:sz w:val="20"/>
                <w:szCs w:val="20"/>
              </w:rPr>
              <w:t xml:space="preserve"> pri 90 % obstarávaných bytov pre širší okruh fyzických osôb s príjmom do 3, resp. 4-násobku životného minima v nájomných bytoch, keďže sa mení spôsob výpočtu výšky životného minima, čo umožní prístup k bývaniu s vyšším príjmom a teda väčšiemu počtu fyzických osôb. Umožňuje sa žiadateľom, aby pri 10 % z podporených nájomných bytov poskytli bývanie v týchto bytoch osobám z dôvodov hodných osobitného zreteľa (živelná udalosť, krízové bývanie a i.) bez povinnosti skúmať príjem nájomníka</w:t>
            </w:r>
            <w:r w:rsidRPr="00247C57">
              <w:rPr>
                <w:rFonts w:eastAsia="Calibri"/>
                <w:sz w:val="20"/>
                <w:szCs w:val="20"/>
              </w:rPr>
              <w:t>.</w:t>
            </w:r>
          </w:p>
          <w:p w:rsidR="00580176" w:rsidRPr="003F0166" w:rsidRDefault="00580176" w:rsidP="00580176">
            <w:pPr>
              <w:pStyle w:val="TableParagraph"/>
              <w:spacing w:before="16" w:after="120"/>
              <w:ind w:left="108" w:right="95"/>
              <w:jc w:val="both"/>
              <w:rPr>
                <w:rFonts w:eastAsia="Calibri"/>
                <w:sz w:val="20"/>
                <w:szCs w:val="20"/>
              </w:rPr>
            </w:pPr>
            <w:r w:rsidRPr="003F0166">
              <w:rPr>
                <w:rFonts w:eastAsia="Calibri"/>
                <w:sz w:val="20"/>
                <w:szCs w:val="20"/>
              </w:rPr>
              <w:t>Pri obstarávaní minimálne šiestich nájomných bytov nižšieho štandardu sa navrhuje možnosť zahrnúť do obstarávacích nákladov  aj náklady na obstaranie miestnosti, ktorá bude určená pre špecifické potreby samosprávy ako vlastníka nájomných bytov. Toto opatrenie umožňuje samospráve vytvoriť zázemie pre poskytovanie služieb v súvislosti s prenájmom podporených nájomných bytov (napr. poskytovanie sociálnej služby alebo ochrany objektu) a bude mať pozitívny sociálny vplyv v sociálne vylúčených komunitách, najmä v marginalizovaných komunitách.</w:t>
            </w:r>
          </w:p>
          <w:p w:rsidR="00FC5A33" w:rsidRPr="004F1879" w:rsidRDefault="00580176" w:rsidP="00580176">
            <w:pPr>
              <w:pStyle w:val="TableParagraph"/>
              <w:spacing w:before="16"/>
              <w:ind w:left="108" w:right="95"/>
              <w:jc w:val="both"/>
              <w:rPr>
                <w:sz w:val="20"/>
                <w:lang w:eastAsia="en-US"/>
              </w:rPr>
            </w:pPr>
            <w:r w:rsidRPr="003F0166">
              <w:rPr>
                <w:rFonts w:eastAsia="Calibri"/>
                <w:sz w:val="20"/>
                <w:szCs w:val="20"/>
              </w:rPr>
              <w:t>Návrh zákona zvyšuje hranicu príjmu oprávnenej fyzickej osoby a ostatných osôb žijúcich s ňou v obstaranom nájomnom byte v prípade opakovaného uzatvorenia nájomnej zmluvy. Toto opatrenie bude mať pozitívne sociálne vplyvy predovšetkým na tie skupiny nájomcov, ktorým sa zvýšil príjem počas trvania nájomnej zmluvy. Zníži sa tak riziko, že kvôli zvýšeniu svojho príjmu budú musieť odísť z prideleného nájomného bytu.</w:t>
            </w:r>
          </w:p>
        </w:tc>
      </w:tr>
      <w:tr w:rsidR="00FC5A33" w:rsidRPr="00C457B2" w:rsidTr="00FC5A33">
        <w:trPr>
          <w:trHeight w:val="976"/>
        </w:trPr>
        <w:tc>
          <w:tcPr>
            <w:tcW w:w="9606" w:type="dxa"/>
            <w:gridSpan w:val="2"/>
            <w:shd w:val="clear" w:color="auto" w:fill="F1F1F1"/>
          </w:tcPr>
          <w:p w:rsidR="00FC5A33" w:rsidRPr="004F1879" w:rsidRDefault="00FC5A33" w:rsidP="00FC5A33">
            <w:pPr>
              <w:pStyle w:val="TableParagraph"/>
              <w:spacing w:before="16"/>
              <w:ind w:right="391"/>
              <w:rPr>
                <w:i/>
                <w:sz w:val="20"/>
                <w:lang w:eastAsia="en-US"/>
              </w:rPr>
            </w:pPr>
            <w:r w:rsidRPr="004F1879">
              <w:rPr>
                <w:i/>
                <w:sz w:val="20"/>
                <w:lang w:eastAsia="en-US"/>
              </w:rPr>
              <w:t>Má návrh významný vplyv na niektorú zo zraniteľných skupín obyvateľstva alebo skupín v riziku chudoby alebo sociálneho vylúčenia?</w:t>
            </w:r>
          </w:p>
          <w:p w:rsidR="00FC5A33" w:rsidRPr="004F1879" w:rsidRDefault="00FC5A33" w:rsidP="00FC5A33">
            <w:pPr>
              <w:pStyle w:val="TableParagraph"/>
              <w:spacing w:before="1"/>
              <w:ind w:right="80"/>
              <w:rPr>
                <w:i/>
                <w:sz w:val="20"/>
                <w:lang w:eastAsia="en-US"/>
              </w:rPr>
            </w:pPr>
            <w:r w:rsidRPr="004F1879">
              <w:rPr>
                <w:i/>
                <w:sz w:val="20"/>
                <w:lang w:eastAsia="en-US"/>
              </w:rPr>
              <w:t xml:space="preserve">Špecifikujte ovplyvnené skupiny v riziku chudoby a sociálneho vylúčenia a popíšte vplyv na </w:t>
            </w:r>
            <w:proofErr w:type="spellStart"/>
            <w:r w:rsidRPr="004F1879">
              <w:rPr>
                <w:i/>
                <w:sz w:val="20"/>
                <w:lang w:eastAsia="en-US"/>
              </w:rPr>
              <w:t>ne</w:t>
            </w:r>
            <w:proofErr w:type="spellEnd"/>
            <w:r w:rsidRPr="004F1879">
              <w:rPr>
                <w:i/>
                <w:sz w:val="20"/>
                <w:lang w:eastAsia="en-US"/>
              </w:rPr>
              <w:t>. Je tento vplyv väčší ako vplyv na iné skupiny či subjekty? Uveďte veľkosť jednotlivých ovplyvnených skupín.</w:t>
            </w:r>
          </w:p>
        </w:tc>
      </w:tr>
      <w:tr w:rsidR="00FC5A33" w:rsidRPr="00C457B2" w:rsidTr="00FC5A33">
        <w:trPr>
          <w:trHeight w:val="5438"/>
        </w:trPr>
        <w:tc>
          <w:tcPr>
            <w:tcW w:w="3831" w:type="dxa"/>
          </w:tcPr>
          <w:p w:rsidR="00FC5A33" w:rsidRPr="004F1879" w:rsidRDefault="00FC5A33" w:rsidP="00FC5A33">
            <w:pPr>
              <w:pStyle w:val="TableParagraph"/>
              <w:spacing w:before="18"/>
              <w:ind w:right="97"/>
              <w:jc w:val="both"/>
              <w:rPr>
                <w:i/>
                <w:sz w:val="18"/>
                <w:lang w:eastAsia="en-US"/>
              </w:rPr>
            </w:pPr>
            <w:r w:rsidRPr="004F1879">
              <w:rPr>
                <w:i/>
                <w:sz w:val="18"/>
                <w:lang w:eastAsia="en-US"/>
              </w:rPr>
              <w:t>Zraniteľné skupiny alebo skupiny v riziku chudoby alebo sociálneho vylúčenia sú</w:t>
            </w:r>
            <w:r w:rsidRPr="004F1879">
              <w:rPr>
                <w:i/>
                <w:spacing w:val="-3"/>
                <w:sz w:val="18"/>
                <w:lang w:eastAsia="en-US"/>
              </w:rPr>
              <w:t xml:space="preserve"> </w:t>
            </w:r>
            <w:r w:rsidRPr="004F1879">
              <w:rPr>
                <w:i/>
                <w:sz w:val="18"/>
                <w:lang w:eastAsia="en-US"/>
              </w:rPr>
              <w:t>napr.:</w:t>
            </w:r>
          </w:p>
          <w:p w:rsidR="00FC5A33" w:rsidRPr="004F1879" w:rsidRDefault="00FC5A33" w:rsidP="00FC5A33">
            <w:pPr>
              <w:pStyle w:val="TableParagraph"/>
              <w:ind w:left="468" w:right="97"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domácnosti s nízkym príjmom (napr. žijúce  iba zo sociálnych príjmov, alebo z príjmov pod hranicou rizika chudoby, alebo s príjmom pod životným minimom, alebo patriace medzi 25% domácností s najnižším príjmom),</w:t>
            </w:r>
          </w:p>
          <w:p w:rsidR="00FC5A33" w:rsidRPr="004F1879" w:rsidRDefault="00FC5A33" w:rsidP="00FC5A33">
            <w:pPr>
              <w:pStyle w:val="TableParagraph"/>
              <w:tabs>
                <w:tab w:val="left" w:pos="2041"/>
                <w:tab w:val="left" w:pos="3039"/>
              </w:tabs>
              <w:ind w:left="468" w:right="97"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spacing w:val="5"/>
                <w:sz w:val="18"/>
                <w:lang w:eastAsia="en-US"/>
              </w:rPr>
              <w:t xml:space="preserve"> </w:t>
            </w:r>
            <w:r w:rsidRPr="004F1879">
              <w:rPr>
                <w:i/>
                <w:sz w:val="18"/>
                <w:lang w:eastAsia="en-US"/>
              </w:rPr>
              <w:t>nezamestnaní,</w:t>
            </w:r>
            <w:r w:rsidRPr="004F1879">
              <w:rPr>
                <w:i/>
                <w:sz w:val="18"/>
                <w:lang w:eastAsia="en-US"/>
              </w:rPr>
              <w:tab/>
              <w:t>najmä</w:t>
            </w:r>
            <w:r w:rsidRPr="004F1879">
              <w:rPr>
                <w:i/>
                <w:sz w:val="18"/>
                <w:lang w:eastAsia="en-US"/>
              </w:rPr>
              <w:tab/>
            </w:r>
            <w:r w:rsidRPr="004F1879">
              <w:rPr>
                <w:i/>
                <w:spacing w:val="-3"/>
                <w:sz w:val="18"/>
                <w:lang w:eastAsia="en-US"/>
              </w:rPr>
              <w:t xml:space="preserve">dlhodobo </w:t>
            </w:r>
            <w:r w:rsidRPr="004F1879">
              <w:rPr>
                <w:i/>
                <w:sz w:val="18"/>
                <w:lang w:eastAsia="en-US"/>
              </w:rPr>
              <w:t>nezamestnaní, mladí nezamestnaní a nezamestnaní nad 50</w:t>
            </w:r>
            <w:r w:rsidRPr="004F1879">
              <w:rPr>
                <w:i/>
                <w:spacing w:val="-2"/>
                <w:sz w:val="18"/>
                <w:lang w:eastAsia="en-US"/>
              </w:rPr>
              <w:t xml:space="preserve"> </w:t>
            </w:r>
            <w:r w:rsidRPr="004F1879">
              <w:rPr>
                <w:i/>
                <w:sz w:val="18"/>
                <w:lang w:eastAsia="en-US"/>
              </w:rPr>
              <w:t>rokov,</w:t>
            </w:r>
          </w:p>
          <w:p w:rsidR="00FC5A33" w:rsidRPr="004F1879" w:rsidRDefault="00FC5A33" w:rsidP="00FC5A33">
            <w:pPr>
              <w:pStyle w:val="TableParagraph"/>
              <w:spacing w:before="1" w:line="207" w:lineRule="exact"/>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deti (0 – 17),</w:t>
            </w:r>
          </w:p>
          <w:p w:rsidR="00FC5A33" w:rsidRPr="004F1879" w:rsidRDefault="00FC5A33" w:rsidP="00FC5A33">
            <w:pPr>
              <w:pStyle w:val="TableParagraph"/>
              <w:spacing w:line="206" w:lineRule="exact"/>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mladí ľudia (18 – 25 rokov),</w:t>
            </w:r>
          </w:p>
          <w:p w:rsidR="00FC5A33" w:rsidRPr="004F1879" w:rsidRDefault="00FC5A33" w:rsidP="00FC5A33">
            <w:pPr>
              <w:pStyle w:val="TableParagraph"/>
              <w:ind w:left="468" w:right="294" w:hanging="361"/>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starší ľudia, napr. ľudia vo veku nad  65  rokov alebo</w:t>
            </w:r>
            <w:r w:rsidRPr="004F1879">
              <w:rPr>
                <w:i/>
                <w:spacing w:val="-3"/>
                <w:sz w:val="18"/>
                <w:lang w:eastAsia="en-US"/>
              </w:rPr>
              <w:t xml:space="preserve"> </w:t>
            </w:r>
            <w:r w:rsidRPr="004F1879">
              <w:rPr>
                <w:i/>
                <w:sz w:val="18"/>
                <w:lang w:eastAsia="en-US"/>
              </w:rPr>
              <w:t>dôchodcovia,</w:t>
            </w:r>
          </w:p>
          <w:p w:rsidR="00FC5A33" w:rsidRPr="004F1879" w:rsidRDefault="00FC5A33" w:rsidP="00FC5A33">
            <w:pPr>
              <w:pStyle w:val="TableParagraph"/>
              <w:spacing w:before="1" w:line="207" w:lineRule="exact"/>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ľudia so zdravotným postihnutím,</w:t>
            </w:r>
          </w:p>
          <w:p w:rsidR="00FC5A33" w:rsidRPr="004F1879" w:rsidRDefault="00FC5A33" w:rsidP="00FC5A33">
            <w:pPr>
              <w:pStyle w:val="TableParagraph"/>
              <w:spacing w:line="207" w:lineRule="exact"/>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marginalizované rómske komunity</w:t>
            </w:r>
          </w:p>
          <w:p w:rsidR="00FC5A33" w:rsidRPr="004F1879" w:rsidRDefault="00FC5A33" w:rsidP="00FC5A33">
            <w:pPr>
              <w:pStyle w:val="TableParagraph"/>
              <w:spacing w:line="207" w:lineRule="exact"/>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domácnosti s 3 a viac deťmi,</w:t>
            </w:r>
          </w:p>
          <w:p w:rsidR="00FC5A33" w:rsidRPr="004F1879" w:rsidRDefault="00FC5A33" w:rsidP="00FC5A33">
            <w:pPr>
              <w:pStyle w:val="TableParagraph"/>
              <w:ind w:left="468" w:right="99"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jednorodičovské  domácnosti  s  deťmi (neúplné rodiny, ktoré tvoria najmä osamelé matky s</w:t>
            </w:r>
            <w:r w:rsidRPr="004F1879">
              <w:rPr>
                <w:i/>
                <w:spacing w:val="-2"/>
                <w:sz w:val="18"/>
                <w:lang w:eastAsia="en-US"/>
              </w:rPr>
              <w:t xml:space="preserve"> </w:t>
            </w:r>
            <w:r w:rsidRPr="004F1879">
              <w:rPr>
                <w:i/>
                <w:sz w:val="18"/>
                <w:lang w:eastAsia="en-US"/>
              </w:rPr>
              <w:t>deťmi),</w:t>
            </w:r>
          </w:p>
          <w:p w:rsidR="00FC5A33" w:rsidRPr="004F1879" w:rsidRDefault="00FC5A33" w:rsidP="00FC5A33">
            <w:pPr>
              <w:pStyle w:val="TableParagraph"/>
              <w:ind w:left="468" w:right="100"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príslušníci tretích krajín, azylanti, žiadatelia o azyl,</w:t>
            </w:r>
          </w:p>
          <w:p w:rsidR="00FC5A33" w:rsidRPr="004F1879" w:rsidRDefault="00FC5A33" w:rsidP="00FC5A33">
            <w:pPr>
              <w:pStyle w:val="TableParagraph"/>
              <w:spacing w:before="1"/>
              <w:ind w:left="468" w:right="98" w:hanging="361"/>
              <w:jc w:val="both"/>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iné zraniteľné skupiny, ako sú napr. bezdomovci, ľudia opúšťajúci detské domovy alebo iné inštitucionálne zariadenia</w:t>
            </w:r>
          </w:p>
        </w:tc>
        <w:tc>
          <w:tcPr>
            <w:tcW w:w="5775" w:type="dxa"/>
          </w:tcPr>
          <w:p w:rsidR="00FC5A33" w:rsidRPr="004F1879" w:rsidRDefault="00FC5A33" w:rsidP="00FC5A33">
            <w:pPr>
              <w:pStyle w:val="TableParagraph"/>
              <w:spacing w:before="5"/>
              <w:ind w:left="0"/>
              <w:rPr>
                <w:sz w:val="21"/>
                <w:lang w:eastAsia="en-US"/>
              </w:rPr>
            </w:pPr>
          </w:p>
          <w:p w:rsidR="00FC5A33" w:rsidRPr="004F1879" w:rsidRDefault="00580176" w:rsidP="00580176">
            <w:pPr>
              <w:pStyle w:val="TableParagraph"/>
              <w:tabs>
                <w:tab w:val="left" w:pos="409"/>
              </w:tabs>
              <w:spacing w:line="229" w:lineRule="exact"/>
              <w:rPr>
                <w:sz w:val="20"/>
                <w:lang w:eastAsia="en-US"/>
              </w:rPr>
            </w:pPr>
            <w:r w:rsidRPr="001A5B02">
              <w:rPr>
                <w:rFonts w:eastAsia="Calibri"/>
                <w:sz w:val="20"/>
                <w:szCs w:val="20"/>
              </w:rPr>
              <w:t>Bez vplyvu.</w:t>
            </w:r>
          </w:p>
        </w:tc>
      </w:tr>
    </w:tbl>
    <w:p w:rsidR="00FC5A33" w:rsidRPr="00C457B2" w:rsidRDefault="00FC5A33" w:rsidP="00FC5A33">
      <w:pPr>
        <w:spacing w:line="229" w:lineRule="exact"/>
        <w:rPr>
          <w:sz w:val="20"/>
        </w:rPr>
        <w:sectPr w:rsidR="00FC5A33" w:rsidRPr="00C457B2">
          <w:pgSz w:w="11910" w:h="16840"/>
          <w:pgMar w:top="1120" w:right="1040" w:bottom="720" w:left="1040" w:header="0" w:footer="536" w:gutter="0"/>
          <w:cols w:space="708"/>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1"/>
        <w:gridCol w:w="5775"/>
      </w:tblGrid>
      <w:tr w:rsidR="00FC5A33" w:rsidRPr="00B0567D" w:rsidTr="00FC5A33">
        <w:trPr>
          <w:trHeight w:val="609"/>
        </w:trPr>
        <w:tc>
          <w:tcPr>
            <w:tcW w:w="9606" w:type="dxa"/>
            <w:gridSpan w:val="2"/>
            <w:shd w:val="clear" w:color="auto" w:fill="D9D9D9"/>
          </w:tcPr>
          <w:p w:rsidR="00FC5A33" w:rsidRPr="004F1879" w:rsidRDefault="00FC5A33" w:rsidP="00FC5A33">
            <w:pPr>
              <w:pStyle w:val="TableParagraph"/>
              <w:spacing w:before="19"/>
              <w:ind w:left="449" w:right="2741" w:hanging="342"/>
              <w:rPr>
                <w:b/>
                <w:sz w:val="24"/>
                <w:lang w:eastAsia="en-US"/>
              </w:rPr>
            </w:pPr>
            <w:r w:rsidRPr="004F1879">
              <w:rPr>
                <w:b/>
                <w:sz w:val="24"/>
                <w:lang w:eastAsia="en-US"/>
              </w:rPr>
              <w:t>4.3 Identifikujte a popíšte vplyv na rovnosť príležitostí. Identifikujte, popíšte a kvantifikujte vplyv na rodovú rovnosť.</w:t>
            </w:r>
          </w:p>
        </w:tc>
      </w:tr>
      <w:tr w:rsidR="00FC5A33" w:rsidRPr="00B0567D" w:rsidTr="00FC5A33">
        <w:trPr>
          <w:trHeight w:val="746"/>
        </w:trPr>
        <w:tc>
          <w:tcPr>
            <w:tcW w:w="9606" w:type="dxa"/>
            <w:gridSpan w:val="2"/>
            <w:shd w:val="clear" w:color="auto" w:fill="F1F1F1"/>
          </w:tcPr>
          <w:p w:rsidR="00FC5A33" w:rsidRPr="004F1879" w:rsidRDefault="00FC5A33" w:rsidP="00FC5A33">
            <w:pPr>
              <w:pStyle w:val="TableParagraph"/>
              <w:spacing w:before="16"/>
              <w:ind w:right="96"/>
              <w:jc w:val="both"/>
              <w:rPr>
                <w:i/>
                <w:sz w:val="20"/>
                <w:lang w:eastAsia="en-US"/>
              </w:rPr>
            </w:pPr>
            <w:r w:rsidRPr="004F1879">
              <w:rPr>
                <w:i/>
                <w:sz w:val="20"/>
                <w:lang w:eastAsia="en-US"/>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FC5A33" w:rsidRPr="00B0567D" w:rsidTr="00FC5A33">
        <w:trPr>
          <w:trHeight w:val="484"/>
        </w:trPr>
        <w:tc>
          <w:tcPr>
            <w:tcW w:w="9606" w:type="dxa"/>
            <w:gridSpan w:val="2"/>
          </w:tcPr>
          <w:p w:rsidR="00FC5A33" w:rsidRPr="004F1879" w:rsidRDefault="00FC5A33" w:rsidP="00FC5A33">
            <w:pPr>
              <w:pStyle w:val="TableParagraph"/>
              <w:spacing w:before="16"/>
              <w:rPr>
                <w:sz w:val="20"/>
                <w:lang w:eastAsia="en-US"/>
              </w:rPr>
            </w:pPr>
            <w:r w:rsidRPr="004F1879">
              <w:rPr>
                <w:sz w:val="20"/>
                <w:lang w:eastAsia="en-US"/>
              </w:rPr>
              <w:t>Návrh nemá vplyv na rovnosť príležitostí.</w:t>
            </w:r>
          </w:p>
        </w:tc>
      </w:tr>
      <w:tr w:rsidR="00FC5A33" w:rsidRPr="00B0567D" w:rsidTr="00FC5A33">
        <w:trPr>
          <w:trHeight w:val="518"/>
        </w:trPr>
        <w:tc>
          <w:tcPr>
            <w:tcW w:w="9606" w:type="dxa"/>
            <w:gridSpan w:val="2"/>
            <w:shd w:val="clear" w:color="auto" w:fill="F1F1F1"/>
          </w:tcPr>
          <w:p w:rsidR="00FC5A33" w:rsidRPr="004F1879" w:rsidRDefault="00FC5A33" w:rsidP="00FC5A33">
            <w:pPr>
              <w:pStyle w:val="TableParagraph"/>
              <w:spacing w:before="16"/>
              <w:ind w:right="80"/>
              <w:rPr>
                <w:i/>
                <w:sz w:val="20"/>
                <w:lang w:eastAsia="en-US"/>
              </w:rPr>
            </w:pPr>
            <w:r w:rsidRPr="004F1879">
              <w:rPr>
                <w:i/>
                <w:sz w:val="20"/>
                <w:lang w:eastAsia="en-US"/>
              </w:rPr>
              <w:t>Môže mať návrh odlišný vplyv na ženy a mužov? Podporuje návrh rovnosť medzi ženami a mužmi alebo naopak bude viesť k zväčšovaniu rodových nerovností? Popíšte vplyvy.</w:t>
            </w:r>
          </w:p>
        </w:tc>
      </w:tr>
      <w:tr w:rsidR="00FC5A33" w:rsidRPr="00B0567D" w:rsidTr="00FC5A33">
        <w:trPr>
          <w:trHeight w:val="3573"/>
        </w:trPr>
        <w:tc>
          <w:tcPr>
            <w:tcW w:w="3831" w:type="dxa"/>
          </w:tcPr>
          <w:p w:rsidR="00FC5A33" w:rsidRPr="004F1879" w:rsidRDefault="00FC5A33" w:rsidP="00FC5A33">
            <w:pPr>
              <w:pStyle w:val="TableParagraph"/>
              <w:spacing w:before="15"/>
              <w:ind w:right="96"/>
              <w:jc w:val="both"/>
              <w:rPr>
                <w:i/>
                <w:sz w:val="18"/>
                <w:lang w:eastAsia="en-US"/>
              </w:rPr>
            </w:pPr>
            <w:r w:rsidRPr="004F1879">
              <w:rPr>
                <w:i/>
                <w:sz w:val="18"/>
                <w:lang w:eastAsia="en-US"/>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FC5A33" w:rsidRPr="004F1879" w:rsidRDefault="00FC5A33" w:rsidP="00FC5A33">
            <w:pPr>
              <w:pStyle w:val="TableParagraph"/>
              <w:tabs>
                <w:tab w:val="left" w:pos="1460"/>
                <w:tab w:val="left" w:pos="2823"/>
              </w:tabs>
              <w:spacing w:line="242" w:lineRule="auto"/>
              <w:ind w:left="468" w:right="98" w:hanging="361"/>
              <w:rPr>
                <w:i/>
                <w:sz w:val="18"/>
                <w:lang w:eastAsia="en-US"/>
              </w:rPr>
            </w:pPr>
            <w:r w:rsidRPr="004F1879">
              <w:rPr>
                <w:rFonts w:ascii="Wingdings" w:hAnsi="Wingdings"/>
                <w:sz w:val="18"/>
                <w:lang w:eastAsia="en-US"/>
              </w:rPr>
              <w:t></w:t>
            </w:r>
            <w:r w:rsidRPr="004F1879">
              <w:rPr>
                <w:sz w:val="18"/>
                <w:lang w:eastAsia="en-US"/>
              </w:rPr>
              <w:t xml:space="preserve">   </w:t>
            </w:r>
            <w:r w:rsidRPr="004F1879">
              <w:rPr>
                <w:spacing w:val="9"/>
                <w:sz w:val="18"/>
                <w:lang w:eastAsia="en-US"/>
              </w:rPr>
              <w:t xml:space="preserve"> </w:t>
            </w:r>
            <w:r w:rsidRPr="004F1879">
              <w:rPr>
                <w:i/>
                <w:sz w:val="18"/>
                <w:lang w:eastAsia="en-US"/>
              </w:rPr>
              <w:t>podpora</w:t>
            </w:r>
            <w:r w:rsidRPr="004F1879">
              <w:rPr>
                <w:i/>
                <w:sz w:val="18"/>
                <w:lang w:eastAsia="en-US"/>
              </w:rPr>
              <w:tab/>
              <w:t>vyrovnávania</w:t>
            </w:r>
            <w:r w:rsidRPr="004F1879">
              <w:rPr>
                <w:i/>
                <w:sz w:val="18"/>
                <w:lang w:eastAsia="en-US"/>
              </w:rPr>
              <w:tab/>
            </w:r>
            <w:r w:rsidRPr="004F1879">
              <w:rPr>
                <w:i/>
                <w:spacing w:val="-3"/>
                <w:sz w:val="18"/>
                <w:lang w:eastAsia="en-US"/>
              </w:rPr>
              <w:t xml:space="preserve">ekonomickej </w:t>
            </w:r>
            <w:r w:rsidRPr="004F1879">
              <w:rPr>
                <w:i/>
                <w:sz w:val="18"/>
                <w:lang w:eastAsia="en-US"/>
              </w:rPr>
              <w:t>nezávislosti,</w:t>
            </w:r>
          </w:p>
          <w:p w:rsidR="00FC5A33" w:rsidRPr="004F1879" w:rsidRDefault="00FC5A33" w:rsidP="00FC5A33">
            <w:pPr>
              <w:pStyle w:val="TableParagraph"/>
              <w:tabs>
                <w:tab w:val="left" w:pos="1633"/>
                <w:tab w:val="left" w:pos="2842"/>
              </w:tabs>
              <w:ind w:left="468" w:right="100" w:hanging="361"/>
              <w:rPr>
                <w:i/>
                <w:sz w:val="18"/>
                <w:lang w:eastAsia="en-US"/>
              </w:rPr>
            </w:pPr>
            <w:r w:rsidRPr="004F1879">
              <w:rPr>
                <w:rFonts w:ascii="Wingdings" w:hAnsi="Wingdings"/>
                <w:sz w:val="18"/>
                <w:lang w:eastAsia="en-US"/>
              </w:rPr>
              <w:t></w:t>
            </w:r>
            <w:r w:rsidRPr="004F1879">
              <w:rPr>
                <w:sz w:val="18"/>
                <w:lang w:eastAsia="en-US"/>
              </w:rPr>
              <w:t xml:space="preserve">   </w:t>
            </w:r>
            <w:r w:rsidRPr="004F1879">
              <w:rPr>
                <w:spacing w:val="8"/>
                <w:sz w:val="18"/>
                <w:lang w:eastAsia="en-US"/>
              </w:rPr>
              <w:t xml:space="preserve"> </w:t>
            </w:r>
            <w:r w:rsidRPr="004F1879">
              <w:rPr>
                <w:i/>
                <w:sz w:val="18"/>
                <w:lang w:eastAsia="en-US"/>
              </w:rPr>
              <w:t>zosúladenie</w:t>
            </w:r>
            <w:r w:rsidRPr="004F1879">
              <w:rPr>
                <w:i/>
                <w:sz w:val="18"/>
                <w:lang w:eastAsia="en-US"/>
              </w:rPr>
              <w:tab/>
              <w:t>pracovného,</w:t>
            </w:r>
            <w:r w:rsidRPr="004F1879">
              <w:rPr>
                <w:i/>
                <w:sz w:val="18"/>
                <w:lang w:eastAsia="en-US"/>
              </w:rPr>
              <w:tab/>
            </w:r>
            <w:r w:rsidRPr="004F1879">
              <w:rPr>
                <w:i/>
                <w:spacing w:val="-3"/>
                <w:sz w:val="18"/>
                <w:lang w:eastAsia="en-US"/>
              </w:rPr>
              <w:t xml:space="preserve">súkromného </w:t>
            </w:r>
            <w:r w:rsidRPr="004F1879">
              <w:rPr>
                <w:i/>
                <w:sz w:val="18"/>
                <w:lang w:eastAsia="en-US"/>
              </w:rPr>
              <w:t>a rodinného</w:t>
            </w:r>
            <w:r w:rsidRPr="004F1879">
              <w:rPr>
                <w:i/>
                <w:spacing w:val="-1"/>
                <w:sz w:val="18"/>
                <w:lang w:eastAsia="en-US"/>
              </w:rPr>
              <w:t xml:space="preserve"> </w:t>
            </w:r>
            <w:r w:rsidRPr="004F1879">
              <w:rPr>
                <w:i/>
                <w:sz w:val="18"/>
                <w:lang w:eastAsia="en-US"/>
              </w:rPr>
              <w:t>života,</w:t>
            </w:r>
          </w:p>
          <w:p w:rsidR="00FC5A33" w:rsidRPr="004F1879" w:rsidRDefault="00FC5A33" w:rsidP="00FC5A33">
            <w:pPr>
              <w:pStyle w:val="TableParagraph"/>
              <w:spacing w:line="206" w:lineRule="exact"/>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podpora rovnej participácie na rozhodovaní,</w:t>
            </w:r>
          </w:p>
          <w:p w:rsidR="00FC5A33" w:rsidRPr="004F1879" w:rsidRDefault="00FC5A33" w:rsidP="00FC5A33">
            <w:pPr>
              <w:pStyle w:val="TableParagraph"/>
              <w:ind w:left="468" w:right="109" w:hanging="361"/>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boj   proti   rodovo   podmienenému   násiliu a obchodovaniu s</w:t>
            </w:r>
            <w:r w:rsidRPr="004F1879">
              <w:rPr>
                <w:i/>
                <w:spacing w:val="2"/>
                <w:sz w:val="18"/>
                <w:lang w:eastAsia="en-US"/>
              </w:rPr>
              <w:t xml:space="preserve"> </w:t>
            </w:r>
            <w:r w:rsidRPr="004F1879">
              <w:rPr>
                <w:i/>
                <w:sz w:val="18"/>
                <w:lang w:eastAsia="en-US"/>
              </w:rPr>
              <w:t>ľuďmi,</w:t>
            </w:r>
          </w:p>
          <w:p w:rsidR="00FC5A33" w:rsidRPr="004F1879" w:rsidRDefault="00FC5A33" w:rsidP="00FC5A33">
            <w:pPr>
              <w:pStyle w:val="TableParagraph"/>
              <w:spacing w:line="206" w:lineRule="exact"/>
              <w:rPr>
                <w:i/>
                <w:sz w:val="18"/>
                <w:lang w:eastAsia="en-US"/>
              </w:rPr>
            </w:pPr>
            <w:r w:rsidRPr="004F1879">
              <w:rPr>
                <w:rFonts w:ascii="Wingdings" w:hAnsi="Wingdings"/>
                <w:sz w:val="18"/>
                <w:lang w:eastAsia="en-US"/>
              </w:rPr>
              <w:t></w:t>
            </w:r>
            <w:r w:rsidRPr="004F1879">
              <w:rPr>
                <w:sz w:val="18"/>
                <w:lang w:eastAsia="en-US"/>
              </w:rPr>
              <w:t xml:space="preserve"> </w:t>
            </w:r>
            <w:r w:rsidRPr="004F1879">
              <w:rPr>
                <w:i/>
                <w:sz w:val="18"/>
                <w:lang w:eastAsia="en-US"/>
              </w:rPr>
              <w:t>eliminácia rodových stereotypov.</w:t>
            </w:r>
          </w:p>
        </w:tc>
        <w:tc>
          <w:tcPr>
            <w:tcW w:w="5775" w:type="dxa"/>
          </w:tcPr>
          <w:p w:rsidR="00FC5A33" w:rsidRPr="004F1879" w:rsidRDefault="00FC5A33" w:rsidP="00FC5A33">
            <w:pPr>
              <w:pStyle w:val="TableParagraph"/>
              <w:spacing w:before="14"/>
              <w:ind w:left="108"/>
              <w:rPr>
                <w:sz w:val="20"/>
                <w:lang w:eastAsia="en-US"/>
              </w:rPr>
            </w:pPr>
          </w:p>
        </w:tc>
      </w:tr>
      <w:tr w:rsidR="00FC5A33" w:rsidRPr="00B0567D" w:rsidTr="00FC5A33">
        <w:trPr>
          <w:trHeight w:val="837"/>
        </w:trPr>
        <w:tc>
          <w:tcPr>
            <w:tcW w:w="9606" w:type="dxa"/>
            <w:gridSpan w:val="2"/>
            <w:shd w:val="clear" w:color="auto" w:fill="D9D9D9"/>
          </w:tcPr>
          <w:p w:rsidR="00FC5A33" w:rsidRPr="004F1879" w:rsidRDefault="00FC5A33" w:rsidP="00FC5A33">
            <w:pPr>
              <w:pStyle w:val="TableParagraph"/>
              <w:spacing w:before="19" w:line="275" w:lineRule="exact"/>
              <w:rPr>
                <w:b/>
                <w:sz w:val="24"/>
                <w:lang w:eastAsia="en-US"/>
              </w:rPr>
            </w:pPr>
            <w:r w:rsidRPr="004F1879">
              <w:rPr>
                <w:b/>
                <w:sz w:val="24"/>
                <w:lang w:eastAsia="en-US"/>
              </w:rPr>
              <w:t>4.4 Identifikujte, popíšte a kvantifikujte vplyvy na zamestnanosť a na trh práce.</w:t>
            </w:r>
          </w:p>
          <w:p w:rsidR="00FC5A33" w:rsidRPr="004F1879" w:rsidRDefault="00FC5A33" w:rsidP="00FC5A33">
            <w:pPr>
              <w:pStyle w:val="TableParagraph"/>
              <w:ind w:right="391"/>
              <w:rPr>
                <w:i/>
                <w:lang w:eastAsia="en-US"/>
              </w:rPr>
            </w:pPr>
            <w:r w:rsidRPr="004F1879">
              <w:rPr>
                <w:i/>
                <w:lang w:eastAsia="en-US"/>
              </w:rPr>
              <w:t xml:space="preserve">V prípade kladnej odpovede pripojte </w:t>
            </w:r>
            <w:r w:rsidRPr="004F1879">
              <w:rPr>
                <w:b/>
                <w:i/>
                <w:lang w:eastAsia="en-US"/>
              </w:rPr>
              <w:t xml:space="preserve">odôvodnenie </w:t>
            </w:r>
            <w:r w:rsidRPr="004F1879">
              <w:rPr>
                <w:i/>
                <w:lang w:eastAsia="en-US"/>
              </w:rPr>
              <w:t>v súlade s Metodickým postupom pre analýzu sociálnych vplyvov.</w:t>
            </w:r>
          </w:p>
        </w:tc>
      </w:tr>
    </w:tbl>
    <w:p w:rsidR="00FC5A33" w:rsidRPr="00B0567D" w:rsidRDefault="00FC5A33" w:rsidP="00FC5A33">
      <w:pPr>
        <w:sectPr w:rsidR="00FC5A33" w:rsidRPr="00B0567D">
          <w:pgSz w:w="11910" w:h="16840"/>
          <w:pgMar w:top="1120" w:right="1040" w:bottom="720" w:left="1040" w:header="0" w:footer="536" w:gutter="0"/>
          <w:cols w:space="708"/>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1"/>
        <w:gridCol w:w="5775"/>
      </w:tblGrid>
      <w:tr w:rsidR="00FC5A33" w:rsidRPr="00B0567D" w:rsidTr="00FC5A33">
        <w:trPr>
          <w:trHeight w:val="343"/>
        </w:trPr>
        <w:tc>
          <w:tcPr>
            <w:tcW w:w="9606" w:type="dxa"/>
            <w:gridSpan w:val="2"/>
            <w:tcBorders>
              <w:top w:val="nil"/>
            </w:tcBorders>
            <w:shd w:val="clear" w:color="auto" w:fill="F1F1F1"/>
          </w:tcPr>
          <w:p w:rsidR="00FC5A33" w:rsidRPr="004F1879" w:rsidRDefault="00FC5A33" w:rsidP="00FC5A33">
            <w:pPr>
              <w:pStyle w:val="TableParagraph"/>
              <w:spacing w:before="16"/>
              <w:rPr>
                <w:i/>
                <w:sz w:val="20"/>
                <w:lang w:eastAsia="en-US"/>
              </w:rPr>
            </w:pPr>
            <w:r w:rsidRPr="004F1879">
              <w:rPr>
                <w:i/>
                <w:sz w:val="20"/>
                <w:lang w:eastAsia="en-US"/>
              </w:rPr>
              <w:t>Uľahčuje návrh vznik nových pracovných miest? Ak áno, ako? Ak je to možné, doplňte kvantifikáciu.</w:t>
            </w:r>
          </w:p>
        </w:tc>
      </w:tr>
      <w:tr w:rsidR="00FC5A33" w:rsidRPr="00B0567D" w:rsidTr="00FC5A33">
        <w:trPr>
          <w:trHeight w:val="2347"/>
        </w:trPr>
        <w:tc>
          <w:tcPr>
            <w:tcW w:w="3831" w:type="dxa"/>
          </w:tcPr>
          <w:p w:rsidR="00FC5A33" w:rsidRPr="004F1879" w:rsidRDefault="00FC5A33" w:rsidP="00FC5A33">
            <w:pPr>
              <w:pStyle w:val="TableParagraph"/>
              <w:spacing w:before="8"/>
              <w:ind w:right="175"/>
              <w:rPr>
                <w:i/>
                <w:sz w:val="18"/>
                <w:lang w:eastAsia="en-US"/>
              </w:rPr>
            </w:pPr>
            <w:r w:rsidRPr="004F1879">
              <w:rPr>
                <w:i/>
                <w:sz w:val="18"/>
                <w:lang w:eastAsia="en-US"/>
              </w:rPr>
              <w:t>Identifikujte, v ktorých sektoroch a odvetviach ekonomiky, v ktorých regiónoch, pre aké skupiny zamestnancov, o aké typy zamestnania</w:t>
            </w:r>
          </w:p>
          <w:p w:rsidR="00FC5A33" w:rsidRPr="004F1879" w:rsidRDefault="00FC5A33" w:rsidP="00FC5A33">
            <w:pPr>
              <w:pStyle w:val="TableParagraph"/>
              <w:spacing w:before="1"/>
              <w:rPr>
                <w:i/>
                <w:sz w:val="18"/>
                <w:lang w:eastAsia="en-US"/>
              </w:rPr>
            </w:pPr>
            <w:r w:rsidRPr="004F1879">
              <w:rPr>
                <w:i/>
                <w:sz w:val="18"/>
                <w:lang w:eastAsia="en-US"/>
              </w:rPr>
              <w:t>/pracovných úväzkov pôjde a pod.</w:t>
            </w:r>
          </w:p>
        </w:tc>
        <w:tc>
          <w:tcPr>
            <w:tcW w:w="5775" w:type="dxa"/>
          </w:tcPr>
          <w:p w:rsidR="00FC5A33" w:rsidRPr="004F1879" w:rsidRDefault="00580176" w:rsidP="00FC5A33">
            <w:pPr>
              <w:pStyle w:val="TableParagraph"/>
              <w:ind w:left="108" w:right="94"/>
              <w:jc w:val="both"/>
              <w:rPr>
                <w:sz w:val="20"/>
                <w:lang w:eastAsia="en-US"/>
              </w:rPr>
            </w:pPr>
            <w:r w:rsidRPr="001A5B02">
              <w:rPr>
                <w:rFonts w:eastAsia="Calibri"/>
                <w:sz w:val="20"/>
                <w:szCs w:val="20"/>
              </w:rPr>
              <w:t>Bez vplyvu.</w:t>
            </w:r>
          </w:p>
        </w:tc>
      </w:tr>
      <w:tr w:rsidR="00FC5A33" w:rsidRPr="00B0567D" w:rsidTr="00FC5A33">
        <w:trPr>
          <w:trHeight w:val="325"/>
        </w:trPr>
        <w:tc>
          <w:tcPr>
            <w:tcW w:w="9606" w:type="dxa"/>
            <w:gridSpan w:val="2"/>
            <w:shd w:val="clear" w:color="auto" w:fill="F1F1F1"/>
          </w:tcPr>
          <w:p w:rsidR="00FC5A33" w:rsidRPr="004F1879" w:rsidRDefault="00FC5A33" w:rsidP="00FC5A33">
            <w:pPr>
              <w:pStyle w:val="TableParagraph"/>
              <w:spacing w:before="16"/>
              <w:rPr>
                <w:i/>
                <w:sz w:val="20"/>
                <w:lang w:eastAsia="en-US"/>
              </w:rPr>
            </w:pPr>
            <w:r w:rsidRPr="004F1879">
              <w:rPr>
                <w:i/>
                <w:sz w:val="20"/>
                <w:lang w:eastAsia="en-US"/>
              </w:rPr>
              <w:t>Vedie návrh k zániku pracovných miest? Ak áno, ako a akých? Ak je to možné, doplňte kvantifikáciu.</w:t>
            </w:r>
          </w:p>
        </w:tc>
      </w:tr>
      <w:tr w:rsidR="00FC5A33" w:rsidRPr="00B0567D" w:rsidTr="00FC5A33">
        <w:trPr>
          <w:trHeight w:val="1298"/>
        </w:trPr>
        <w:tc>
          <w:tcPr>
            <w:tcW w:w="3831" w:type="dxa"/>
          </w:tcPr>
          <w:p w:rsidR="00FC5A33" w:rsidRPr="004F1879" w:rsidRDefault="00FC5A33" w:rsidP="00FC5A33">
            <w:pPr>
              <w:pStyle w:val="TableParagraph"/>
              <w:spacing w:before="18"/>
              <w:ind w:right="294"/>
              <w:rPr>
                <w:i/>
                <w:sz w:val="18"/>
                <w:lang w:eastAsia="en-US"/>
              </w:rPr>
            </w:pPr>
            <w:r w:rsidRPr="004F1879">
              <w:rPr>
                <w:i/>
                <w:sz w:val="18"/>
                <w:lang w:eastAsia="en-US"/>
              </w:rPr>
              <w:t>Identifikujte, v ktorých sektoroch a odvetviach ekonomiky, v ktorých regiónoch, o aké typy zamestnania /pracovných úväzkov pôjde a pod. Identifikujte možné dôsledky, skupiny zamestnancov, ktoré budú viac ovplyvnené</w:t>
            </w:r>
          </w:p>
          <w:p w:rsidR="00FC5A33" w:rsidRPr="004F1879" w:rsidRDefault="00FC5A33" w:rsidP="00FC5A33">
            <w:pPr>
              <w:pStyle w:val="TableParagraph"/>
              <w:spacing w:line="206" w:lineRule="exact"/>
              <w:rPr>
                <w:i/>
                <w:sz w:val="18"/>
                <w:lang w:eastAsia="en-US"/>
              </w:rPr>
            </w:pPr>
            <w:r w:rsidRPr="004F1879">
              <w:rPr>
                <w:i/>
                <w:sz w:val="18"/>
                <w:lang w:eastAsia="en-US"/>
              </w:rPr>
              <w:t>a rozsah vplyvu.</w:t>
            </w:r>
          </w:p>
        </w:tc>
        <w:tc>
          <w:tcPr>
            <w:tcW w:w="5775" w:type="dxa"/>
          </w:tcPr>
          <w:p w:rsidR="00FC5A33" w:rsidRPr="004F1879" w:rsidRDefault="00580176" w:rsidP="00FC5A33">
            <w:pPr>
              <w:pStyle w:val="TableParagraph"/>
              <w:spacing w:before="16"/>
              <w:ind w:left="108"/>
              <w:rPr>
                <w:sz w:val="20"/>
                <w:lang w:eastAsia="en-US"/>
              </w:rPr>
            </w:pPr>
            <w:r w:rsidRPr="001A5B02">
              <w:rPr>
                <w:rFonts w:eastAsia="Calibri"/>
                <w:sz w:val="20"/>
                <w:szCs w:val="20"/>
              </w:rPr>
              <w:t>Bez vplyvu.</w:t>
            </w:r>
          </w:p>
        </w:tc>
      </w:tr>
      <w:tr w:rsidR="00FC5A33" w:rsidRPr="00B0567D" w:rsidTr="00FC5A33">
        <w:trPr>
          <w:trHeight w:val="304"/>
        </w:trPr>
        <w:tc>
          <w:tcPr>
            <w:tcW w:w="9606" w:type="dxa"/>
            <w:gridSpan w:val="2"/>
            <w:shd w:val="clear" w:color="auto" w:fill="F1F1F1"/>
          </w:tcPr>
          <w:p w:rsidR="00FC5A33" w:rsidRPr="004F1879" w:rsidRDefault="00FC5A33" w:rsidP="00FC5A33">
            <w:pPr>
              <w:pStyle w:val="TableParagraph"/>
              <w:spacing w:before="17"/>
              <w:rPr>
                <w:i/>
                <w:sz w:val="20"/>
                <w:lang w:eastAsia="en-US"/>
              </w:rPr>
            </w:pPr>
            <w:r w:rsidRPr="004F1879">
              <w:rPr>
                <w:i/>
                <w:sz w:val="20"/>
                <w:lang w:eastAsia="en-US"/>
              </w:rPr>
              <w:t>Ovplyvňuje návrh dopyt po práci? Ak áno, ako?</w:t>
            </w:r>
          </w:p>
        </w:tc>
      </w:tr>
      <w:tr w:rsidR="00FC5A33" w:rsidRPr="00B0567D" w:rsidTr="00FC5A33">
        <w:trPr>
          <w:trHeight w:val="676"/>
        </w:trPr>
        <w:tc>
          <w:tcPr>
            <w:tcW w:w="3831" w:type="dxa"/>
          </w:tcPr>
          <w:p w:rsidR="00FC5A33" w:rsidRPr="004F1879" w:rsidRDefault="00FC5A33" w:rsidP="00FC5A33">
            <w:pPr>
              <w:pStyle w:val="TableParagraph"/>
              <w:spacing w:before="18"/>
              <w:ind w:right="429"/>
              <w:rPr>
                <w:i/>
                <w:sz w:val="18"/>
                <w:lang w:eastAsia="en-US"/>
              </w:rPr>
            </w:pPr>
            <w:r w:rsidRPr="004F1879">
              <w:rPr>
                <w:i/>
                <w:sz w:val="18"/>
                <w:lang w:eastAsia="en-US"/>
              </w:rPr>
              <w:t>Dopyt po práci závisí na jednej strane na produkcii tovarov a služieb v ekonomike a na druhej strane na cene práce.</w:t>
            </w:r>
          </w:p>
        </w:tc>
        <w:tc>
          <w:tcPr>
            <w:tcW w:w="5775" w:type="dxa"/>
          </w:tcPr>
          <w:p w:rsidR="00FC5A33" w:rsidRPr="004F1879" w:rsidRDefault="00FC5A33" w:rsidP="00FC5A33">
            <w:pPr>
              <w:pStyle w:val="TableParagraph"/>
              <w:spacing w:before="16"/>
              <w:ind w:left="108"/>
              <w:rPr>
                <w:sz w:val="20"/>
                <w:lang w:eastAsia="en-US"/>
              </w:rPr>
            </w:pPr>
            <w:r w:rsidRPr="004F1879">
              <w:rPr>
                <w:sz w:val="20"/>
                <w:lang w:eastAsia="en-US"/>
              </w:rPr>
              <w:t>Bez vplyvu.</w:t>
            </w:r>
          </w:p>
        </w:tc>
      </w:tr>
      <w:tr w:rsidR="00FC5A33" w:rsidRPr="00B0567D" w:rsidTr="00FC5A33">
        <w:trPr>
          <w:trHeight w:val="285"/>
        </w:trPr>
        <w:tc>
          <w:tcPr>
            <w:tcW w:w="9606" w:type="dxa"/>
            <w:gridSpan w:val="2"/>
            <w:shd w:val="clear" w:color="auto" w:fill="F1F1F1"/>
          </w:tcPr>
          <w:p w:rsidR="00FC5A33" w:rsidRPr="004F1879" w:rsidRDefault="00FC5A33" w:rsidP="00FC5A33">
            <w:pPr>
              <w:pStyle w:val="TableParagraph"/>
              <w:spacing w:before="16"/>
              <w:rPr>
                <w:i/>
                <w:sz w:val="20"/>
                <w:lang w:eastAsia="en-US"/>
              </w:rPr>
            </w:pPr>
            <w:r w:rsidRPr="004F1879">
              <w:rPr>
                <w:i/>
                <w:sz w:val="20"/>
                <w:lang w:eastAsia="en-US"/>
              </w:rPr>
              <w:t>Má návrh dosah na fungovanie trhu práce? Ak áno, aký?</w:t>
            </w:r>
          </w:p>
        </w:tc>
      </w:tr>
      <w:tr w:rsidR="00FC5A33" w:rsidRPr="00B0567D" w:rsidTr="00FC5A33">
        <w:trPr>
          <w:trHeight w:val="1713"/>
        </w:trPr>
        <w:tc>
          <w:tcPr>
            <w:tcW w:w="3831" w:type="dxa"/>
          </w:tcPr>
          <w:p w:rsidR="00FC5A33" w:rsidRPr="004F1879" w:rsidRDefault="00FC5A33" w:rsidP="00FC5A33">
            <w:pPr>
              <w:pStyle w:val="TableParagraph"/>
              <w:spacing w:before="18"/>
              <w:ind w:right="284"/>
              <w:rPr>
                <w:i/>
                <w:sz w:val="18"/>
                <w:lang w:eastAsia="en-US"/>
              </w:rPr>
            </w:pPr>
            <w:r w:rsidRPr="004F1879">
              <w:rPr>
                <w:i/>
                <w:sz w:val="18"/>
                <w:lang w:eastAsia="en-US"/>
              </w:rPr>
              <w:t>Týka sa makroekonomických dosahov ako je napr. participácia na trhu práce, dlhodobá nezamestnanosť, regionálne rozdiely v mierach zamestnanosti. Ponuka práce môže byť</w:t>
            </w:r>
          </w:p>
          <w:p w:rsidR="00FC5A33" w:rsidRPr="004F1879" w:rsidRDefault="00FC5A33" w:rsidP="00FC5A33">
            <w:pPr>
              <w:pStyle w:val="TableParagraph"/>
              <w:ind w:right="239"/>
              <w:rPr>
                <w:i/>
                <w:sz w:val="18"/>
                <w:lang w:eastAsia="en-US"/>
              </w:rPr>
            </w:pPr>
            <w:r w:rsidRPr="004F1879">
              <w:rPr>
                <w:i/>
                <w:sz w:val="18"/>
                <w:lang w:eastAsia="en-US"/>
              </w:rPr>
              <w:t>ovplyvnená rôznymi premennými napr. úrovňou miezd, inštitucionálnym nastavením (napr. zosúladenie pracovného a súkromného života alebo uľahčovanie rôznych foriem mobility).</w:t>
            </w:r>
          </w:p>
        </w:tc>
        <w:tc>
          <w:tcPr>
            <w:tcW w:w="5775" w:type="dxa"/>
          </w:tcPr>
          <w:p w:rsidR="00FC5A33" w:rsidRPr="004F1879" w:rsidRDefault="00FC5A33" w:rsidP="00FC5A33">
            <w:pPr>
              <w:pStyle w:val="TableParagraph"/>
              <w:spacing w:before="16"/>
              <w:ind w:left="108"/>
              <w:rPr>
                <w:sz w:val="20"/>
                <w:lang w:eastAsia="en-US"/>
              </w:rPr>
            </w:pPr>
            <w:r w:rsidRPr="004F1879">
              <w:rPr>
                <w:sz w:val="20"/>
                <w:lang w:eastAsia="en-US"/>
              </w:rPr>
              <w:t>Bez vplyvu.</w:t>
            </w:r>
          </w:p>
        </w:tc>
      </w:tr>
      <w:tr w:rsidR="00FC5A33" w:rsidRPr="00B0567D" w:rsidTr="00FC5A33">
        <w:trPr>
          <w:trHeight w:val="515"/>
        </w:trPr>
        <w:tc>
          <w:tcPr>
            <w:tcW w:w="9606" w:type="dxa"/>
            <w:gridSpan w:val="2"/>
            <w:shd w:val="clear" w:color="auto" w:fill="F1F1F1"/>
          </w:tcPr>
          <w:p w:rsidR="00FC5A33" w:rsidRPr="004F1879" w:rsidRDefault="00FC5A33" w:rsidP="00FC5A33">
            <w:pPr>
              <w:pStyle w:val="TableParagraph"/>
              <w:spacing w:before="16"/>
              <w:ind w:right="188"/>
              <w:rPr>
                <w:i/>
                <w:sz w:val="20"/>
                <w:lang w:eastAsia="en-US"/>
              </w:rPr>
            </w:pPr>
            <w:r w:rsidRPr="004F1879">
              <w:rPr>
                <w:i/>
                <w:sz w:val="20"/>
                <w:lang w:eastAsia="en-US"/>
              </w:rPr>
              <w:t>Má návrh špecifické negatívne dôsledky pre isté skupiny profesií, skupín zamestnancov či živnostníkov? Ak áno, aké a pre ktoré skupiny?</w:t>
            </w:r>
          </w:p>
        </w:tc>
      </w:tr>
      <w:tr w:rsidR="00FC5A33" w:rsidRPr="00B0567D" w:rsidTr="00FC5A33">
        <w:trPr>
          <w:trHeight w:val="676"/>
        </w:trPr>
        <w:tc>
          <w:tcPr>
            <w:tcW w:w="3831" w:type="dxa"/>
          </w:tcPr>
          <w:p w:rsidR="00FC5A33" w:rsidRPr="004F1879" w:rsidRDefault="00FC5A33" w:rsidP="00FC5A33">
            <w:pPr>
              <w:pStyle w:val="TableParagraph"/>
              <w:spacing w:before="18"/>
              <w:ind w:right="219"/>
              <w:rPr>
                <w:i/>
                <w:sz w:val="18"/>
                <w:lang w:eastAsia="en-US"/>
              </w:rPr>
            </w:pPr>
            <w:r w:rsidRPr="004F1879">
              <w:rPr>
                <w:i/>
                <w:sz w:val="18"/>
                <w:lang w:eastAsia="en-US"/>
              </w:rPr>
              <w:t>Návrh môže ohrozovať napr. pracovníkov istých profesií favorizovaním špecifických aktivít či</w:t>
            </w:r>
          </w:p>
          <w:p w:rsidR="00FC5A33" w:rsidRPr="004F1879" w:rsidRDefault="00FC5A33" w:rsidP="00FC5A33">
            <w:pPr>
              <w:pStyle w:val="TableParagraph"/>
              <w:spacing w:line="206" w:lineRule="exact"/>
              <w:rPr>
                <w:i/>
                <w:sz w:val="18"/>
                <w:lang w:eastAsia="en-US"/>
              </w:rPr>
            </w:pPr>
            <w:r w:rsidRPr="004F1879">
              <w:rPr>
                <w:i/>
                <w:sz w:val="18"/>
                <w:lang w:eastAsia="en-US"/>
              </w:rPr>
              <w:t>technológií.</w:t>
            </w:r>
          </w:p>
        </w:tc>
        <w:tc>
          <w:tcPr>
            <w:tcW w:w="5775" w:type="dxa"/>
          </w:tcPr>
          <w:p w:rsidR="00FC5A33" w:rsidRPr="004F1879" w:rsidRDefault="00FC5A33" w:rsidP="00FC5A33">
            <w:pPr>
              <w:pStyle w:val="TableParagraph"/>
              <w:spacing w:before="16"/>
              <w:ind w:left="108"/>
              <w:rPr>
                <w:sz w:val="20"/>
                <w:lang w:eastAsia="en-US"/>
              </w:rPr>
            </w:pPr>
            <w:r w:rsidRPr="004F1879">
              <w:rPr>
                <w:sz w:val="20"/>
                <w:lang w:eastAsia="en-US"/>
              </w:rPr>
              <w:t>Bez vplyvu.</w:t>
            </w:r>
          </w:p>
        </w:tc>
      </w:tr>
      <w:tr w:rsidR="00FC5A33" w:rsidRPr="00B0567D" w:rsidTr="00FC5A33">
        <w:trPr>
          <w:trHeight w:val="285"/>
        </w:trPr>
        <w:tc>
          <w:tcPr>
            <w:tcW w:w="9606" w:type="dxa"/>
            <w:gridSpan w:val="2"/>
            <w:shd w:val="clear" w:color="auto" w:fill="F1F1F1"/>
          </w:tcPr>
          <w:p w:rsidR="00FC5A33" w:rsidRPr="004F1879" w:rsidRDefault="00FC5A33" w:rsidP="00FC5A33">
            <w:pPr>
              <w:pStyle w:val="TableParagraph"/>
              <w:spacing w:before="16"/>
              <w:rPr>
                <w:i/>
                <w:sz w:val="20"/>
                <w:lang w:eastAsia="en-US"/>
              </w:rPr>
            </w:pPr>
            <w:r w:rsidRPr="004F1879">
              <w:rPr>
                <w:i/>
                <w:sz w:val="20"/>
                <w:lang w:eastAsia="en-US"/>
              </w:rPr>
              <w:t>Ovplyvňuje návrh špecifické vekové skupiny zamestnancov? Ak áno, aké? Akým spôsobom?</w:t>
            </w:r>
          </w:p>
        </w:tc>
      </w:tr>
      <w:tr w:rsidR="00FC5A33" w:rsidRPr="00B0567D" w:rsidTr="00FC5A33">
        <w:trPr>
          <w:trHeight w:val="885"/>
        </w:trPr>
        <w:tc>
          <w:tcPr>
            <w:tcW w:w="3831" w:type="dxa"/>
          </w:tcPr>
          <w:p w:rsidR="00FC5A33" w:rsidRPr="004F1879" w:rsidRDefault="00FC5A33" w:rsidP="00FC5A33">
            <w:pPr>
              <w:pStyle w:val="TableParagraph"/>
              <w:spacing w:before="18"/>
              <w:ind w:right="89"/>
              <w:rPr>
                <w:i/>
                <w:sz w:val="18"/>
                <w:lang w:eastAsia="en-US"/>
              </w:rPr>
            </w:pPr>
            <w:r w:rsidRPr="004F1879">
              <w:rPr>
                <w:i/>
                <w:sz w:val="18"/>
                <w:lang w:eastAsia="en-US"/>
              </w:rPr>
              <w:t>Identifikujte, či návrh môže ovplyvniť rozhodnutia zamestnancov alebo zamestnávateľov a môže byť zdrojom neskoršieho vstupu na trh práce alebo predčasného odchodu z trhu práce jednotlivcov.“</w:t>
            </w:r>
          </w:p>
        </w:tc>
        <w:tc>
          <w:tcPr>
            <w:tcW w:w="5775" w:type="dxa"/>
          </w:tcPr>
          <w:p w:rsidR="00FC5A33" w:rsidRPr="004F1879" w:rsidRDefault="00FC5A33" w:rsidP="00FC5A33">
            <w:pPr>
              <w:pStyle w:val="TableParagraph"/>
              <w:spacing w:before="16"/>
              <w:ind w:left="108"/>
              <w:rPr>
                <w:sz w:val="20"/>
                <w:lang w:eastAsia="en-US"/>
              </w:rPr>
            </w:pPr>
            <w:r w:rsidRPr="004F1879">
              <w:rPr>
                <w:sz w:val="20"/>
                <w:lang w:eastAsia="en-US"/>
              </w:rPr>
              <w:t>Bez vplyvu.</w:t>
            </w:r>
          </w:p>
        </w:tc>
      </w:tr>
    </w:tbl>
    <w:p w:rsidR="00FC5A33" w:rsidRPr="00B0567D" w:rsidRDefault="00FC5A33" w:rsidP="00FC5A33"/>
    <w:p w:rsidR="00FC5A33" w:rsidRDefault="00FC5A33" w:rsidP="00FC5A33">
      <w:pPr>
        <w:pStyle w:val="Zkladntext"/>
        <w:spacing w:before="120" w:line="240" w:lineRule="auto"/>
      </w:pPr>
    </w:p>
    <w:p w:rsidR="00FC5A33" w:rsidRDefault="00FC5A33" w:rsidP="00FC5A33">
      <w:pPr>
        <w:pStyle w:val="Zkladntext"/>
        <w:spacing w:before="120" w:line="240" w:lineRule="auto"/>
      </w:pPr>
    </w:p>
    <w:p w:rsidR="00FC5A33" w:rsidRDefault="00FC5A33" w:rsidP="00FC5A33">
      <w:pPr>
        <w:pStyle w:val="Zkladntext"/>
        <w:spacing w:before="120" w:line="240" w:lineRule="auto"/>
      </w:pPr>
    </w:p>
    <w:p w:rsidR="00FC5A33" w:rsidRDefault="00FC5A33" w:rsidP="00FC5A33">
      <w:pPr>
        <w:pStyle w:val="Zkladntext"/>
        <w:spacing w:before="120" w:line="240" w:lineRule="auto"/>
      </w:pPr>
    </w:p>
    <w:p w:rsidR="00FC5A33" w:rsidRDefault="00FC5A33" w:rsidP="00FC5A33">
      <w:pPr>
        <w:pStyle w:val="Zkladntext"/>
        <w:spacing w:before="120" w:line="240" w:lineRule="auto"/>
      </w:pPr>
    </w:p>
    <w:p w:rsidR="00FC5A33" w:rsidRDefault="00FC5A33" w:rsidP="00FC5A33">
      <w:pPr>
        <w:pStyle w:val="Zkladntext"/>
        <w:spacing w:before="120" w:line="240" w:lineRule="auto"/>
      </w:pPr>
    </w:p>
    <w:p w:rsidR="00FC5A33" w:rsidRDefault="00FC5A33"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Pr="00580176" w:rsidRDefault="00580176" w:rsidP="00580176">
      <w:pPr>
        <w:autoSpaceDE w:val="0"/>
        <w:autoSpaceDN w:val="0"/>
        <w:ind w:right="143"/>
        <w:jc w:val="center"/>
        <w:rPr>
          <w:b/>
          <w:caps/>
          <w:spacing w:val="30"/>
        </w:rPr>
      </w:pPr>
      <w:r w:rsidRPr="00580176">
        <w:rPr>
          <w:b/>
          <w:caps/>
          <w:spacing w:val="30"/>
        </w:rPr>
        <w:t>Doložka zlučiteľnosti</w:t>
      </w:r>
    </w:p>
    <w:p w:rsidR="00580176" w:rsidRPr="00580176" w:rsidRDefault="00580176" w:rsidP="00580176">
      <w:pPr>
        <w:autoSpaceDE w:val="0"/>
        <w:autoSpaceDN w:val="0"/>
        <w:ind w:right="143"/>
        <w:jc w:val="center"/>
        <w:rPr>
          <w:b/>
        </w:rPr>
      </w:pPr>
      <w:r w:rsidRPr="00580176">
        <w:rPr>
          <w:b/>
        </w:rPr>
        <w:t xml:space="preserve"> návrhu zákona s právom Európskej únie </w:t>
      </w:r>
    </w:p>
    <w:p w:rsidR="00580176" w:rsidRPr="00580176" w:rsidRDefault="00580176" w:rsidP="00580176">
      <w:pPr>
        <w:autoSpaceDE w:val="0"/>
        <w:autoSpaceDN w:val="0"/>
        <w:ind w:right="143"/>
      </w:pPr>
    </w:p>
    <w:p w:rsidR="00580176" w:rsidRPr="00580176" w:rsidRDefault="00580176" w:rsidP="00580176">
      <w:pPr>
        <w:autoSpaceDE w:val="0"/>
        <w:autoSpaceDN w:val="0"/>
        <w:ind w:right="143"/>
      </w:pPr>
    </w:p>
    <w:p w:rsidR="00580176" w:rsidRPr="00580176" w:rsidRDefault="00580176" w:rsidP="00580176">
      <w:pPr>
        <w:numPr>
          <w:ilvl w:val="0"/>
          <w:numId w:val="3"/>
        </w:numPr>
        <w:autoSpaceDE w:val="0"/>
        <w:autoSpaceDN w:val="0"/>
        <w:ind w:left="360" w:right="143"/>
        <w:contextualSpacing/>
        <w:rPr>
          <w:b/>
        </w:rPr>
      </w:pPr>
      <w:r w:rsidRPr="00580176">
        <w:rPr>
          <w:b/>
        </w:rPr>
        <w:t>Navrhovateľ zákona:</w:t>
      </w:r>
      <w:r w:rsidRPr="00580176">
        <w:t xml:space="preserve"> </w:t>
      </w:r>
    </w:p>
    <w:p w:rsidR="00580176" w:rsidRPr="00580176" w:rsidRDefault="00580176" w:rsidP="00580176">
      <w:pPr>
        <w:tabs>
          <w:tab w:val="left" w:pos="284"/>
          <w:tab w:val="left" w:pos="426"/>
        </w:tabs>
        <w:autoSpaceDE w:val="0"/>
        <w:autoSpaceDN w:val="0"/>
        <w:spacing w:before="120"/>
        <w:ind w:right="142"/>
        <w:rPr>
          <w:b/>
        </w:rPr>
      </w:pPr>
      <w:r w:rsidRPr="00580176">
        <w:tab/>
        <w:t>Ministerstvo dopravy a výstavby Slovenskej republiky</w:t>
      </w:r>
      <w:r w:rsidRPr="00580176">
        <w:rPr>
          <w:b/>
        </w:rPr>
        <w:t xml:space="preserve"> </w:t>
      </w:r>
    </w:p>
    <w:p w:rsidR="00580176" w:rsidRPr="00580176" w:rsidRDefault="00580176" w:rsidP="00580176">
      <w:pPr>
        <w:tabs>
          <w:tab w:val="left" w:pos="360"/>
        </w:tabs>
        <w:autoSpaceDE w:val="0"/>
        <w:autoSpaceDN w:val="0"/>
        <w:ind w:left="360" w:right="143"/>
      </w:pPr>
      <w:r w:rsidRPr="00580176">
        <w:t xml:space="preserve"> </w:t>
      </w:r>
    </w:p>
    <w:p w:rsidR="00580176" w:rsidRPr="00580176" w:rsidRDefault="00580176" w:rsidP="00580176">
      <w:pPr>
        <w:numPr>
          <w:ilvl w:val="0"/>
          <w:numId w:val="3"/>
        </w:numPr>
        <w:autoSpaceDE w:val="0"/>
        <w:autoSpaceDN w:val="0"/>
        <w:ind w:left="360" w:right="143"/>
        <w:contextualSpacing/>
      </w:pPr>
      <w:r w:rsidRPr="00580176">
        <w:rPr>
          <w:b/>
        </w:rPr>
        <w:t>Názov návrhu zákona:</w:t>
      </w:r>
      <w:r w:rsidRPr="00580176">
        <w:t xml:space="preserve"> </w:t>
      </w:r>
    </w:p>
    <w:p w:rsidR="00580176" w:rsidRPr="00580176" w:rsidRDefault="00580176" w:rsidP="00580176">
      <w:pPr>
        <w:autoSpaceDE w:val="0"/>
        <w:autoSpaceDN w:val="0"/>
        <w:spacing w:before="120"/>
        <w:ind w:left="357" w:right="142"/>
        <w:jc w:val="both"/>
        <w:rPr>
          <w:bCs/>
          <w:lang w:val="x-none"/>
        </w:rPr>
      </w:pPr>
      <w:r w:rsidRPr="00580176">
        <w:t xml:space="preserve">Zákon, </w:t>
      </w:r>
      <w:r w:rsidRPr="00580176">
        <w:rPr>
          <w:bCs/>
          <w:lang w:val="x-none"/>
        </w:rPr>
        <w:t xml:space="preserve">ktorým sa mení a dopĺňa zákon č. </w:t>
      </w:r>
      <w:r w:rsidRPr="00580176">
        <w:rPr>
          <w:bCs/>
        </w:rPr>
        <w:t>443/2010</w:t>
      </w:r>
      <w:r w:rsidRPr="00580176">
        <w:rPr>
          <w:bCs/>
          <w:lang w:val="x-none"/>
        </w:rPr>
        <w:t xml:space="preserve"> Z. z. o </w:t>
      </w:r>
      <w:r w:rsidRPr="00580176">
        <w:rPr>
          <w:bCs/>
        </w:rPr>
        <w:t xml:space="preserve">dotáciách na rozvoj bývania a o sociálnom bývaní v znení neskorších predpisov </w:t>
      </w:r>
    </w:p>
    <w:p w:rsidR="00580176" w:rsidRPr="00580176" w:rsidRDefault="00580176" w:rsidP="00580176">
      <w:pPr>
        <w:autoSpaceDE w:val="0"/>
        <w:autoSpaceDN w:val="0"/>
        <w:spacing w:before="120"/>
        <w:ind w:left="357" w:right="142"/>
        <w:jc w:val="both"/>
      </w:pPr>
    </w:p>
    <w:p w:rsidR="00580176" w:rsidRPr="00580176" w:rsidRDefault="00580176" w:rsidP="00580176">
      <w:pPr>
        <w:numPr>
          <w:ilvl w:val="0"/>
          <w:numId w:val="3"/>
        </w:numPr>
        <w:autoSpaceDE w:val="0"/>
        <w:autoSpaceDN w:val="0"/>
        <w:ind w:left="360" w:right="143"/>
        <w:contextualSpacing/>
        <w:rPr>
          <w:b/>
        </w:rPr>
      </w:pPr>
      <w:r w:rsidRPr="00580176">
        <w:rPr>
          <w:b/>
        </w:rPr>
        <w:t>Predmet návrhu zákona je – nie je upravený v práve Európskej únie:</w:t>
      </w:r>
    </w:p>
    <w:p w:rsidR="00580176" w:rsidRPr="00580176" w:rsidRDefault="00580176" w:rsidP="00580176">
      <w:pPr>
        <w:autoSpaceDE w:val="0"/>
        <w:autoSpaceDN w:val="0"/>
        <w:ind w:right="143" w:firstLine="360"/>
      </w:pPr>
    </w:p>
    <w:p w:rsidR="00580176" w:rsidRPr="00580176" w:rsidRDefault="00580176" w:rsidP="00580176">
      <w:pPr>
        <w:numPr>
          <w:ilvl w:val="0"/>
          <w:numId w:val="4"/>
        </w:numPr>
        <w:autoSpaceDE w:val="0"/>
        <w:autoSpaceDN w:val="0"/>
        <w:ind w:right="143"/>
        <w:contextualSpacing/>
      </w:pPr>
      <w:r w:rsidRPr="00580176">
        <w:t>nie je upravený v primárnom práve Európskej únie,</w:t>
      </w:r>
    </w:p>
    <w:p w:rsidR="00580176" w:rsidRPr="00580176" w:rsidRDefault="00580176" w:rsidP="00580176">
      <w:pPr>
        <w:numPr>
          <w:ilvl w:val="0"/>
          <w:numId w:val="4"/>
        </w:numPr>
        <w:autoSpaceDE w:val="0"/>
        <w:autoSpaceDN w:val="0"/>
        <w:spacing w:before="120"/>
        <w:ind w:right="144"/>
        <w:contextualSpacing/>
      </w:pPr>
      <w:r w:rsidRPr="00580176">
        <w:t>nie je upravený v sekundárnom práve Európskej únie,</w:t>
      </w:r>
    </w:p>
    <w:p w:rsidR="00580176" w:rsidRPr="00580176" w:rsidRDefault="00580176" w:rsidP="00580176">
      <w:pPr>
        <w:numPr>
          <w:ilvl w:val="0"/>
          <w:numId w:val="4"/>
        </w:numPr>
        <w:autoSpaceDE w:val="0"/>
        <w:autoSpaceDN w:val="0"/>
        <w:ind w:left="714" w:right="142" w:hanging="357"/>
      </w:pPr>
      <w:r w:rsidRPr="00580176">
        <w:t>nie je obsiahnutý v judikatúre Súdneho dvora Európskej únie.</w:t>
      </w:r>
    </w:p>
    <w:p w:rsidR="00580176" w:rsidRPr="00580176" w:rsidRDefault="00580176" w:rsidP="00580176">
      <w:pPr>
        <w:autoSpaceDE w:val="0"/>
        <w:autoSpaceDN w:val="0"/>
        <w:ind w:left="709" w:right="143" w:hanging="349"/>
      </w:pPr>
    </w:p>
    <w:p w:rsidR="00580176" w:rsidRPr="00580176" w:rsidRDefault="00580176" w:rsidP="00580176">
      <w:pPr>
        <w:autoSpaceDE w:val="0"/>
        <w:autoSpaceDN w:val="0"/>
        <w:ind w:left="360" w:right="143"/>
        <w:contextualSpacing/>
        <w:jc w:val="both"/>
      </w:pPr>
      <w:r w:rsidRPr="00580176">
        <w:rPr>
          <w:lang w:val="ru-RU"/>
        </w:rPr>
        <w:t>Vzhľadom na vnútroštátny charakter navrhovaného právneho predpisu je bezpredmetné vyjadrovať sa k bodom 4. a 5. doložky zlučiteľnosti</w:t>
      </w:r>
      <w:r w:rsidRPr="00580176">
        <w:t>.</w:t>
      </w:r>
    </w:p>
    <w:p w:rsidR="00580176" w:rsidRPr="00580176" w:rsidRDefault="00580176" w:rsidP="00580176">
      <w:pPr>
        <w:autoSpaceDE w:val="0"/>
        <w:autoSpaceDN w:val="0"/>
        <w:ind w:right="143"/>
      </w:pPr>
    </w:p>
    <w:p w:rsidR="00580176" w:rsidRDefault="00580176" w:rsidP="00BA028C">
      <w:pPr>
        <w:pStyle w:val="Zkladntext"/>
        <w:spacing w:before="120" w:line="240" w:lineRule="auto"/>
        <w:ind w:firstLine="709"/>
      </w:pPr>
    </w:p>
    <w:p w:rsidR="00FC5A33" w:rsidRDefault="00FC5A33" w:rsidP="00BA028C">
      <w:pPr>
        <w:pStyle w:val="Zkladntext"/>
        <w:spacing w:before="120" w:line="240" w:lineRule="auto"/>
        <w:ind w:firstLine="709"/>
      </w:pPr>
    </w:p>
    <w:p w:rsidR="00FC5A33" w:rsidRDefault="00FC5A33" w:rsidP="00BA028C">
      <w:pPr>
        <w:pStyle w:val="Zkladntext"/>
        <w:spacing w:before="120" w:line="240" w:lineRule="auto"/>
        <w:ind w:firstLine="709"/>
      </w:pPr>
    </w:p>
    <w:p w:rsidR="00FC5A33" w:rsidRDefault="00FC5A33"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Pr="00580176" w:rsidRDefault="00580176" w:rsidP="00580176">
      <w:pPr>
        <w:widowControl/>
        <w:jc w:val="both"/>
        <w:rPr>
          <w:b/>
        </w:rPr>
      </w:pPr>
      <w:r w:rsidRPr="00580176">
        <w:rPr>
          <w:b/>
        </w:rPr>
        <w:t>B. Osobitná časť</w:t>
      </w:r>
    </w:p>
    <w:p w:rsidR="00580176" w:rsidRPr="00580176" w:rsidRDefault="00580176" w:rsidP="00580176">
      <w:pPr>
        <w:keepNext/>
        <w:spacing w:before="240" w:after="60"/>
        <w:outlineLvl w:val="0"/>
        <w:rPr>
          <w:b/>
          <w:bCs/>
          <w:kern w:val="32"/>
        </w:rPr>
      </w:pPr>
      <w:r w:rsidRPr="00580176">
        <w:rPr>
          <w:b/>
          <w:bCs/>
          <w:kern w:val="32"/>
        </w:rPr>
        <w:t>Čl. I </w:t>
      </w:r>
    </w:p>
    <w:p w:rsidR="00580176" w:rsidRPr="00580176" w:rsidRDefault="00580176" w:rsidP="00580176">
      <w:pPr>
        <w:spacing w:before="120"/>
        <w:rPr>
          <w:b/>
        </w:rPr>
      </w:pPr>
      <w:r w:rsidRPr="00580176">
        <w:rPr>
          <w:b/>
        </w:rPr>
        <w:t>K bodom 1 a 2</w:t>
      </w:r>
    </w:p>
    <w:p w:rsidR="00580176" w:rsidRPr="00580176" w:rsidRDefault="00580176" w:rsidP="00580176">
      <w:pPr>
        <w:spacing w:before="120"/>
        <w:jc w:val="both"/>
      </w:pPr>
      <w:r w:rsidRPr="00580176">
        <w:t>Vzhľadom na požiadavku vyplývajúcu z predpisov v oblasti technickej normalizácie aby normatívny predpis neodkazoval na technickú normu, ktorá nie je verejne k dispozícii, sa navrhuje upraviť definíciu bežného štandardu a nižšieho štandardu nájomného bytu. Nájomný byt bude musieť byť navrhnutý tak, aby zodpovedal príslušnej technickej norme (STN 73 4301: Budovy na bývanie) alebo inej obdobnej technickej špecifikácii.</w:t>
      </w:r>
    </w:p>
    <w:p w:rsidR="00580176" w:rsidRPr="00580176" w:rsidRDefault="00580176" w:rsidP="00580176">
      <w:pPr>
        <w:spacing w:before="120"/>
        <w:rPr>
          <w:b/>
        </w:rPr>
      </w:pPr>
      <w:r w:rsidRPr="00580176">
        <w:rPr>
          <w:b/>
        </w:rPr>
        <w:t>K bodom 3, 6 až 8</w:t>
      </w:r>
    </w:p>
    <w:p w:rsidR="00580176" w:rsidRPr="00580176" w:rsidRDefault="00580176" w:rsidP="00580176">
      <w:pPr>
        <w:spacing w:before="120"/>
        <w:jc w:val="both"/>
      </w:pPr>
      <w:r w:rsidRPr="00580176">
        <w:t>Navrhuje sa zo zákona vypustiť definíciu plochy obytnej miestnosti, ktorá bola odlišná od definície stanovenej predpismi v oblasti výstavby a povoľovania stavieb. Zároveň sa zužuje okruh výnimiek, ktoré sa započítavajú, resp. nezapočítavajú do podlahovej plochy nájomného bytu. Dosiahne sa tak jednoduchší výpočet podlahovej plochy nájomných bytov pre žiadateľov a projektantov, ktorí navrhujú projekty nájomných bytov.</w:t>
      </w:r>
    </w:p>
    <w:p w:rsidR="00580176" w:rsidRPr="00580176" w:rsidRDefault="00580176" w:rsidP="00580176">
      <w:pPr>
        <w:spacing w:before="120"/>
        <w:rPr>
          <w:b/>
        </w:rPr>
      </w:pPr>
      <w:r w:rsidRPr="00580176">
        <w:rPr>
          <w:b/>
        </w:rPr>
        <w:t>K bodu 4</w:t>
      </w:r>
    </w:p>
    <w:p w:rsidR="00580176" w:rsidRPr="00580176" w:rsidRDefault="00580176" w:rsidP="00580176">
      <w:pPr>
        <w:spacing w:before="120"/>
        <w:jc w:val="both"/>
      </w:pPr>
      <w:r w:rsidRPr="00580176">
        <w:t>Navrhuje sa doplniť definíciu systémovej poruchy tak, aby z nej bolo zrejmé, že ide o systémovú poruchu bytového domu postaveného panelovou technológiou.</w:t>
      </w:r>
    </w:p>
    <w:p w:rsidR="00580176" w:rsidRPr="00580176" w:rsidRDefault="00580176" w:rsidP="00580176">
      <w:pPr>
        <w:spacing w:before="120"/>
        <w:rPr>
          <w:b/>
        </w:rPr>
      </w:pPr>
      <w:r w:rsidRPr="00580176">
        <w:rPr>
          <w:b/>
        </w:rPr>
        <w:t>K bodu 5</w:t>
      </w:r>
    </w:p>
    <w:p w:rsidR="00580176" w:rsidRPr="00580176" w:rsidRDefault="00580176" w:rsidP="00580176">
      <w:pPr>
        <w:spacing w:before="120"/>
        <w:jc w:val="both"/>
      </w:pPr>
      <w:r w:rsidRPr="00580176">
        <w:t>Legislatívno-technická úprava nadväzujúca na výkladové problémy z aplikačnej praxe. Dotáciou na obstaranie technickej vybavenosti však naďalej bude možné podporiť len tú technickú vybavenosť, ktorá podmieňuje užívanie obstarávaných nájomných bytov.</w:t>
      </w:r>
    </w:p>
    <w:p w:rsidR="00580176" w:rsidRPr="00580176" w:rsidRDefault="00580176" w:rsidP="00580176">
      <w:pPr>
        <w:spacing w:before="120"/>
        <w:rPr>
          <w:b/>
        </w:rPr>
      </w:pPr>
      <w:r w:rsidRPr="00580176">
        <w:rPr>
          <w:b/>
        </w:rPr>
        <w:t>K bodu 9</w:t>
      </w:r>
    </w:p>
    <w:p w:rsidR="00580176" w:rsidRPr="00580176" w:rsidRDefault="00580176" w:rsidP="00580176">
      <w:pPr>
        <w:spacing w:before="120"/>
        <w:jc w:val="both"/>
      </w:pPr>
      <w:r w:rsidRPr="00580176">
        <w:t>Za účelom sprehľadnenia podmienok poskytovania podpory na obstaranie nájomných bytov sa navrhuje preformulovať znenie § 4 ods. 1 zákona, ktorý upravuje spôsoby, akými možno obstarávať nájomný byt s využitím dotácie. Oproti súčasnej právnej úprave dochádza tiež k rozšíreniu o možnosť poskytnutia dotácie na obstaranie nájomného bytu nadstavbou alebo prístavbou ostatnej budovy na bývanie.</w:t>
      </w:r>
    </w:p>
    <w:p w:rsidR="00580176" w:rsidRPr="00580176" w:rsidRDefault="00580176" w:rsidP="00580176">
      <w:pPr>
        <w:spacing w:before="120"/>
        <w:jc w:val="both"/>
      </w:pPr>
      <w:r w:rsidRPr="00580176">
        <w:t>Navrhovaná formulácia bude obsahovo totožná s úpravou v zákone č. 150/2013 Z. z. o Štátnom fonde rozvoja bývania v znení neskorších predpisov. Od takto jednotnej a prehľadnej právnej úpravy sa očakáva zvýšenie záujmu zo strany žiadateľov o obstarávanie nájomných bytov.</w:t>
      </w:r>
    </w:p>
    <w:p w:rsidR="00580176" w:rsidRPr="00580176" w:rsidRDefault="00580176" w:rsidP="00580176">
      <w:pPr>
        <w:spacing w:before="120"/>
        <w:rPr>
          <w:b/>
        </w:rPr>
      </w:pPr>
      <w:r w:rsidRPr="00580176">
        <w:rPr>
          <w:b/>
        </w:rPr>
        <w:t>K bodu 10</w:t>
      </w:r>
    </w:p>
    <w:p w:rsidR="00580176" w:rsidRPr="00580176" w:rsidRDefault="00580176" w:rsidP="00580176">
      <w:pPr>
        <w:spacing w:before="120"/>
        <w:jc w:val="both"/>
        <w:rPr>
          <w:b/>
        </w:rPr>
      </w:pPr>
      <w:r w:rsidRPr="00580176">
        <w:t>Účelom tejto zmeny je zlepšiť adresnosť poskytovanej podpory do oblasti sociálneho bývania, aby žiadatelia mohli obstarávať nájomné byty v rodinných domoch, ktoré budú mať po dokončení minimálne dve bytové jednotky.</w:t>
      </w:r>
    </w:p>
    <w:p w:rsidR="00580176" w:rsidRPr="00580176" w:rsidRDefault="00580176" w:rsidP="00580176">
      <w:pPr>
        <w:spacing w:before="120"/>
        <w:rPr>
          <w:b/>
        </w:rPr>
      </w:pPr>
      <w:r w:rsidRPr="00580176">
        <w:rPr>
          <w:b/>
        </w:rPr>
        <w:t>K bodu 11</w:t>
      </w:r>
    </w:p>
    <w:p w:rsidR="00580176" w:rsidRPr="00580176" w:rsidRDefault="00580176" w:rsidP="00580176">
      <w:pPr>
        <w:spacing w:before="120"/>
        <w:jc w:val="both"/>
      </w:pPr>
      <w:r w:rsidRPr="00580176">
        <w:t xml:space="preserve">Navrhuje sa zo zákona vypustiť podmienku, na základe ktorej museli žiadatelia obstarávať minimálne štyri nájomné byty, ak ich obstarávali nadstavbou, prístavbou alebo stavebnými úpravami existujúcich stavieb. Žiadatelia tak získajú väčšiu flexibilitu čo sa týka počtu nájomných bytov, ktoré by mohli obstarávať. </w:t>
      </w:r>
    </w:p>
    <w:p w:rsidR="00580176" w:rsidRPr="00580176" w:rsidRDefault="00580176" w:rsidP="00580176">
      <w:pPr>
        <w:spacing w:before="120"/>
        <w:rPr>
          <w:b/>
        </w:rPr>
      </w:pPr>
    </w:p>
    <w:p w:rsidR="00580176" w:rsidRPr="00580176" w:rsidRDefault="00580176" w:rsidP="00580176">
      <w:pPr>
        <w:spacing w:before="120"/>
        <w:rPr>
          <w:b/>
        </w:rPr>
      </w:pPr>
      <w:r w:rsidRPr="00580176">
        <w:rPr>
          <w:b/>
        </w:rPr>
        <w:t>K bodu 12</w:t>
      </w:r>
    </w:p>
    <w:p w:rsidR="00580176" w:rsidRPr="00580176" w:rsidRDefault="00580176" w:rsidP="00580176">
      <w:pPr>
        <w:spacing w:before="120"/>
        <w:jc w:val="both"/>
      </w:pPr>
      <w:r w:rsidRPr="00580176">
        <w:t>Zmenou definície kúpy nájomného bytu sa žiadateľom umožní obstarať nájomný byt aj od druhého, resp. neskoršieho vlastníka bytu. Zmenou definície budú môcť žiadatelia obstarávať napríklad byty, ktoré sú predmetom dražby. Naďalej však bude musieť ísť o novostavby, ktoré boli stavebným úradom dané do užívania menej ako tri roky pred podaním žiadosti.</w:t>
      </w:r>
    </w:p>
    <w:p w:rsidR="00580176" w:rsidRPr="00580176" w:rsidRDefault="00580176" w:rsidP="00580176">
      <w:pPr>
        <w:spacing w:before="120"/>
        <w:rPr>
          <w:b/>
        </w:rPr>
      </w:pPr>
      <w:r w:rsidRPr="00580176">
        <w:rPr>
          <w:b/>
        </w:rPr>
        <w:t>K bodom 13, 15 a 17</w:t>
      </w:r>
    </w:p>
    <w:p w:rsidR="00580176" w:rsidRPr="00580176" w:rsidRDefault="00580176" w:rsidP="00580176">
      <w:pPr>
        <w:spacing w:before="120"/>
        <w:jc w:val="both"/>
      </w:pPr>
      <w:r w:rsidRPr="00580176">
        <w:t>Gramatická úprava v súlade s legislatívno-technickými pokynmi.</w:t>
      </w:r>
    </w:p>
    <w:p w:rsidR="00580176" w:rsidRPr="00580176" w:rsidRDefault="00580176" w:rsidP="00580176">
      <w:pPr>
        <w:spacing w:before="120"/>
        <w:rPr>
          <w:b/>
        </w:rPr>
      </w:pPr>
      <w:r w:rsidRPr="00580176">
        <w:rPr>
          <w:b/>
        </w:rPr>
        <w:t>K bodom 14 a 16</w:t>
      </w:r>
    </w:p>
    <w:p w:rsidR="00580176" w:rsidRPr="00580176" w:rsidRDefault="00580176" w:rsidP="00580176">
      <w:pPr>
        <w:spacing w:before="120"/>
        <w:jc w:val="both"/>
      </w:pPr>
      <w:r w:rsidRPr="00580176">
        <w:t>Legislatívno-technická úprava.</w:t>
      </w:r>
    </w:p>
    <w:p w:rsidR="00580176" w:rsidRPr="00580176" w:rsidRDefault="00580176" w:rsidP="00580176">
      <w:pPr>
        <w:spacing w:before="120"/>
        <w:rPr>
          <w:b/>
        </w:rPr>
      </w:pPr>
      <w:r w:rsidRPr="00580176">
        <w:rPr>
          <w:b/>
        </w:rPr>
        <w:t>K bodu 18</w:t>
      </w:r>
    </w:p>
    <w:p w:rsidR="00580176" w:rsidRPr="00580176" w:rsidRDefault="00580176" w:rsidP="00580176">
      <w:pPr>
        <w:spacing w:before="120"/>
        <w:jc w:val="both"/>
      </w:pPr>
      <w:r w:rsidRPr="00580176">
        <w:t>V prípade obstarávania nájomných bytov bežného štandardu sa navrhuje stanoviť dve pásma pre určenie výšky dotácie, a to  40 % z obstarávacích nákladov, ak priemerná podlahová plocha nájomných bytov nepresahuje 52 m</w:t>
      </w:r>
      <w:r w:rsidRPr="00580176">
        <w:rPr>
          <w:vertAlign w:val="superscript"/>
        </w:rPr>
        <w:t>2</w:t>
      </w:r>
      <w:r w:rsidRPr="00580176">
        <w:t xml:space="preserve"> a 35 % z obstarávacích nákladov, ak priemerná podlahová plocha nájomných bytov presahuje 52 m</w:t>
      </w:r>
      <w:r w:rsidRPr="00580176">
        <w:rPr>
          <w:vertAlign w:val="superscript"/>
        </w:rPr>
        <w:t>2</w:t>
      </w:r>
      <w:r w:rsidRPr="00580176">
        <w:t xml:space="preserve"> a nepresahuje 60 m</w:t>
      </w:r>
      <w:r w:rsidRPr="00580176">
        <w:rPr>
          <w:vertAlign w:val="superscript"/>
        </w:rPr>
        <w:t>2</w:t>
      </w:r>
      <w:r w:rsidRPr="00580176">
        <w:t>.</w:t>
      </w:r>
    </w:p>
    <w:p w:rsidR="00580176" w:rsidRPr="00580176" w:rsidRDefault="00580176" w:rsidP="00580176">
      <w:pPr>
        <w:spacing w:before="120"/>
        <w:jc w:val="both"/>
      </w:pPr>
      <w:r w:rsidRPr="00580176">
        <w:t>V prípade obstarávania nájomných bytov nižšieho štandardu sa navrhuje stanoviť jedno pásmo pre určenie výšky dotácie, a to vo výške 75 % z obstarávacích nákladov, ak priemerná podlahová plocha nájomných bytov neprevyšuje 55 m</w:t>
      </w:r>
      <w:r w:rsidRPr="00580176">
        <w:rPr>
          <w:vertAlign w:val="superscript"/>
        </w:rPr>
        <w:t>2</w:t>
      </w:r>
      <w:r w:rsidRPr="00580176">
        <w:t>.</w:t>
      </w:r>
    </w:p>
    <w:p w:rsidR="00580176" w:rsidRPr="00580176" w:rsidRDefault="00580176" w:rsidP="00580176">
      <w:pPr>
        <w:spacing w:before="120"/>
        <w:jc w:val="both"/>
      </w:pPr>
      <w:r w:rsidRPr="00580176">
        <w:t>Oproti súčasnej úprave tak dôjde k zjednodušeniu pravidiel, čo znamená zvýšenie poskytovanej dotácie. Zavádza sa tiež možnosť zvýšiť podiel poskytnutej dotácie, ak zhotoviteľom nájomných bytov bude registrovaný sociálny podnik podľa zákona č. 112/2018 Z. z. o sociálnej ekonomike a sociálnych podnikoch a o zmene a doplnení niektorých zákonov. Cieľom tejto úpravy je v súlade s prioritami štátu podporiť subjekty, ktoré vykonávajú svoju činnosť za účelom dosiahnutia pozitívneho sociálneho vplyvu.</w:t>
      </w:r>
    </w:p>
    <w:p w:rsidR="00580176" w:rsidRPr="00580176" w:rsidRDefault="00580176" w:rsidP="00580176">
      <w:pPr>
        <w:spacing w:before="120"/>
        <w:jc w:val="both"/>
      </w:pPr>
      <w:r w:rsidRPr="00580176">
        <w:t>Za účelom odstránenia výkladových nejasností a sprehľadnenia právnej úpravy v oblasti podpory nájomného bývania sa navrhuje zmena pojmu „oprávnené náklady“ na „obstarávacie náklady“, ktorý lepšie reprezentuje výšku nákladov, ktoré žiadateľ vynaložil v súvislosti s obstaraním nájomného bytu.</w:t>
      </w:r>
    </w:p>
    <w:p w:rsidR="00580176" w:rsidRPr="00580176" w:rsidRDefault="00580176" w:rsidP="00580176">
      <w:pPr>
        <w:spacing w:before="120"/>
        <w:jc w:val="both"/>
      </w:pPr>
      <w:r w:rsidRPr="00580176">
        <w:t>Navrhuje sa tiež umožniť žiadateľom, ktorí budú obstarávať minimálne šesť nájomných bytov nižšieho štandardu, aby si do obstarávacích nákladov stavby, z ktorých sa vypočítava výška poskytnutej dotácie, mohli zahrnúť aj náklady na obstaranie miestnosti, ktorá bude určená pre ich špecifické potreby v súvislosti s prenájmom podporených nájomných bytov (napr. poskytovanie sociálnej služby alebo ochrany objektu). Toto opatrenie bude mať pozitívny sociálny vplyv najmä v marginalizovaných komunitách. Pre poskytnutie dotácie bude naďalej platiť podmienka, že výška obstarávacích nákladov na 1 m</w:t>
      </w:r>
      <w:r w:rsidRPr="00580176">
        <w:rPr>
          <w:vertAlign w:val="superscript"/>
        </w:rPr>
        <w:t>2</w:t>
      </w:r>
      <w:r w:rsidRPr="00580176">
        <w:t xml:space="preserve"> podlahovej plochy bytu nesmie prekročiť hranicu stanovenú vo vykonávacom právnom predpise. Keďže plocha takejto miestnosti pre špecifické potreby sa nebude zahŕňať do plochy bytov, snahy o špekulatívne obstarávanie rozsiahlych priestorov na základe tejto výnimky sú značne obmedzené.</w:t>
      </w:r>
    </w:p>
    <w:p w:rsidR="00580176" w:rsidRPr="00580176" w:rsidRDefault="00580176" w:rsidP="00580176">
      <w:pPr>
        <w:spacing w:before="120"/>
        <w:rPr>
          <w:b/>
        </w:rPr>
      </w:pPr>
      <w:r w:rsidRPr="00580176">
        <w:rPr>
          <w:b/>
        </w:rPr>
        <w:t>K bodom 19 a 26</w:t>
      </w:r>
    </w:p>
    <w:p w:rsidR="00580176" w:rsidRPr="00580176" w:rsidRDefault="00580176" w:rsidP="00580176">
      <w:pPr>
        <w:spacing w:before="120"/>
        <w:jc w:val="both"/>
      </w:pPr>
      <w:r w:rsidRPr="00580176">
        <w:t>Legislatívno-technická úprava v súvislosti so zmenou definície nákladov v bode 18.</w:t>
      </w:r>
    </w:p>
    <w:p w:rsidR="00580176" w:rsidRPr="00580176" w:rsidRDefault="00580176" w:rsidP="00580176">
      <w:pPr>
        <w:spacing w:before="120"/>
        <w:rPr>
          <w:b/>
        </w:rPr>
      </w:pPr>
      <w:r w:rsidRPr="00580176">
        <w:rPr>
          <w:b/>
        </w:rPr>
        <w:t>K bodu 20</w:t>
      </w:r>
    </w:p>
    <w:p w:rsidR="00580176" w:rsidRPr="00580176" w:rsidRDefault="00580176" w:rsidP="00580176">
      <w:pPr>
        <w:spacing w:before="120"/>
        <w:jc w:val="both"/>
      </w:pPr>
      <w:r w:rsidRPr="00580176">
        <w:t>Podľa súčasného znenia zákona musí žiadateľ – vyšší územný celok pre poskytnutie dotácie preukázať, že obstarávaním nájomného bytu a súvisiacej technickej vybavenosti rieši bytové problémy, ktoré sa týkajú viacerých obcí na území samosprávneho kraja a zabezpečuje činnosti podľa zákona č. 302/2001 Z. z. o samospráve vyšších územných celkov (zákon o samosprávnych krajoch) v znení neskorších predpisov. Táto podmienka však už stratila svoje opodstatnenie a navrhuje sa ju vypustiť. Podmienky pre poskytnutie dotácie žiadateľovi, ktorým je samosprávny kraj tak budú totožné s podmienkami pre žiadateľa, ktorým je obec. Aj táto drobná zmena môže pomôcť k zvýšeniu počtu obstarávaných nájomných bytov zo strany samospráv.</w:t>
      </w:r>
    </w:p>
    <w:p w:rsidR="00580176" w:rsidRPr="00580176" w:rsidRDefault="00580176" w:rsidP="00580176">
      <w:pPr>
        <w:spacing w:before="120"/>
        <w:jc w:val="both"/>
      </w:pPr>
      <w:r w:rsidRPr="00580176">
        <w:t>Zároveň sa navrhuje v zákone jednoznačne zadefinovať, že dotáciu na obstaranie toho istého nájomného bytu je možné poskytnúť iba raz.</w:t>
      </w:r>
    </w:p>
    <w:p w:rsidR="00580176" w:rsidRPr="00580176" w:rsidRDefault="00580176" w:rsidP="00580176">
      <w:pPr>
        <w:spacing w:before="120"/>
        <w:rPr>
          <w:b/>
        </w:rPr>
      </w:pPr>
      <w:r w:rsidRPr="00580176">
        <w:rPr>
          <w:b/>
        </w:rPr>
        <w:t>K bodu 21</w:t>
      </w:r>
    </w:p>
    <w:p w:rsidR="00580176" w:rsidRPr="00580176" w:rsidRDefault="00580176" w:rsidP="00580176">
      <w:pPr>
        <w:spacing w:before="120"/>
        <w:jc w:val="both"/>
      </w:pPr>
      <w:r w:rsidRPr="00580176">
        <w:t>Legislatívno-technická úprava.</w:t>
      </w:r>
    </w:p>
    <w:p w:rsidR="00580176" w:rsidRPr="00580176" w:rsidRDefault="00580176" w:rsidP="00580176">
      <w:pPr>
        <w:spacing w:before="120"/>
        <w:rPr>
          <w:b/>
        </w:rPr>
      </w:pPr>
      <w:r w:rsidRPr="00580176">
        <w:rPr>
          <w:b/>
        </w:rPr>
        <w:t>K bodu 22</w:t>
      </w:r>
    </w:p>
    <w:p w:rsidR="00580176" w:rsidRPr="00580176" w:rsidRDefault="00580176" w:rsidP="00580176">
      <w:pPr>
        <w:spacing w:before="120"/>
        <w:jc w:val="both"/>
      </w:pPr>
      <w:r w:rsidRPr="00580176">
        <w:t>V súvislosti s rozšírením možností obstarávania nájomných bytov získaných nadstavbou alebo prístavbou ostatných budov na bývanie sa navrhuje zaviesť povinnosť, aby všetky technické zariadenia ostatnej budovy na bývanie boli vymenené najviac 5 rokov pred podaním žiadosti alebo budú vymenené počas realizácie stavebných úprav. Cieľom tejto úpravy je zabezpečiť, že dotačné finančné prostriedky budú použité na obstaranie nájomných bytov v stavbe s moderným technickým vybavením, čo zabezpečí vysokú kvalitu bývania.</w:t>
      </w:r>
    </w:p>
    <w:p w:rsidR="00580176" w:rsidRPr="00580176" w:rsidRDefault="00580176" w:rsidP="00580176">
      <w:pPr>
        <w:spacing w:before="120"/>
        <w:jc w:val="both"/>
        <w:rPr>
          <w:b/>
        </w:rPr>
      </w:pPr>
      <w:r w:rsidRPr="00580176">
        <w:rPr>
          <w:b/>
        </w:rPr>
        <w:t>K bodu 23</w:t>
      </w:r>
    </w:p>
    <w:p w:rsidR="00580176" w:rsidRPr="00580176" w:rsidRDefault="00580176" w:rsidP="00580176">
      <w:pPr>
        <w:spacing w:before="120"/>
        <w:jc w:val="both"/>
      </w:pPr>
      <w:r w:rsidRPr="00580176">
        <w:t xml:space="preserve">Žiadatelia môžu obstarávať nájomné byty kúpou aj v prípade, ak majú so zhotoviteľom stavby uzatvorenú zmluvu o budúcej kúpnej zmluve, pričom následnú kúpnu zmluvu musia uzatvoriť najneskôr do konca mesiaca august v druhom kalendárnom roku nasledujúcom po roku, v ktorom bola uzatvorená zmluva o poskytnutí dotácie. Takto ohraničené obdobie im zabezpečuje dostatok času na zhotovenie stavby, zároveň však bráni zbytočnému predlžovaniu a predražovaniu procesu výstavby a tým pádom zabezpečuje aj hospodárne nakladanie s verejnými prostriedkami. Vzhľadom na predĺženie termínu na podávanie žiadostí (novelizačný bod 36) sa navrhuje predĺžiť aj termín na uzatvorenie následnej kúpnej zmluvy, a to do konca mesiaca december v druhom kalendárnom roku nasledujúcom po roku, v ktorom bola uzatvorená zmluva o poskytnutí dotácie. </w:t>
      </w:r>
    </w:p>
    <w:p w:rsidR="00580176" w:rsidRPr="00580176" w:rsidRDefault="00580176" w:rsidP="00580176">
      <w:pPr>
        <w:spacing w:before="120"/>
        <w:rPr>
          <w:b/>
        </w:rPr>
      </w:pPr>
      <w:r w:rsidRPr="00580176">
        <w:rPr>
          <w:b/>
        </w:rPr>
        <w:t>K bodu 24</w:t>
      </w:r>
    </w:p>
    <w:p w:rsidR="00580176" w:rsidRPr="00580176" w:rsidRDefault="00580176" w:rsidP="00580176">
      <w:pPr>
        <w:spacing w:before="120"/>
        <w:jc w:val="both"/>
      </w:pPr>
      <w:r w:rsidRPr="00580176">
        <w:t>Podmienkou poskytnutia dotácie je zriadenie záložného práva na zachovanie nájomného charakteru podporených nájomných bytov. Navrhuje sa rozšíriť pôsobnosť záložného práva aj na zabezpečenie vrátenia poskytnutej dotácie, ak by žiadateľ svojim konaním porušil pravidlá a podmienky, za ktorých bola dotácia poskytnutá.</w:t>
      </w:r>
    </w:p>
    <w:p w:rsidR="00580176" w:rsidRPr="00580176" w:rsidRDefault="00580176" w:rsidP="00580176">
      <w:pPr>
        <w:spacing w:before="120"/>
        <w:rPr>
          <w:b/>
        </w:rPr>
      </w:pPr>
      <w:r w:rsidRPr="00580176">
        <w:rPr>
          <w:b/>
        </w:rPr>
        <w:t>K bodu 25</w:t>
      </w:r>
    </w:p>
    <w:p w:rsidR="00580176" w:rsidRPr="00580176" w:rsidRDefault="00580176" w:rsidP="00580176">
      <w:pPr>
        <w:spacing w:before="120"/>
        <w:jc w:val="both"/>
      </w:pPr>
      <w:r w:rsidRPr="00580176">
        <w:t xml:space="preserve">Navrhuje sa zo zákona vypustiť povinnosť vypracovať a predložiť záverečné technicko-ekonomické hodnotenie stavby. Táto povinnosť v praxi stratila svoje opodstatnenie. Vypustením tejto povinnosti sa zníži administratívna náročnosť procesu čerpania priznanej dotácie, čo bude v prospech žiadateľa. </w:t>
      </w:r>
    </w:p>
    <w:p w:rsidR="00580176" w:rsidRPr="00580176" w:rsidRDefault="00580176" w:rsidP="00580176">
      <w:pPr>
        <w:spacing w:before="120"/>
        <w:rPr>
          <w:b/>
        </w:rPr>
      </w:pPr>
      <w:r w:rsidRPr="00580176">
        <w:rPr>
          <w:b/>
        </w:rPr>
        <w:t>K bodu 27</w:t>
      </w:r>
    </w:p>
    <w:p w:rsidR="00580176" w:rsidRPr="00580176" w:rsidRDefault="00580176" w:rsidP="00580176">
      <w:pPr>
        <w:spacing w:before="120"/>
        <w:jc w:val="both"/>
      </w:pPr>
      <w:r w:rsidRPr="00580176">
        <w:t>Navrhovanou úpravou sa reflektuje na pripomienky odbornej verejnosti venujúcej sa problematike osôb so zdravotným znevýhodnením. Tieto osoby majú iné požiadavky na dispozičné riešenie či vybavenie bytu než bežné osoby a tým pádom majú problém obstarať si bývanie na voľnom trhu. Navrhuje sa preto ako podmienku poskytnutia dotácie stanoviť, že minimálne 10 % z celkového počtu obstarávaných nájomných bytov musí byť navrhnutých univerzálne z hľadiska stavebných konštrukcií a to tak, aby tieto byty mohli využívať osoby so zdravotným postihnutím bez dodatočných stavebných úprav týchto konštrukcií. Podrobnosti univerzálneho navrhovania ustanoví ministerstvo vo všeobecne záväznom predpise.</w:t>
      </w:r>
    </w:p>
    <w:p w:rsidR="00580176" w:rsidRPr="00580176" w:rsidRDefault="00580176" w:rsidP="00580176">
      <w:pPr>
        <w:spacing w:before="120"/>
        <w:jc w:val="both"/>
      </w:pPr>
      <w:r w:rsidRPr="00580176">
        <w:t>Aby sa minimalizoval negatívny dopad tejto úpravy na už rozbehnuté investičné projekty, navrhuje sa odložiť účinnosť tohto ustanovenia o dva roky, t. j. táto povinnosť sa bude prvýkrát vzťahovať až na žiadosti podané v roku 2023.</w:t>
      </w:r>
    </w:p>
    <w:p w:rsidR="00580176" w:rsidRPr="00580176" w:rsidRDefault="00580176" w:rsidP="00580176">
      <w:pPr>
        <w:spacing w:before="120"/>
        <w:rPr>
          <w:b/>
        </w:rPr>
      </w:pPr>
      <w:r w:rsidRPr="00580176">
        <w:rPr>
          <w:b/>
        </w:rPr>
        <w:t>K bodu 28</w:t>
      </w:r>
    </w:p>
    <w:p w:rsidR="00580176" w:rsidRPr="00580176" w:rsidRDefault="00580176" w:rsidP="00580176">
      <w:pPr>
        <w:spacing w:before="120"/>
        <w:jc w:val="both"/>
      </w:pPr>
      <w:r w:rsidRPr="00580176">
        <w:t xml:space="preserve">Účelom poskytovanej dotácie na obstaranie nájomných bytov je zvýšiť počet nájomných bytov. Navrhuje sa preto do zákona jednoznačne stanoviť, že ak dôjde k nedodržaniu nájomného charakteru, žiadateľ bude povinný vrátiť poskytnutú dotáciu a uhradiť odvod vo výške 10 % z poskytnutej dotácie. Pri ukladaní a vymáhaní tejto sankcie bude ministerstvo postupovať podľa zákona č. 71/1967 Zb. o správnom konaní (správny poriadok) v znení neskorších predpisov. </w:t>
      </w:r>
    </w:p>
    <w:p w:rsidR="00580176" w:rsidRPr="00580176" w:rsidRDefault="00580176" w:rsidP="00580176">
      <w:pPr>
        <w:spacing w:before="120"/>
        <w:rPr>
          <w:b/>
        </w:rPr>
      </w:pPr>
      <w:r w:rsidRPr="00580176">
        <w:rPr>
          <w:b/>
        </w:rPr>
        <w:t>K bodu 29</w:t>
      </w:r>
    </w:p>
    <w:p w:rsidR="00580176" w:rsidRPr="00580176" w:rsidRDefault="00580176" w:rsidP="00580176">
      <w:pPr>
        <w:spacing w:before="120"/>
        <w:jc w:val="both"/>
      </w:pPr>
      <w:r w:rsidRPr="00580176">
        <w:t>V súčasnosti platné znenie zákona upravuje ako povinnú náležitosť nájomnej zmluvy zoznam osôb tvoriacich domácnosť nájomcu. Domácnosťou sa tu rozumejú fyzické osoby, ktoré spolu trvale žijú a spoločne uhradzujú náklady na svoje potreby podľa § 115 Občianskeho zákonníka. Vlastník nájomného bytu však zároveň má overovať príjem oprávnenej fyzickej osoby a ostatných osôb tvoriacich domácnosť podľa zákona č. 601/2003 Z. z. o životnom minime a o zmene a doplnení niektorých zákonov v znení neskorších predpisov. Tento predpis však definuje okruh spoločne posudzovaných osôb odchylne. V praxi tak žiadatelia mali problémy posudzovať splnenie zákonných podmienok pri domácnostiach tvorených druhom a družkou (bez spoločných detí), dospelými súrodencami či v prípade, ak sa starí rodičia starajú o svoje maloleté vnúčatá.</w:t>
      </w:r>
    </w:p>
    <w:p w:rsidR="00580176" w:rsidRPr="00580176" w:rsidRDefault="00580176" w:rsidP="00580176">
      <w:pPr>
        <w:spacing w:before="120"/>
        <w:jc w:val="both"/>
      </w:pPr>
      <w:r w:rsidRPr="00580176">
        <w:t xml:space="preserve">Aby sa tieto aplikačné problémy minimalizovali, navrhuje sa v zákone namiesto pojmu „domácnosť“ používať jednoznačný opis a teda nájomný byt môže užívať nájomca a osoby, žijúce spolu s ním v byte. </w:t>
      </w:r>
    </w:p>
    <w:p w:rsidR="00580176" w:rsidRPr="00580176" w:rsidRDefault="00580176" w:rsidP="00580176">
      <w:pPr>
        <w:spacing w:before="120"/>
        <w:rPr>
          <w:b/>
        </w:rPr>
      </w:pPr>
      <w:r w:rsidRPr="00580176">
        <w:rPr>
          <w:b/>
        </w:rPr>
        <w:t>K bodu 30</w:t>
      </w:r>
    </w:p>
    <w:p w:rsidR="00580176" w:rsidRPr="00580176" w:rsidRDefault="00580176" w:rsidP="00580176">
      <w:pPr>
        <w:spacing w:before="120"/>
        <w:jc w:val="both"/>
      </w:pPr>
      <w:r w:rsidRPr="00580176">
        <w:t>V rámci výkonu kontroly sa zistilo, že v niektorých prípadoch nájomcovia ponúkali im pridelený nájomný byt na rôznych inzertných fórach do podnájmu a požadované nájomné bolo vyššie než regulované nájomné, ktoré oni sami platili. Takéto konanie nie je súlade s účelom sociálneho bývania. Navrhuje sa preto ustanoviť ako povinnú náležitosť nájomnej zmluvy vyhlásenie nájomcu, že si je vedomý skutočnosti, že nájomný byt alebo jeho časť nie je oprávnený prenechať do podnájmu tretej osobe. Vylúčia sa tak prípady, kedy nájomca takto konal z nevedomosti. Ak napriek tomu bude verejne ponúkať pridelený nájomný byt do podnájmu, pôjde o úmyselné konanie, ktoré môže byť sankcionované okamžitým ukončením nájomného vzťahu.</w:t>
      </w:r>
    </w:p>
    <w:p w:rsidR="00580176" w:rsidRPr="00580176" w:rsidRDefault="00580176" w:rsidP="00580176">
      <w:pPr>
        <w:spacing w:before="120"/>
        <w:rPr>
          <w:b/>
        </w:rPr>
      </w:pPr>
      <w:r w:rsidRPr="00580176">
        <w:rPr>
          <w:b/>
        </w:rPr>
        <w:t>K bodom 31 a 32</w:t>
      </w:r>
    </w:p>
    <w:p w:rsidR="00580176" w:rsidRPr="00580176" w:rsidRDefault="00580176" w:rsidP="00580176">
      <w:pPr>
        <w:spacing w:before="120"/>
        <w:jc w:val="both"/>
      </w:pPr>
      <w:r w:rsidRPr="00580176">
        <w:t>Legislatívno-technická úprava.</w:t>
      </w:r>
    </w:p>
    <w:p w:rsidR="00580176" w:rsidRPr="00580176" w:rsidRDefault="00580176" w:rsidP="00580176">
      <w:pPr>
        <w:spacing w:before="120"/>
        <w:rPr>
          <w:b/>
        </w:rPr>
      </w:pPr>
      <w:r w:rsidRPr="00580176">
        <w:rPr>
          <w:b/>
        </w:rPr>
        <w:t>K bodu 33</w:t>
      </w:r>
    </w:p>
    <w:p w:rsidR="00580176" w:rsidRPr="00580176" w:rsidRDefault="00580176" w:rsidP="00580176">
      <w:pPr>
        <w:spacing w:before="120"/>
        <w:jc w:val="both"/>
      </w:pPr>
      <w:r w:rsidRPr="00580176">
        <w:t>Zmena formulácie v dôsledku zmeny definície okruhu osôb, ktoré užívajú nájomný byt. Bližšie zdôvodnenie tejto zmeny je uvedené v odôvodnení k bodu 29.</w:t>
      </w:r>
    </w:p>
    <w:p w:rsidR="00580176" w:rsidRPr="00580176" w:rsidRDefault="00580176" w:rsidP="00580176">
      <w:pPr>
        <w:spacing w:before="120"/>
        <w:rPr>
          <w:b/>
        </w:rPr>
      </w:pPr>
      <w:r w:rsidRPr="00580176">
        <w:rPr>
          <w:b/>
        </w:rPr>
        <w:t>K bodom 34 a 35</w:t>
      </w:r>
    </w:p>
    <w:p w:rsidR="00580176" w:rsidRPr="00580176" w:rsidRDefault="00580176" w:rsidP="00580176">
      <w:pPr>
        <w:spacing w:before="120"/>
        <w:jc w:val="both"/>
      </w:pPr>
      <w:r w:rsidRPr="00580176">
        <w:t>V prípade opakovaného uzatvorenia nájomnej zmluvy sa navrhuje zvýšiť limit príjmu oprávnenej fyzickej osoby a ostatných osôb, žijúcich s ňou v byte z </w:t>
      </w:r>
      <w:proofErr w:type="spellStart"/>
      <w:r w:rsidRPr="00580176">
        <w:t>triapolnásobku</w:t>
      </w:r>
      <w:proofErr w:type="spellEnd"/>
      <w:r w:rsidRPr="00580176">
        <w:t xml:space="preserve"> životného minima na štvornásobok životného minima. V prípade oprávnených fyzických osôb podľa § 22 ods. 3 písm. b) zákona sa tento limit navrhuje zvýšiť zo </w:t>
      </w:r>
      <w:proofErr w:type="spellStart"/>
      <w:r w:rsidRPr="00580176">
        <w:t>štyriapolnásobku</w:t>
      </w:r>
      <w:proofErr w:type="spellEnd"/>
      <w:r w:rsidRPr="00580176">
        <w:t xml:space="preserve"> životného minima na päťnásobok životného minima. Limit príjmu vo výške päťnásobku životného minima sa uplatní aj na oprávnenú fyzickú osobu podľa § 22 ods. 3 písm. c), ktorou sa rozumie fyzická osoba, ktorá žije sama a jej mesačný príjem nepresahuje štvornásobok životného minima.</w:t>
      </w:r>
    </w:p>
    <w:p w:rsidR="00580176" w:rsidRPr="00580176" w:rsidRDefault="00580176" w:rsidP="00580176">
      <w:pPr>
        <w:spacing w:before="120"/>
        <w:jc w:val="both"/>
      </w:pPr>
      <w:r w:rsidRPr="00580176">
        <w:t>Toto opatrenie bude mať pozitívne sociálne vplyvy predovšetkým na tie skupiny nájomcov, ktorým sa zvýšil príjem počas trvania nájomnej zmluvy. Zníži sa tak riziko, že kvôli jednorazovému zvýšeniu svojho príjmu prídu o právo užívať pridelený nájomný byt.</w:t>
      </w:r>
    </w:p>
    <w:p w:rsidR="00580176" w:rsidRPr="00580176" w:rsidRDefault="00580176" w:rsidP="00580176">
      <w:pPr>
        <w:spacing w:before="120"/>
        <w:rPr>
          <w:b/>
        </w:rPr>
      </w:pPr>
      <w:r w:rsidRPr="00580176">
        <w:rPr>
          <w:b/>
        </w:rPr>
        <w:t>K bodu 36</w:t>
      </w:r>
    </w:p>
    <w:p w:rsidR="00580176" w:rsidRPr="00580176" w:rsidRDefault="00580176" w:rsidP="00580176">
      <w:pPr>
        <w:spacing w:before="120"/>
        <w:jc w:val="both"/>
      </w:pPr>
      <w:r w:rsidRPr="00580176">
        <w:t>Okruh oprávnených fyzických osôb, ktorým môže byť poskytnutý nájomný byt sa navrhuje rozšíriť o fyzické osoby, ktoré chce samospráva ako vlastník nájomného bytu ubytovať z dôvodov hodných osobitného zreteľa. Mesačný príjem týchto osôb spolu s mesačným príjmom ostatných osôb žijúcich s nimi v byte nemusí spĺňať limity stanovené v § 22 ods. 3 písm. a) a b) zákona, čiže môže ísť aj o osoby s vyšším príjmom. Na druhú stranu, nebudú mať právo na opakované uzatvorenie nájomnej zmluvy. Po uplynutí dohodnutej doby nájmu (najdlhšie však tri roky) sa tak môže vlastník nájomného bytu rozhodnúť, že novú nájomnú zmluvu s nimi neuzatvorí.</w:t>
      </w:r>
    </w:p>
    <w:p w:rsidR="00580176" w:rsidRPr="00580176" w:rsidRDefault="00580176" w:rsidP="00580176">
      <w:pPr>
        <w:spacing w:before="120"/>
        <w:rPr>
          <w:b/>
        </w:rPr>
      </w:pPr>
      <w:r w:rsidRPr="00580176">
        <w:rPr>
          <w:b/>
        </w:rPr>
        <w:t>K bodu 37</w:t>
      </w:r>
    </w:p>
    <w:p w:rsidR="00580176" w:rsidRPr="00580176" w:rsidRDefault="00580176" w:rsidP="00580176">
      <w:pPr>
        <w:spacing w:before="120"/>
        <w:jc w:val="both"/>
      </w:pPr>
      <w:r w:rsidRPr="00580176">
        <w:t xml:space="preserve">Systémová porucha bytového domu je definovaná v § 2 ods. 1 písm. n) zákona. Systémovými poruchami trpeli predovšetkým bytové domy vystavané panelovou technológiou v rámci komplexnej bytovej výstavby (KBV), ktoré boli následne v 90 – rokoch odpredávané do súkromného vlastníctva. Keďže miestami katastrofálny technický stav týchto budov bol aj dôsledkom nedostatočnej intervencie zo strany štátu ako dovtedajšieho vlastníka, zaviedla sa možnosť poskytovať dotácie vlastníkom bytov a nebytových priestorov na odstránenie systémovej poruchy bytového domu. </w:t>
      </w:r>
    </w:p>
    <w:p w:rsidR="00580176" w:rsidRPr="00580176" w:rsidRDefault="00580176" w:rsidP="00580176">
      <w:pPr>
        <w:spacing w:before="120"/>
        <w:jc w:val="both"/>
      </w:pPr>
      <w:r w:rsidRPr="00580176">
        <w:t>Navrhuje sa preto do zákona doplniť podmienku poskytnutia dotácie na odstránenie systémovej poruchy bytového domu, že právoplatné kolaudačné rozhodnutie bolo vydané pred 1. januárom 1994. Jednoznačne sa tak o poskytnutie dotácie nebudú môcť uchádzať vlastníci bytov a nebytových priestorov, ktorí majú bytové domy postavené v neskoršom období. Tieto bytové domy nie sú stavané panelovou technológiou a ich nedostatočný technický stav nie je spôsobený zvolenou technológiou v procese výstavby ale prevažne nedostatočnou starostlivosťou o bytový dom vlastníkmi bytov a nebytových priestorov v tomto dome.</w:t>
      </w:r>
    </w:p>
    <w:p w:rsidR="00580176" w:rsidRPr="00580176" w:rsidRDefault="00580176" w:rsidP="00580176">
      <w:pPr>
        <w:spacing w:before="120"/>
        <w:rPr>
          <w:b/>
        </w:rPr>
      </w:pPr>
      <w:r w:rsidRPr="00580176">
        <w:rPr>
          <w:b/>
        </w:rPr>
        <w:t>K bodom 38 a 39</w:t>
      </w:r>
    </w:p>
    <w:p w:rsidR="00580176" w:rsidRPr="00580176" w:rsidRDefault="00580176" w:rsidP="00580176">
      <w:pPr>
        <w:spacing w:before="120"/>
        <w:jc w:val="both"/>
      </w:pPr>
      <w:r w:rsidRPr="00580176">
        <w:t>Za účelom zvýšenia atraktivity pre žiadateľov a zvýšenia počtu bytov obstarávaných vo verejnom nájomnom sektore sa navrhuje niekoľko zmien v procese podávania a prijímania žiadostí.</w:t>
      </w:r>
    </w:p>
    <w:p w:rsidR="00580176" w:rsidRPr="00580176" w:rsidRDefault="00580176" w:rsidP="00580176">
      <w:pPr>
        <w:spacing w:before="120"/>
        <w:jc w:val="both"/>
      </w:pPr>
      <w:r w:rsidRPr="00580176">
        <w:t>Koniec lehoty na predkladanie žiadostí sa predlžuje z 28. februára až na 31. mája príslušného roka. Žiadatelia tak získajú viac času na prípravu svojich žiadostí. Okresný úrad v sídle kraja, ktorý žiadosti prijíma, bude mať 15 pracovných dní od doručenia žiadosti na overenie jej úplnosti. V prípade nedostatkov žiadosti okresný úrad v sídle kraja vyzve žiadateľa na odstránenie týchto nedostatkov, pričom mu na to určí primeranú lehotu, najviac však 30 pracovných dní. Eliminujú sa tak prípady, kedy boli žiadosti vrátené ako nevyhovujúce kvôli drobným nezrovnalostiam, ktoré môžu byť odstránené. Doručené žiadosti budú ministerstvu zasielané v poradí podľa dátumu doručenia úplnej žiadosti. Ostatné kritériá pre stanovenie poradia žiadostí sa nebudú uplatňovať. Ak však okresný úrad v sídle kraja vyzve žiadateľa na odstránenie nedostatkov, takáto žiadosť automaticky stráca poradie a môžu ju predbehnúť žiadosti, ktoré boli síce doručené okresnému úradu neskôr, avšak boli už pri predložení úplné. Žiadosti, ktoré budú zjavne v rozpore s podmienkami zákona, alebo v nich žiadateľ na výzvu okresného úradu v sídle kraja neodstránil nedostatky, budú vrátené žiadateľovi.</w:t>
      </w:r>
    </w:p>
    <w:p w:rsidR="00580176" w:rsidRPr="00580176" w:rsidRDefault="00580176" w:rsidP="00580176">
      <w:pPr>
        <w:spacing w:before="120"/>
        <w:jc w:val="both"/>
      </w:pPr>
      <w:r w:rsidRPr="00580176">
        <w:t>Ďalšou pozitívnou zmenou pre žiadateľa bude menší rozsah dokumentov, ktoré musí predkladať, ak žiada o poskytnutie dotácie na obstaranie nájomných bytov aj o poskytnutie dotácie na obstaranie súvisiacej technickej vybavenosti. Po novom sa bude podávať iba jedna žiadosť a teda časť dokladov (napr. kúpna zmluva, zmluva o výstavbe či uznesenia zastupiteľstva) budú predkladané iba jedenkrát.</w:t>
      </w:r>
    </w:p>
    <w:p w:rsidR="00580176" w:rsidRPr="00580176" w:rsidRDefault="00580176" w:rsidP="00580176">
      <w:pPr>
        <w:spacing w:before="120"/>
        <w:jc w:val="both"/>
      </w:pPr>
      <w:r w:rsidRPr="00580176">
        <w:t xml:space="preserve">Všetky úplné žiadosti budú okresné úrady v sídle kraja zasielať na Ministerstvo dopravy a výstavby Slovenskej republiky, ktoré ich následne bude posudzovať z hľadiska splnenia podmienok. Ak sa aj v tejto fáze posudzovania zistia nejaké nedostatky, ministerstvo vyzve žiadateľa na ich odstránenie. </w:t>
      </w:r>
    </w:p>
    <w:p w:rsidR="00580176" w:rsidRPr="00580176" w:rsidRDefault="00580176" w:rsidP="00580176">
      <w:pPr>
        <w:spacing w:before="120"/>
        <w:rPr>
          <w:b/>
        </w:rPr>
      </w:pPr>
      <w:r w:rsidRPr="00580176">
        <w:rPr>
          <w:b/>
        </w:rPr>
        <w:t>K bodu 40</w:t>
      </w:r>
    </w:p>
    <w:p w:rsidR="00580176" w:rsidRPr="00580176" w:rsidRDefault="00580176" w:rsidP="00580176">
      <w:pPr>
        <w:spacing w:before="120"/>
        <w:jc w:val="both"/>
      </w:pPr>
      <w:r w:rsidRPr="00580176">
        <w:t>Vzhľadom na vypustenie povinnosti predkladať záverečné technicko-ekonomické hodnotenie stavby žiadateľom sa § 17 ods. 2 stal nadbytočným a je možné ho vypustiť.</w:t>
      </w:r>
    </w:p>
    <w:p w:rsidR="00580176" w:rsidRPr="00580176" w:rsidRDefault="00580176" w:rsidP="00580176">
      <w:pPr>
        <w:spacing w:before="120"/>
        <w:rPr>
          <w:b/>
        </w:rPr>
      </w:pPr>
      <w:r w:rsidRPr="00580176">
        <w:rPr>
          <w:b/>
        </w:rPr>
        <w:t>K bodu 41</w:t>
      </w:r>
    </w:p>
    <w:p w:rsidR="00580176" w:rsidRPr="00580176" w:rsidRDefault="00580176" w:rsidP="00580176">
      <w:pPr>
        <w:spacing w:before="120"/>
        <w:jc w:val="both"/>
      </w:pPr>
      <w:r w:rsidRPr="00580176">
        <w:t>Zákonom č. 230/2019 Z. z., ktorým sa mení a dopĺňa zákon č. 150/2013 Z. z. o Štátnom fonde rozvoja bývania v znení neskorších predpisov a ktorým sa menia a dopĺňajú niektoré zákony, došlo k vypusteniu lehoty pre zachovanie nájomného charakteru bytov stanovenej v § 11 ods. 1 písm. a) zákona. Podporené nájomné byty tak majú byť využívané ako nájomné po celú dobu ich životnosti. Vzhľadom na túto úpravu však stratilo opodstatnenie v § 18 ods. 1 zákona špecifikovať lehotu, počas ktorej je vlastník nájomného bytu obstaraného podľa tohto zákona ako aj nájomca žijúci v takomto byte povinný sprístupniť nájomné byty na kontrolu. Nové znenie tohto odseku zabezpečí, že povinnosť sprístupniť byt na kontrolu bude musieť byť zabezpečená po celú dobu trvania zmluvy o poskytnutí dotácie.</w:t>
      </w:r>
    </w:p>
    <w:p w:rsidR="00580176" w:rsidRPr="00580176" w:rsidRDefault="00580176" w:rsidP="00580176">
      <w:pPr>
        <w:spacing w:before="120"/>
        <w:jc w:val="both"/>
      </w:pPr>
      <w:r w:rsidRPr="00580176">
        <w:t>V súvislosti so zmenou definície okruhu užívateľov nájomného bytu (odôvodnenie k bodu 29) sa navrhuje vypustiť aj slová „tvoriace jeho domácnosť“.</w:t>
      </w:r>
    </w:p>
    <w:p w:rsidR="00580176" w:rsidRPr="00580176" w:rsidRDefault="00580176" w:rsidP="00580176">
      <w:pPr>
        <w:spacing w:before="120"/>
        <w:rPr>
          <w:b/>
        </w:rPr>
      </w:pPr>
      <w:r w:rsidRPr="00580176">
        <w:rPr>
          <w:b/>
        </w:rPr>
        <w:t>K bodu 42</w:t>
      </w:r>
    </w:p>
    <w:p w:rsidR="00580176" w:rsidRPr="00580176" w:rsidRDefault="00580176" w:rsidP="00580176">
      <w:pPr>
        <w:spacing w:before="120"/>
        <w:jc w:val="both"/>
      </w:pPr>
      <w:r w:rsidRPr="00580176">
        <w:t>Podľa súčasného znenia zákona je vlastník nájomného bytu povinný tvoriť z dohodnutého nájomného osobitný rezervný fond ročne minimálne vo výške 0,5 % obstarávacích nákladov na obstaranie nájomného bytu. Z tohto osobitného rezervného fondu následne uhrádza preddavky do fondu prevádzky, údržby a opráv bytového domu podľa zákona NR SR č. 182/1993 Z. z. o vlastníctve bytov a nebytových priestorov v znení neskorších predpisov (ďalej len „FPÚO“).</w:t>
      </w:r>
    </w:p>
    <w:p w:rsidR="00580176" w:rsidRPr="00580176" w:rsidRDefault="00580176" w:rsidP="00580176">
      <w:pPr>
        <w:spacing w:before="120"/>
        <w:jc w:val="both"/>
      </w:pPr>
      <w:r w:rsidRPr="00580176">
        <w:t>Aplikačná prax však ukázala, že vlastníci bytov a nebytových priestorov v bytovom dome majú častokrát stanovenú nižšiu výšku preddavkov do FPÚO ako je zákonom predpísaná tvorba osobitného rezervného fondu. Vlastník nájomného bytu, ktorý je len jeden z mnohých vlastníkov bytov a nebytových priestorov tak kumuluje finančné prostriedky na osobitnom rezervnom fonde, ktoré by ale nemohol nikdy použiť. Navrhuje sa preto umožniť vlastníkovi nájomného bytu, aby finančné prostriedky na osobitnom rezervnom fonde mohol použiť aj na úhradu zvýšených úhrad do FPÚO.</w:t>
      </w:r>
    </w:p>
    <w:p w:rsidR="00580176" w:rsidRPr="00580176" w:rsidRDefault="00580176" w:rsidP="00580176">
      <w:pPr>
        <w:spacing w:before="120"/>
        <w:rPr>
          <w:b/>
        </w:rPr>
      </w:pPr>
      <w:r w:rsidRPr="00580176">
        <w:rPr>
          <w:b/>
        </w:rPr>
        <w:t>K bodu 43</w:t>
      </w:r>
    </w:p>
    <w:p w:rsidR="00580176" w:rsidRPr="00580176" w:rsidRDefault="00580176" w:rsidP="00580176">
      <w:pPr>
        <w:spacing w:before="120"/>
        <w:jc w:val="both"/>
      </w:pPr>
      <w:r w:rsidRPr="00580176">
        <w:t>Legislatívno-technická úprava v súvislosti so zmenou definície nákladov v bode 18.</w:t>
      </w:r>
    </w:p>
    <w:p w:rsidR="00580176" w:rsidRPr="00580176" w:rsidRDefault="00580176" w:rsidP="00580176">
      <w:pPr>
        <w:spacing w:before="120"/>
        <w:rPr>
          <w:b/>
        </w:rPr>
      </w:pPr>
      <w:r w:rsidRPr="00580176">
        <w:rPr>
          <w:b/>
        </w:rPr>
        <w:t>K bodu 44</w:t>
      </w:r>
    </w:p>
    <w:p w:rsidR="00580176" w:rsidRPr="00580176" w:rsidRDefault="00580176" w:rsidP="00580176">
      <w:pPr>
        <w:spacing w:before="120"/>
        <w:jc w:val="both"/>
      </w:pPr>
      <w:r w:rsidRPr="00580176">
        <w:t>Pre zabezpečenie dlhodobej udržateľnosti a dobrého technického stavu podporených nájomných bytov je nevyhnutné pravidelne investovať do ich údržby a priebežne si vytvárať finančnú rezervu na významnejšie investície do ich obnovy. Vzhľadom na to bola už od začiatku účinnosti tohto zákona prijatá podmienka, že vlastník nájomného bytu, ktorému bola poskytnutá dotácia na obstaranie nájomného bytu, musí tvoriť z vyberaného nájomného fond prevádzky, údržby a opráv ročne minimálne vo výške 0,5 % obstarávacej ceny nájomného bytu. Ďalšia väčšia legislatívna úprava starostlivosti o podporený nájomný byt prišla s účinnosťou od 1. januára 2018, kedy sa podmienky bližšie upravovali v závislosti od spôsobu evidencie nájomných bytov v katastri nehnuteľností.</w:t>
      </w:r>
    </w:p>
    <w:p w:rsidR="00580176" w:rsidRPr="00580176" w:rsidRDefault="00580176" w:rsidP="00580176">
      <w:pPr>
        <w:spacing w:before="120"/>
        <w:jc w:val="both"/>
      </w:pPr>
      <w:r w:rsidRPr="00580176">
        <w:t>Podpora na obstaranie nájomných bytov sa však poskytuje už od roku 2000. Starostlivosť o nájomný byt, na ktorého obstaranie bola poskytnutá dotácia v období od 2000 do 2010 však nie je jednoznačne upravená, čo spôsobuje v praxi problémy predovšetkým žiadateľom, ktorí majú vo vlastníctve nájomné byty podporené podľa starých aj podľa nových predpisov. Aby sa zabezpečil jednotný výkon starostlivosti o podporené nájomné byty, navrhuje sa uložiť povinnosť vlastníkom nájomných bytov, na ktorých obstaranie bola poskytnutá dotácia podľa predpisov účinných do 31. decembra 2010, aby aj oni postupovali pri starostlivosti o nájomný byt podľa tohto zákona, teda zriadili osobitný rezervný fond podľa § 18 ods. 2 zákona alebo fond prevádzky, údržby a opráv bytovej budovy podľa § 18 ods. 3 zákona.</w:t>
      </w:r>
    </w:p>
    <w:p w:rsidR="00580176" w:rsidRPr="00580176" w:rsidRDefault="00580176" w:rsidP="00580176">
      <w:pPr>
        <w:spacing w:before="120"/>
        <w:jc w:val="both"/>
        <w:rPr>
          <w:b/>
        </w:rPr>
      </w:pPr>
      <w:r w:rsidRPr="00580176">
        <w:rPr>
          <w:b/>
        </w:rPr>
        <w:t>K bodu 45</w:t>
      </w:r>
    </w:p>
    <w:p w:rsidR="00580176" w:rsidRPr="00580176" w:rsidRDefault="00580176" w:rsidP="00580176">
      <w:pPr>
        <w:spacing w:before="120"/>
        <w:jc w:val="both"/>
      </w:pPr>
      <w:r w:rsidRPr="00580176">
        <w:t>Pre odstránenie výkladových nedostatkov, ktoré vyplynuli z aplikačnej praxe sa navrhuje jednoznačne definovať, že poskytovanie sociálneho bývania obcou alebo vyšším územným celkom je všeobecne prospešnou službou.</w:t>
      </w:r>
    </w:p>
    <w:p w:rsidR="00580176" w:rsidRPr="00580176" w:rsidRDefault="00580176" w:rsidP="00580176">
      <w:pPr>
        <w:spacing w:before="120"/>
        <w:rPr>
          <w:b/>
        </w:rPr>
      </w:pPr>
      <w:r w:rsidRPr="00580176">
        <w:rPr>
          <w:b/>
        </w:rPr>
        <w:t>K bodom 46 a 48</w:t>
      </w:r>
    </w:p>
    <w:p w:rsidR="00580176" w:rsidRPr="00580176" w:rsidRDefault="00580176" w:rsidP="00580176">
      <w:pPr>
        <w:spacing w:before="120"/>
        <w:jc w:val="both"/>
      </w:pPr>
      <w:r w:rsidRPr="00580176">
        <w:t>Okruh oprávnených fyzických osôb, ktorým môže byť poskytnutý nájomný byt v rámci sociálneho bývania sa navrhuje rozšíriť o fyzické osoby, ktoré žijú samé v nájomnom byte a o fyzické osoby, ktoré chce samospráva ako vlastník nájomného bytu ubytovať z dôvodov hodných osobitného zreteľa. Žiadateľ, ktorým je obec alebo vyšší územný celok, je povinný si vo svojom všeobecne záväznom nariadení stanoviť okruh oprávnených fyzických osôb vrátane dôvodov hodných osobitného zreteľa, pre ktoré sa im nájomné byty prenajímajú. V praxi môže ísť o profesie, pri ktorých žiadateľ chce, aby poskytovali svoje služby v jeho sídle, pretože ich zabezpečovanie vyplýva ako povinnosť pre samosprávu. Za tým účelom bude vhodné, aby im mohla poskytnúť výhodu v poskytnutí bývania v jeho sídle. Rovnako tak môže takto kategorizovať aj osoby v ťažkej životnej situácii, ktoré potrebujú nutne zabezpečiť bývanie, z rôznych dôvodov nespĺňajú limity príjmu stanovené v § 22 ods. 3 písm. a) a b) zákona (napr. týrané matky s deťmi, ktoré majú vyšší príjem, no je im potrebné zabezpečiť krízové bývanie).</w:t>
      </w:r>
    </w:p>
    <w:p w:rsidR="00580176" w:rsidRPr="00580176" w:rsidRDefault="00580176" w:rsidP="00580176">
      <w:pPr>
        <w:spacing w:before="120"/>
        <w:jc w:val="both"/>
      </w:pPr>
      <w:r w:rsidRPr="00580176">
        <w:t>Oprávnené fyzické osoby, ktorým je nájomný byt prenajatý z dôvodov hodných osobitného zreteľa, nemajú právo na opakované uzatvorenie nájomnej zmluvy. Vlastníci podporených nájomných bytov získajú väčšiu flexibilitu čo sa týka výberu nájomcu a disponovania so svojim vlastníctvom. Keďže však ide o významnú zmenu celej koncepcie, navrhuje sa obmedziť toto voľnejšie nakladanie s nájomnými bytmi najviac na 10 % z počtu podporených nájomných bytov.</w:t>
      </w:r>
    </w:p>
    <w:p w:rsidR="00580176" w:rsidRPr="00580176" w:rsidRDefault="00580176" w:rsidP="00580176">
      <w:pPr>
        <w:spacing w:before="120"/>
        <w:jc w:val="both"/>
      </w:pPr>
      <w:r w:rsidRPr="00580176">
        <w:t>Precizuje sa tiež úprava v prípade osôb, ktorým zanikla ústavná starostlivosť, náhradná osobná starostlivosť, pestúnska starostlivosť alebo osobitná starostlivosť poručníka podľa zákona č. 36/2005 Z. z. o rodine a o zmene a doplnení niektorých zákonov v znení neskorších predpisov.</w:t>
      </w:r>
    </w:p>
    <w:p w:rsidR="00580176" w:rsidRPr="00580176" w:rsidRDefault="00580176" w:rsidP="00580176">
      <w:pPr>
        <w:spacing w:before="120"/>
        <w:rPr>
          <w:b/>
        </w:rPr>
      </w:pPr>
      <w:r w:rsidRPr="00580176">
        <w:rPr>
          <w:b/>
        </w:rPr>
        <w:t>K bodu 47</w:t>
      </w:r>
    </w:p>
    <w:p w:rsidR="00580176" w:rsidRDefault="00580176" w:rsidP="00580176">
      <w:pPr>
        <w:spacing w:before="120"/>
        <w:jc w:val="both"/>
      </w:pPr>
      <w:r w:rsidRPr="00580176">
        <w:t>Pre odstránenie problémov v aplikačnej praxi sa navrhuje jednoznačne upraviť postup výpočtu súm životného minima pre oprávnenú fyzickú osobu a ostatné osoby, ktoré s ňou žijú v nájomnom byte. Životné minimum sa tak vypočíta ako súčet súm životného minima pre plnoletú fyzickú osobu (od 1. júla 2020 je to suma vo výške 214,83 eur) za každú plnoletú fyzickú osobu, žijúcu v nájomnom byte a súčet súm životného minima pre nezaopatrené dieťa (od 1. júla 2020 je to suma vo výške 98,08 eur) za každé zaopatrené neplnoleté dieťa a nezaopatrené dieťa, žijúce s nájomcom v nájomnom byte.</w:t>
      </w:r>
    </w:p>
    <w:p w:rsidR="004654F8" w:rsidRPr="00580176" w:rsidRDefault="004654F8" w:rsidP="00580176">
      <w:pPr>
        <w:spacing w:before="120"/>
        <w:jc w:val="both"/>
      </w:pPr>
    </w:p>
    <w:p w:rsidR="00580176" w:rsidRPr="00580176" w:rsidRDefault="00580176" w:rsidP="00580176">
      <w:pPr>
        <w:spacing w:before="120"/>
        <w:rPr>
          <w:b/>
        </w:rPr>
      </w:pPr>
      <w:r w:rsidRPr="00580176">
        <w:rPr>
          <w:b/>
        </w:rPr>
        <w:t>K bodu 49</w:t>
      </w:r>
    </w:p>
    <w:p w:rsidR="00580176" w:rsidRPr="00580176" w:rsidRDefault="00580176" w:rsidP="00580176">
      <w:pPr>
        <w:spacing w:before="120"/>
        <w:jc w:val="both"/>
      </w:pPr>
      <w:r w:rsidRPr="00580176">
        <w:t>V nadväznosti na vypustenie povinnosti predkladať záverečné technicko-ekonomické hodnotenie stavby sa navrhuje vypustiť splnomocnenie na vydanie vykonávacieho právneho predpisu, ktorý upravuje obsah záverečného technicko-ekonomického hodnotenia stavby.</w:t>
      </w:r>
    </w:p>
    <w:p w:rsidR="00580176" w:rsidRPr="00580176" w:rsidRDefault="00580176" w:rsidP="00580176">
      <w:pPr>
        <w:spacing w:before="120"/>
        <w:rPr>
          <w:b/>
        </w:rPr>
      </w:pPr>
      <w:r w:rsidRPr="00580176">
        <w:rPr>
          <w:b/>
        </w:rPr>
        <w:t>K bodu 50</w:t>
      </w:r>
    </w:p>
    <w:p w:rsidR="00580176" w:rsidRPr="00580176" w:rsidRDefault="00580176" w:rsidP="00580176">
      <w:pPr>
        <w:spacing w:before="120"/>
        <w:jc w:val="both"/>
      </w:pPr>
      <w:r w:rsidRPr="00580176">
        <w:t>Legislatívno-technická úprava v súvislosti so zmenou definície nákladov v bode 18.</w:t>
      </w:r>
    </w:p>
    <w:p w:rsidR="00580176" w:rsidRPr="00580176" w:rsidRDefault="00580176" w:rsidP="00580176">
      <w:pPr>
        <w:spacing w:before="120"/>
        <w:rPr>
          <w:b/>
        </w:rPr>
      </w:pPr>
      <w:r w:rsidRPr="00580176">
        <w:rPr>
          <w:b/>
        </w:rPr>
        <w:t>K bodu 51</w:t>
      </w:r>
    </w:p>
    <w:p w:rsidR="00580176" w:rsidRPr="00580176" w:rsidRDefault="00580176" w:rsidP="00580176">
      <w:pPr>
        <w:spacing w:before="120"/>
        <w:jc w:val="both"/>
      </w:pPr>
      <w:r w:rsidRPr="00580176">
        <w:t>V § 18 sa navrhuje doplniť nový odsek 4, ktorým sa uloží vlastníkovi nájomného bytu, podporeného podľa predpisov účinných do 31. decembra 2010, aby pri starostlivosti o tento nájomný byt postupoval podľa § 18 ods. 2 zákona, resp. podľa § 18 ods. 3 zákona (novelizačný bod 44).</w:t>
      </w:r>
    </w:p>
    <w:p w:rsidR="00580176" w:rsidRPr="00580176" w:rsidRDefault="00580176" w:rsidP="00580176">
      <w:pPr>
        <w:spacing w:before="120"/>
        <w:jc w:val="both"/>
      </w:pPr>
      <w:r w:rsidRPr="00580176">
        <w:t>Povinnosť im vznikne až od 1. januára 2022, t. j. zavádza sa prechodné obdobie jedného roka, počas ktorého ministerstvo oboznámi všetkých dotknutých vlastníkov nájomných bytov s novou povinnosťou a oni budú mať dosť času sa na zmeny pripraviť.</w:t>
      </w:r>
    </w:p>
    <w:p w:rsidR="00580176" w:rsidRPr="00580176" w:rsidRDefault="00580176" w:rsidP="00580176">
      <w:pPr>
        <w:keepNext/>
        <w:spacing w:before="240" w:after="60"/>
        <w:outlineLvl w:val="0"/>
        <w:rPr>
          <w:b/>
          <w:bCs/>
          <w:kern w:val="32"/>
          <w:szCs w:val="32"/>
        </w:rPr>
      </w:pPr>
      <w:r w:rsidRPr="00580176">
        <w:rPr>
          <w:b/>
          <w:bCs/>
          <w:kern w:val="32"/>
          <w:szCs w:val="32"/>
        </w:rPr>
        <w:t>Čl. II</w:t>
      </w:r>
    </w:p>
    <w:p w:rsidR="00580176" w:rsidRPr="00580176" w:rsidRDefault="00580176" w:rsidP="00580176">
      <w:pPr>
        <w:spacing w:before="120"/>
        <w:jc w:val="both"/>
      </w:pPr>
      <w:r w:rsidRPr="00580176">
        <w:t>Navrhuje sa, aby návrh zákona nadobudol účinnosť 1. januára 2021 okrem čl. I bodu 27, ktorý nadobúda účinnosť 1. januára 2023.</w:t>
      </w:r>
    </w:p>
    <w:p w:rsidR="00580176" w:rsidRPr="00580176" w:rsidRDefault="00580176" w:rsidP="00580176"/>
    <w:p w:rsidR="00580176" w:rsidRPr="004F1879" w:rsidRDefault="00580176" w:rsidP="00580176">
      <w:pPr>
        <w:rPr>
          <w:bCs/>
        </w:rPr>
      </w:pPr>
      <w:r w:rsidRPr="004F1879">
        <w:rPr>
          <w:bCs/>
        </w:rPr>
        <w:t>Bratislava 30. septembra 2020</w:t>
      </w:r>
    </w:p>
    <w:p w:rsidR="00580176" w:rsidRPr="004F1879" w:rsidRDefault="00580176" w:rsidP="00580176">
      <w:pPr>
        <w:rPr>
          <w:b/>
          <w:bCs/>
        </w:rPr>
      </w:pPr>
    </w:p>
    <w:p w:rsidR="00580176" w:rsidRPr="004F1879" w:rsidRDefault="00580176" w:rsidP="00580176">
      <w:pPr>
        <w:rPr>
          <w:b/>
          <w:bCs/>
        </w:rPr>
      </w:pPr>
    </w:p>
    <w:p w:rsidR="00580176" w:rsidRPr="004F1879" w:rsidRDefault="00580176" w:rsidP="00580176">
      <w:pPr>
        <w:rPr>
          <w:b/>
          <w:bCs/>
        </w:rPr>
      </w:pPr>
    </w:p>
    <w:p w:rsidR="00580176" w:rsidRPr="004F1879" w:rsidRDefault="00580176" w:rsidP="00580176">
      <w:pPr>
        <w:rPr>
          <w:b/>
          <w:bCs/>
        </w:rPr>
      </w:pPr>
    </w:p>
    <w:p w:rsidR="00580176" w:rsidRPr="004F1879" w:rsidRDefault="00580176" w:rsidP="00580176">
      <w:pPr>
        <w:rPr>
          <w:b/>
          <w:bCs/>
        </w:rPr>
      </w:pPr>
    </w:p>
    <w:p w:rsidR="00580176" w:rsidRPr="004F1879" w:rsidRDefault="00580176" w:rsidP="00DE7434">
      <w:pPr>
        <w:spacing w:after="120"/>
        <w:jc w:val="center"/>
        <w:rPr>
          <w:b/>
        </w:rPr>
      </w:pPr>
      <w:r w:rsidRPr="004F1879">
        <w:rPr>
          <w:b/>
        </w:rPr>
        <w:t>Igor Matovič v. r.</w:t>
      </w:r>
    </w:p>
    <w:p w:rsidR="00580176" w:rsidRPr="004F1879" w:rsidRDefault="00580176" w:rsidP="00580176">
      <w:pPr>
        <w:spacing w:after="60"/>
        <w:jc w:val="center"/>
      </w:pPr>
      <w:r w:rsidRPr="004F1879">
        <w:rPr>
          <w:szCs w:val="20"/>
        </w:rPr>
        <w:t>predseda vlády Slovenskej republiky</w:t>
      </w:r>
    </w:p>
    <w:p w:rsidR="00580176" w:rsidRPr="004F1879" w:rsidRDefault="00580176" w:rsidP="00580176">
      <w:pPr>
        <w:spacing w:line="276" w:lineRule="auto"/>
        <w:rPr>
          <w:b/>
          <w:bCs/>
        </w:rPr>
      </w:pPr>
    </w:p>
    <w:p w:rsidR="00580176" w:rsidRPr="004F1879" w:rsidRDefault="00580176" w:rsidP="00580176">
      <w:pPr>
        <w:spacing w:line="276" w:lineRule="auto"/>
        <w:rPr>
          <w:b/>
          <w:bCs/>
        </w:rPr>
      </w:pPr>
    </w:p>
    <w:p w:rsidR="00580176" w:rsidRPr="004F1879" w:rsidRDefault="00580176" w:rsidP="00580176">
      <w:pPr>
        <w:spacing w:line="276" w:lineRule="auto"/>
        <w:rPr>
          <w:b/>
          <w:bCs/>
        </w:rPr>
      </w:pPr>
    </w:p>
    <w:p w:rsidR="00580176" w:rsidRPr="004F1879" w:rsidRDefault="00580176" w:rsidP="00580176">
      <w:pPr>
        <w:spacing w:line="276" w:lineRule="auto"/>
        <w:rPr>
          <w:b/>
          <w:bCs/>
        </w:rPr>
      </w:pPr>
    </w:p>
    <w:p w:rsidR="00580176" w:rsidRPr="004F1879" w:rsidRDefault="00580176" w:rsidP="00DE7434">
      <w:pPr>
        <w:spacing w:after="120"/>
        <w:jc w:val="center"/>
        <w:rPr>
          <w:b/>
        </w:rPr>
      </w:pPr>
      <w:r w:rsidRPr="004F1879">
        <w:rPr>
          <w:b/>
        </w:rPr>
        <w:t>Andrej Dolež</w:t>
      </w:r>
      <w:bookmarkStart w:id="1" w:name="_GoBack"/>
      <w:bookmarkEnd w:id="1"/>
      <w:r w:rsidRPr="004F1879">
        <w:rPr>
          <w:b/>
        </w:rPr>
        <w:t>al v. r.</w:t>
      </w:r>
    </w:p>
    <w:p w:rsidR="00580176" w:rsidRPr="004F1879" w:rsidRDefault="00580176" w:rsidP="00580176">
      <w:pPr>
        <w:jc w:val="center"/>
        <w:rPr>
          <w:szCs w:val="20"/>
        </w:rPr>
      </w:pPr>
      <w:r w:rsidRPr="004F1879">
        <w:rPr>
          <w:szCs w:val="20"/>
        </w:rPr>
        <w:t>minister dopravy a výstavby</w:t>
      </w:r>
    </w:p>
    <w:p w:rsidR="00580176" w:rsidRPr="004F1879" w:rsidRDefault="00580176" w:rsidP="00580176">
      <w:pPr>
        <w:jc w:val="center"/>
      </w:pPr>
      <w:r w:rsidRPr="004F1879">
        <w:rPr>
          <w:szCs w:val="20"/>
        </w:rPr>
        <w:t>Slovenskej republiky</w:t>
      </w: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Default="00580176" w:rsidP="00BA028C">
      <w:pPr>
        <w:pStyle w:val="Zkladntext"/>
        <w:spacing w:before="120" w:line="240" w:lineRule="auto"/>
        <w:ind w:firstLine="709"/>
      </w:pPr>
    </w:p>
    <w:p w:rsidR="00580176" w:rsidRPr="003D60A9" w:rsidRDefault="00580176" w:rsidP="00BA028C">
      <w:pPr>
        <w:pStyle w:val="Zkladntext"/>
        <w:spacing w:before="120" w:line="240" w:lineRule="auto"/>
        <w:ind w:firstLine="709"/>
      </w:pPr>
    </w:p>
    <w:sectPr w:rsidR="00580176" w:rsidRPr="003D60A9" w:rsidSect="000623C2">
      <w:pgSz w:w="12240" w:h="15840"/>
      <w:pgMar w:top="1134" w:right="104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33" w:rsidRDefault="00FC5A33" w:rsidP="00FC5A33">
      <w:r>
        <w:separator/>
      </w:r>
    </w:p>
  </w:endnote>
  <w:endnote w:type="continuationSeparator" w:id="0">
    <w:p w:rsidR="00FC5A33" w:rsidRDefault="00FC5A33" w:rsidP="00FC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33" w:rsidRDefault="00FC5A3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FC5A33" w:rsidRDefault="00FC5A3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747233"/>
      <w:docPartObj>
        <w:docPartGallery w:val="Page Numbers (Bottom of Page)"/>
        <w:docPartUnique/>
      </w:docPartObj>
    </w:sdtPr>
    <w:sdtEndPr/>
    <w:sdtContent>
      <w:p w:rsidR="00DE7434" w:rsidRDefault="00DE7434">
        <w:pPr>
          <w:pStyle w:val="Pta"/>
          <w:jc w:val="right"/>
        </w:pPr>
        <w:r>
          <w:fldChar w:fldCharType="begin"/>
        </w:r>
        <w:r>
          <w:instrText>PAGE   \* MERGEFORMAT</w:instrText>
        </w:r>
        <w:r>
          <w:fldChar w:fldCharType="separate"/>
        </w:r>
        <w:r w:rsidR="004654F8">
          <w:rPr>
            <w:noProof/>
          </w:rPr>
          <w:t>7</w:t>
        </w:r>
        <w:r>
          <w:fldChar w:fldCharType="end"/>
        </w:r>
      </w:p>
    </w:sdtContent>
  </w:sdt>
  <w:p w:rsidR="00FC5A33" w:rsidRPr="004A4644" w:rsidRDefault="00FC5A33">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153900"/>
      <w:docPartObj>
        <w:docPartGallery w:val="Page Numbers (Bottom of Page)"/>
        <w:docPartUnique/>
      </w:docPartObj>
    </w:sdtPr>
    <w:sdtEndPr/>
    <w:sdtContent>
      <w:p w:rsidR="00DE7434" w:rsidRDefault="00DE7434">
        <w:pPr>
          <w:pStyle w:val="Pta"/>
          <w:jc w:val="right"/>
        </w:pPr>
        <w:r>
          <w:fldChar w:fldCharType="begin"/>
        </w:r>
        <w:r>
          <w:instrText>PAGE   \* MERGEFORMAT</w:instrText>
        </w:r>
        <w:r>
          <w:fldChar w:fldCharType="separate"/>
        </w:r>
        <w:r w:rsidR="004654F8">
          <w:rPr>
            <w:noProof/>
          </w:rPr>
          <w:t>1</w:t>
        </w:r>
        <w:r>
          <w:fldChar w:fldCharType="end"/>
        </w:r>
      </w:p>
    </w:sdtContent>
  </w:sdt>
  <w:p w:rsidR="00FC5A33" w:rsidRDefault="00FC5A3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4236"/>
      <w:docPartObj>
        <w:docPartGallery w:val="Page Numbers (Bottom of Page)"/>
        <w:docPartUnique/>
      </w:docPartObj>
    </w:sdtPr>
    <w:sdtEndPr/>
    <w:sdtContent>
      <w:p w:rsidR="00DE7434" w:rsidRDefault="00DE7434">
        <w:pPr>
          <w:pStyle w:val="Pta"/>
          <w:jc w:val="right"/>
        </w:pPr>
        <w:r>
          <w:fldChar w:fldCharType="begin"/>
        </w:r>
        <w:r>
          <w:instrText xml:space="preserve"> PAGE    \* MERGEFORMAT </w:instrText>
        </w:r>
        <w:r>
          <w:fldChar w:fldCharType="separate"/>
        </w:r>
        <w:r w:rsidR="004654F8">
          <w:rPr>
            <w:noProof/>
          </w:rPr>
          <w:t>22</w:t>
        </w:r>
        <w:r>
          <w:fldChar w:fldCharType="end"/>
        </w:r>
      </w:p>
    </w:sdtContent>
  </w:sdt>
  <w:p w:rsidR="00FC5A33" w:rsidRDefault="00FC5A33">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33" w:rsidRDefault="00FC5A33" w:rsidP="00FC5A33">
      <w:r>
        <w:separator/>
      </w:r>
    </w:p>
  </w:footnote>
  <w:footnote w:type="continuationSeparator" w:id="0">
    <w:p w:rsidR="00FC5A33" w:rsidRDefault="00FC5A33" w:rsidP="00FC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33" w:rsidRDefault="00FC5A33" w:rsidP="00FC5A33">
    <w:pPr>
      <w:pStyle w:val="Hlavika"/>
      <w:jc w:val="right"/>
    </w:pPr>
    <w:r>
      <w:t>Príloha č. 2</w:t>
    </w:r>
  </w:p>
  <w:p w:rsidR="00FC5A33" w:rsidRPr="00EB59C8" w:rsidRDefault="00FC5A33" w:rsidP="00FC5A3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58C"/>
    <w:multiLevelType w:val="hybridMultilevel"/>
    <w:tmpl w:val="5DDAF120"/>
    <w:lvl w:ilvl="0" w:tplc="7E342E6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DB6E36"/>
    <w:multiLevelType w:val="hybridMultilevel"/>
    <w:tmpl w:val="471C6C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7F111079"/>
    <w:multiLevelType w:val="hybridMultilevel"/>
    <w:tmpl w:val="68723BCA"/>
    <w:lvl w:ilvl="0" w:tplc="45C4C72E">
      <w:numFmt w:val="bullet"/>
      <w:lvlText w:val="-"/>
      <w:lvlJc w:val="left"/>
      <w:pPr>
        <w:ind w:left="408" w:hanging="300"/>
      </w:pPr>
      <w:rPr>
        <w:rFonts w:ascii="Times New Roman" w:eastAsia="Times New Roman" w:hAnsi="Times New Roman" w:hint="default"/>
        <w:w w:val="99"/>
        <w:sz w:val="20"/>
      </w:rPr>
    </w:lvl>
    <w:lvl w:ilvl="1" w:tplc="A68E2EE4">
      <w:numFmt w:val="bullet"/>
      <w:lvlText w:val="•"/>
      <w:lvlJc w:val="left"/>
      <w:pPr>
        <w:ind w:left="936" w:hanging="300"/>
      </w:pPr>
      <w:rPr>
        <w:rFonts w:hint="default"/>
      </w:rPr>
    </w:lvl>
    <w:lvl w:ilvl="2" w:tplc="2E9094F2">
      <w:numFmt w:val="bullet"/>
      <w:lvlText w:val="•"/>
      <w:lvlJc w:val="left"/>
      <w:pPr>
        <w:ind w:left="1473" w:hanging="300"/>
      </w:pPr>
      <w:rPr>
        <w:rFonts w:hint="default"/>
      </w:rPr>
    </w:lvl>
    <w:lvl w:ilvl="3" w:tplc="8BE40BAE">
      <w:numFmt w:val="bullet"/>
      <w:lvlText w:val="•"/>
      <w:lvlJc w:val="left"/>
      <w:pPr>
        <w:ind w:left="2009" w:hanging="300"/>
      </w:pPr>
      <w:rPr>
        <w:rFonts w:hint="default"/>
      </w:rPr>
    </w:lvl>
    <w:lvl w:ilvl="4" w:tplc="7ABC1694">
      <w:numFmt w:val="bullet"/>
      <w:lvlText w:val="•"/>
      <w:lvlJc w:val="left"/>
      <w:pPr>
        <w:ind w:left="2546" w:hanging="300"/>
      </w:pPr>
      <w:rPr>
        <w:rFonts w:hint="default"/>
      </w:rPr>
    </w:lvl>
    <w:lvl w:ilvl="5" w:tplc="7B387646">
      <w:numFmt w:val="bullet"/>
      <w:lvlText w:val="•"/>
      <w:lvlJc w:val="left"/>
      <w:pPr>
        <w:ind w:left="3082" w:hanging="300"/>
      </w:pPr>
      <w:rPr>
        <w:rFonts w:hint="default"/>
      </w:rPr>
    </w:lvl>
    <w:lvl w:ilvl="6" w:tplc="DE364090">
      <w:numFmt w:val="bullet"/>
      <w:lvlText w:val="•"/>
      <w:lvlJc w:val="left"/>
      <w:pPr>
        <w:ind w:left="3619" w:hanging="300"/>
      </w:pPr>
      <w:rPr>
        <w:rFonts w:hint="default"/>
      </w:rPr>
    </w:lvl>
    <w:lvl w:ilvl="7" w:tplc="698CB2A8">
      <w:numFmt w:val="bullet"/>
      <w:lvlText w:val="•"/>
      <w:lvlJc w:val="left"/>
      <w:pPr>
        <w:ind w:left="4155" w:hanging="300"/>
      </w:pPr>
      <w:rPr>
        <w:rFonts w:hint="default"/>
      </w:rPr>
    </w:lvl>
    <w:lvl w:ilvl="8" w:tplc="868AE47E">
      <w:numFmt w:val="bullet"/>
      <w:lvlText w:val="•"/>
      <w:lvlJc w:val="left"/>
      <w:pPr>
        <w:ind w:left="4692" w:hanging="3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58"/>
    <w:rsid w:val="00007131"/>
    <w:rsid w:val="00024CCB"/>
    <w:rsid w:val="000623C2"/>
    <w:rsid w:val="00066D74"/>
    <w:rsid w:val="0007609C"/>
    <w:rsid w:val="00077028"/>
    <w:rsid w:val="00096D58"/>
    <w:rsid w:val="000C62DB"/>
    <w:rsid w:val="001C405C"/>
    <w:rsid w:val="0024678C"/>
    <w:rsid w:val="002A5A38"/>
    <w:rsid w:val="002F20D1"/>
    <w:rsid w:val="003D60A9"/>
    <w:rsid w:val="00410668"/>
    <w:rsid w:val="004214B9"/>
    <w:rsid w:val="00460637"/>
    <w:rsid w:val="004626A7"/>
    <w:rsid w:val="004654F8"/>
    <w:rsid w:val="004D2A15"/>
    <w:rsid w:val="004D75A5"/>
    <w:rsid w:val="004F3624"/>
    <w:rsid w:val="00580176"/>
    <w:rsid w:val="005A4DD0"/>
    <w:rsid w:val="005F7C15"/>
    <w:rsid w:val="00670726"/>
    <w:rsid w:val="00757BD6"/>
    <w:rsid w:val="007B1C5C"/>
    <w:rsid w:val="007D1964"/>
    <w:rsid w:val="007D1DD2"/>
    <w:rsid w:val="00800F24"/>
    <w:rsid w:val="008015CD"/>
    <w:rsid w:val="00877665"/>
    <w:rsid w:val="00892D6F"/>
    <w:rsid w:val="008B25A6"/>
    <w:rsid w:val="008C0B26"/>
    <w:rsid w:val="009528C8"/>
    <w:rsid w:val="00973063"/>
    <w:rsid w:val="009902FD"/>
    <w:rsid w:val="009D06E2"/>
    <w:rsid w:val="00A2740F"/>
    <w:rsid w:val="00A312C6"/>
    <w:rsid w:val="00A314E3"/>
    <w:rsid w:val="00A531AF"/>
    <w:rsid w:val="00A64D2D"/>
    <w:rsid w:val="00A71971"/>
    <w:rsid w:val="00AA5F18"/>
    <w:rsid w:val="00AE0E3B"/>
    <w:rsid w:val="00AF4C73"/>
    <w:rsid w:val="00B07091"/>
    <w:rsid w:val="00B350F9"/>
    <w:rsid w:val="00BA028C"/>
    <w:rsid w:val="00BB0E52"/>
    <w:rsid w:val="00C0489E"/>
    <w:rsid w:val="00C07C87"/>
    <w:rsid w:val="00D010DF"/>
    <w:rsid w:val="00D035F4"/>
    <w:rsid w:val="00D20B07"/>
    <w:rsid w:val="00D50535"/>
    <w:rsid w:val="00D7637C"/>
    <w:rsid w:val="00DC1E1F"/>
    <w:rsid w:val="00DE7434"/>
    <w:rsid w:val="00E042EB"/>
    <w:rsid w:val="00E117DF"/>
    <w:rsid w:val="00E1452D"/>
    <w:rsid w:val="00E25A90"/>
    <w:rsid w:val="00E60E84"/>
    <w:rsid w:val="00E737AC"/>
    <w:rsid w:val="00E81163"/>
    <w:rsid w:val="00E939E2"/>
    <w:rsid w:val="00EC6015"/>
    <w:rsid w:val="00F23612"/>
    <w:rsid w:val="00F36B7A"/>
    <w:rsid w:val="00FC5A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F1923"/>
  <w14:defaultImageDpi w14:val="0"/>
  <w15:docId w15:val="{FEDE1FD4-5B05-4CE6-8915-E14D573A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character" w:customStyle="1" w:styleId="ZkladntextChar7">
    <w:name w:val="Základný text Char7"/>
    <w:basedOn w:val="Predvolenpsmoodseku"/>
    <w:uiPriority w:val="99"/>
    <w:semiHidden/>
    <w:rPr>
      <w:rFonts w:ascii="Times New Roman" w:hAnsi="Times New Roman" w:cs="Times New Roman"/>
      <w:sz w:val="24"/>
      <w:szCs w:val="24"/>
    </w:rPr>
  </w:style>
  <w:style w:type="paragraph" w:styleId="Zkladntext">
    <w:name w:val="Body Text"/>
    <w:basedOn w:val="Normlny"/>
    <w:link w:val="ZkladntextChar1"/>
    <w:uiPriority w:val="99"/>
    <w:rsid w:val="00A312C6"/>
    <w:pPr>
      <w:widowControl/>
      <w:adjustRightInd/>
      <w:spacing w:before="240" w:line="360" w:lineRule="auto"/>
      <w:jc w:val="both"/>
    </w:pPr>
  </w:style>
  <w:style w:type="character" w:customStyle="1" w:styleId="ZkladntextChar">
    <w:name w:val="Základný text Char"/>
    <w:basedOn w:val="Predvolenpsmoodseku"/>
    <w:uiPriority w:val="99"/>
    <w:semiHidden/>
    <w:rPr>
      <w:rFonts w:ascii="Times New Roman" w:hAnsi="Times New Roman" w:cs="Times New Roman"/>
      <w:sz w:val="24"/>
      <w:szCs w:val="24"/>
    </w:rPr>
  </w:style>
  <w:style w:type="character" w:customStyle="1" w:styleId="ZkladntextChar1">
    <w:name w:val="Základný text Char1"/>
    <w:basedOn w:val="Predvolenpsmoodseku"/>
    <w:link w:val="Zkladntext"/>
    <w:uiPriority w:val="99"/>
    <w:semiHidden/>
    <w:locked/>
    <w:rPr>
      <w:rFonts w:ascii="Times New Roman" w:hAnsi="Times New Roman" w:cs="Times New Roman"/>
      <w:sz w:val="24"/>
      <w:szCs w:val="24"/>
    </w:rPr>
  </w:style>
  <w:style w:type="character" w:customStyle="1" w:styleId="ZkladntextChar6">
    <w:name w:val="Základný text Char6"/>
    <w:basedOn w:val="Predvolenpsmoodseku"/>
    <w:uiPriority w:val="99"/>
    <w:semiHidden/>
    <w:rPr>
      <w:rFonts w:ascii="Times New Roman" w:hAnsi="Times New Roman" w:cs="Times New Roman"/>
      <w:sz w:val="24"/>
      <w:szCs w:val="24"/>
    </w:rPr>
  </w:style>
  <w:style w:type="character" w:customStyle="1" w:styleId="ZkladntextChar5">
    <w:name w:val="Základný text Char5"/>
    <w:basedOn w:val="Predvolenpsmoodseku"/>
    <w:uiPriority w:val="99"/>
    <w:semiHidden/>
    <w:rPr>
      <w:rFonts w:ascii="Times New Roman" w:hAnsi="Times New Roman" w:cs="Times New Roman"/>
      <w:sz w:val="24"/>
      <w:szCs w:val="24"/>
    </w:rPr>
  </w:style>
  <w:style w:type="character" w:customStyle="1" w:styleId="ZkladntextChar4">
    <w:name w:val="Základný text Char4"/>
    <w:basedOn w:val="Predvolenpsmoodseku"/>
    <w:uiPriority w:val="99"/>
    <w:semiHidden/>
    <w:rPr>
      <w:rFonts w:ascii="Times New Roman" w:hAnsi="Times New Roman" w:cs="Times New Roman"/>
      <w:sz w:val="24"/>
      <w:szCs w:val="24"/>
    </w:rPr>
  </w:style>
  <w:style w:type="character" w:customStyle="1" w:styleId="ZkladntextChar3">
    <w:name w:val="Základný text Char3"/>
    <w:basedOn w:val="Predvolenpsmoodseku"/>
    <w:uiPriority w:val="99"/>
    <w:semiHidden/>
    <w:rPr>
      <w:rFonts w:ascii="Times New Roman" w:hAnsi="Times New Roman" w:cs="Times New Roman"/>
      <w:sz w:val="24"/>
      <w:szCs w:val="24"/>
    </w:rPr>
  </w:style>
  <w:style w:type="character" w:customStyle="1" w:styleId="ZkladntextChar2">
    <w:name w:val="Základný text Char2"/>
    <w:basedOn w:val="Predvolenpsmoodseku"/>
    <w:uiPriority w:val="99"/>
    <w:semiHidden/>
    <w:rPr>
      <w:rFonts w:ascii="Times New Roman" w:hAnsi="Times New Roman" w:cs="Times New Roman"/>
      <w:sz w:val="24"/>
      <w:szCs w:val="24"/>
    </w:rPr>
  </w:style>
  <w:style w:type="table" w:styleId="Mriekatabuky">
    <w:name w:val="Table Grid"/>
    <w:basedOn w:val="Normlnatabuka"/>
    <w:uiPriority w:val="59"/>
    <w:locked/>
    <w:rsid w:val="00FC5A3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5A33"/>
    <w:pPr>
      <w:tabs>
        <w:tab w:val="center" w:pos="4536"/>
        <w:tab w:val="right" w:pos="9072"/>
      </w:tabs>
    </w:pPr>
  </w:style>
  <w:style w:type="character" w:customStyle="1" w:styleId="HlavikaChar">
    <w:name w:val="Hlavička Char"/>
    <w:basedOn w:val="Predvolenpsmoodseku"/>
    <w:link w:val="Hlavika"/>
    <w:uiPriority w:val="99"/>
    <w:rsid w:val="00FC5A33"/>
    <w:rPr>
      <w:rFonts w:ascii="Times New Roman" w:hAnsi="Times New Roman" w:cs="Times New Roman"/>
      <w:sz w:val="24"/>
      <w:szCs w:val="24"/>
    </w:rPr>
  </w:style>
  <w:style w:type="paragraph" w:styleId="Pta">
    <w:name w:val="footer"/>
    <w:basedOn w:val="Normlny"/>
    <w:link w:val="PtaChar"/>
    <w:uiPriority w:val="99"/>
    <w:unhideWhenUsed/>
    <w:rsid w:val="00FC5A33"/>
    <w:pPr>
      <w:tabs>
        <w:tab w:val="center" w:pos="4536"/>
        <w:tab w:val="right" w:pos="9072"/>
      </w:tabs>
    </w:pPr>
  </w:style>
  <w:style w:type="character" w:customStyle="1" w:styleId="PtaChar">
    <w:name w:val="Päta Char"/>
    <w:basedOn w:val="Predvolenpsmoodseku"/>
    <w:link w:val="Pta"/>
    <w:uiPriority w:val="99"/>
    <w:rsid w:val="00FC5A33"/>
    <w:rPr>
      <w:rFonts w:ascii="Times New Roman" w:hAnsi="Times New Roman" w:cs="Times New Roman"/>
      <w:sz w:val="24"/>
      <w:szCs w:val="24"/>
    </w:rPr>
  </w:style>
  <w:style w:type="character" w:styleId="slostrany">
    <w:name w:val="page number"/>
    <w:basedOn w:val="Predvolenpsmoodseku"/>
    <w:uiPriority w:val="99"/>
    <w:rsid w:val="00FC5A33"/>
    <w:rPr>
      <w:rFonts w:cs="Times New Roman"/>
    </w:rPr>
  </w:style>
  <w:style w:type="paragraph" w:customStyle="1" w:styleId="TableParagraph">
    <w:name w:val="Table Paragraph"/>
    <w:basedOn w:val="Normlny"/>
    <w:uiPriority w:val="1"/>
    <w:qFormat/>
    <w:rsid w:val="00FC5A33"/>
    <w:pPr>
      <w:autoSpaceDE w:val="0"/>
      <w:autoSpaceDN w:val="0"/>
      <w:adjustRightInd/>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8653">
      <w:marLeft w:val="0"/>
      <w:marRight w:val="0"/>
      <w:marTop w:val="0"/>
      <w:marBottom w:val="0"/>
      <w:divBdr>
        <w:top w:val="none" w:sz="0" w:space="0" w:color="auto"/>
        <w:left w:val="none" w:sz="0" w:space="0" w:color="auto"/>
        <w:bottom w:val="none" w:sz="0" w:space="0" w:color="auto"/>
        <w:right w:val="none" w:sz="0" w:space="0" w:color="auto"/>
      </w:divBdr>
    </w:div>
    <w:div w:id="252278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7915</Words>
  <Characters>46439</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Majzún</dc:creator>
  <cp:keywords/>
  <dc:description/>
  <cp:lastModifiedBy>Bartoňová, Alena</cp:lastModifiedBy>
  <cp:revision>3</cp:revision>
  <cp:lastPrinted>2020-06-30T11:54:00Z</cp:lastPrinted>
  <dcterms:created xsi:type="dcterms:W3CDTF">2020-09-29T05:45:00Z</dcterms:created>
  <dcterms:modified xsi:type="dcterms:W3CDTF">2020-09-29T05:48:00Z</dcterms:modified>
</cp:coreProperties>
</file>