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4.xml" ContentType="application/vnd.openxmlformats-officedocument.drawingml.chartshapes+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5.xml" ContentType="application/vnd.openxmlformats-officedocument.drawingml.chartshapes+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6.xml" ContentType="application/vnd.openxmlformats-officedocument.themeOverride+xml"/>
  <Override PartName="/word/charts/chart24.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5B166" w14:textId="5B840938" w:rsidR="00C106AA" w:rsidRPr="00C70E80" w:rsidRDefault="002A04A5" w:rsidP="00BC62B2">
      <w:pPr>
        <w:spacing w:line="0" w:lineRule="auto"/>
        <w:jc w:val="left"/>
        <w:rPr>
          <w:b/>
          <w:sz w:val="48"/>
          <w:szCs w:val="48"/>
        </w:rPr>
      </w:pPr>
      <w:bookmarkStart w:id="0" w:name="_Hlk40950856"/>
      <w:bookmarkStart w:id="1" w:name="_GoBack"/>
      <w:bookmarkEnd w:id="1"/>
      <w:r w:rsidRPr="00C70E80">
        <w:rPr>
          <w:noProof/>
          <w:lang w:eastAsia="sk-SK"/>
        </w:rPr>
        <mc:AlternateContent>
          <mc:Choice Requires="wps">
            <w:drawing>
              <wp:anchor distT="0" distB="0" distL="114300" distR="114300" simplePos="0" relativeHeight="251660288" behindDoc="0" locked="0" layoutInCell="1" allowOverlap="1" wp14:anchorId="2F1E1B56" wp14:editId="5CF9F7CF">
                <wp:simplePos x="0" y="0"/>
                <wp:positionH relativeFrom="margin">
                  <wp:posOffset>-1341120</wp:posOffset>
                </wp:positionH>
                <wp:positionV relativeFrom="paragraph">
                  <wp:posOffset>3810</wp:posOffset>
                </wp:positionV>
                <wp:extent cx="7527925" cy="3220279"/>
                <wp:effectExtent l="0" t="0" r="0" b="0"/>
                <wp:wrapNone/>
                <wp:docPr id="8" name="Text Box 8"/>
                <wp:cNvGraphicFramePr/>
                <a:graphic xmlns:a="http://schemas.openxmlformats.org/drawingml/2006/main">
                  <a:graphicData uri="http://schemas.microsoft.com/office/word/2010/wordprocessingShape">
                    <wps:wsp>
                      <wps:cNvSpPr txBox="1"/>
                      <wps:spPr>
                        <a:xfrm>
                          <a:off x="0" y="0"/>
                          <a:ext cx="7527925" cy="3220279"/>
                        </a:xfrm>
                        <a:prstGeom prst="rect">
                          <a:avLst/>
                        </a:prstGeom>
                        <a:solidFill>
                          <a:schemeClr val="lt1"/>
                        </a:solidFill>
                        <a:ln w="6350">
                          <a:noFill/>
                        </a:ln>
                      </wps:spPr>
                      <wps:txbx>
                        <w:txbxContent>
                          <w:p w14:paraId="53E72DA3" w14:textId="77777777" w:rsidR="00000547" w:rsidRPr="002A04A5" w:rsidRDefault="00000547" w:rsidP="003930CB">
                            <w:pPr>
                              <w:pStyle w:val="BasicParagraph"/>
                              <w:spacing w:before="0" w:line="240" w:lineRule="auto"/>
                              <w:rPr>
                                <w:rFonts w:ascii="Verdana" w:hAnsi="Verdana" w:cs="Verdana"/>
                                <w:color w:val="0067AB"/>
                                <w:sz w:val="90"/>
                                <w:szCs w:val="90"/>
                                <w:lang w:val="sk-SK"/>
                              </w:rPr>
                            </w:pPr>
                            <w:r w:rsidRPr="002A04A5">
                              <w:rPr>
                                <w:rFonts w:ascii="Verdana" w:hAnsi="Verdana" w:cs="Verdana"/>
                                <w:color w:val="0067AB"/>
                                <w:sz w:val="90"/>
                                <w:szCs w:val="90"/>
                                <w:lang w:val="sk-SK"/>
                              </w:rPr>
                              <w:t xml:space="preserve">Správa </w:t>
                            </w:r>
                          </w:p>
                          <w:p w14:paraId="22ECFE96" w14:textId="56A7BD8C" w:rsidR="00000547" w:rsidRPr="002A04A5" w:rsidRDefault="00000547" w:rsidP="003930CB">
                            <w:pPr>
                              <w:pStyle w:val="BasicParagraph"/>
                              <w:spacing w:before="0" w:line="240" w:lineRule="auto"/>
                              <w:rPr>
                                <w:rFonts w:ascii="Verdana" w:hAnsi="Verdana" w:cs="Verdana"/>
                                <w:color w:val="0067AB"/>
                                <w:sz w:val="90"/>
                                <w:szCs w:val="90"/>
                                <w:lang w:val="sk-SK"/>
                              </w:rPr>
                            </w:pPr>
                            <w:r w:rsidRPr="002A04A5">
                              <w:rPr>
                                <w:rFonts w:ascii="Verdana" w:hAnsi="Verdana" w:cs="Verdana"/>
                                <w:color w:val="0067AB"/>
                                <w:sz w:val="90"/>
                                <w:szCs w:val="90"/>
                                <w:lang w:val="sk-SK"/>
                              </w:rPr>
                              <w:t>o stave a vývoji finančného trhu</w:t>
                            </w:r>
                          </w:p>
                          <w:p w14:paraId="78EF886C" w14:textId="5DC02B59" w:rsidR="00000547" w:rsidRDefault="00000547" w:rsidP="003930CB">
                            <w:pPr>
                              <w:pStyle w:val="BasicParagraph"/>
                              <w:spacing w:before="0"/>
                              <w:rPr>
                                <w:rFonts w:ascii="Cambria" w:hAnsi="Cambria" w:cs="Charter"/>
                                <w:color w:val="0067AB"/>
                                <w:sz w:val="22"/>
                                <w:szCs w:val="46"/>
                                <w:lang w:val="sk-SK"/>
                              </w:rPr>
                            </w:pPr>
                          </w:p>
                          <w:p w14:paraId="304BD145" w14:textId="77777777" w:rsidR="00000547" w:rsidRPr="00607891" w:rsidRDefault="00000547" w:rsidP="003930CB">
                            <w:pPr>
                              <w:pStyle w:val="BasicParagraph"/>
                              <w:spacing w:before="0"/>
                              <w:rPr>
                                <w:rFonts w:ascii="Cambria" w:hAnsi="Cambria" w:cs="Charter"/>
                                <w:color w:val="0067AB"/>
                                <w:sz w:val="22"/>
                                <w:szCs w:val="46"/>
                                <w:lang w:val="sk-SK"/>
                              </w:rPr>
                            </w:pPr>
                          </w:p>
                          <w:p w14:paraId="18517F76" w14:textId="03D7A165" w:rsidR="00000547" w:rsidRPr="002A04A5" w:rsidRDefault="00000547" w:rsidP="003930CB">
                            <w:pPr>
                              <w:pStyle w:val="BasicParagraph"/>
                              <w:rPr>
                                <w:rFonts w:ascii="Cambria" w:hAnsi="Cambria" w:cs="Charter"/>
                                <w:color w:val="0067AB"/>
                                <w:sz w:val="60"/>
                                <w:szCs w:val="60"/>
                                <w:lang w:val="sk-SK"/>
                              </w:rPr>
                            </w:pPr>
                            <w:r>
                              <w:rPr>
                                <w:rFonts w:ascii="Cambria" w:hAnsi="Cambria" w:cs="Charter"/>
                                <w:color w:val="0067AB"/>
                                <w:sz w:val="60"/>
                                <w:szCs w:val="60"/>
                                <w:lang w:val="sk-SK"/>
                              </w:rPr>
                              <w:t xml:space="preserve">prvý polrok </w:t>
                            </w:r>
                            <w:r w:rsidRPr="002A04A5">
                              <w:rPr>
                                <w:rFonts w:ascii="Cambria" w:hAnsi="Cambria" w:cs="Charter"/>
                                <w:color w:val="0067AB"/>
                                <w:sz w:val="60"/>
                                <w:szCs w:val="60"/>
                                <w:lang w:val="sk-SK"/>
                              </w:rPr>
                              <w:t>2</w:t>
                            </w:r>
                            <w:r>
                              <w:rPr>
                                <w:rFonts w:ascii="Cambria" w:hAnsi="Cambria" w:cs="Charter"/>
                                <w:color w:val="0067AB"/>
                                <w:sz w:val="60"/>
                                <w:szCs w:val="60"/>
                                <w:lang w:val="sk-SK"/>
                              </w:rPr>
                              <w:t>020</w:t>
                            </w:r>
                          </w:p>
                          <w:p w14:paraId="09939ED2" w14:textId="77777777" w:rsidR="00000547" w:rsidRDefault="00000547" w:rsidP="003930C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E1B56" id="_x0000_t202" coordsize="21600,21600" o:spt="202" path="m,l,21600r21600,l21600,xe">
                <v:stroke joinstyle="miter"/>
                <v:path gradientshapeok="t" o:connecttype="rect"/>
              </v:shapetype>
              <v:shape id="Text Box 8" o:spid="_x0000_s1026" type="#_x0000_t202" style="position:absolute;margin-left:-105.6pt;margin-top:.3pt;width:592.75pt;height:25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" fillcolor="white [3201]" stroked="f" strokeweight=".5pt">
                <v:textbox inset="0,0,0,0">
                  <w:txbxContent>
                    <w:p w14:paraId="53E72DA3" w14:textId="77777777" w:rsidR="00000547" w:rsidRPr="002A04A5" w:rsidRDefault="00000547" w:rsidP="003930CB">
                      <w:pPr>
                        <w:pStyle w:val="BasicParagraph"/>
                        <w:spacing w:before="0" w:line="240" w:lineRule="auto"/>
                        <w:rPr>
                          <w:rFonts w:ascii="Verdana" w:hAnsi="Verdana" w:cs="Verdana"/>
                          <w:color w:val="0067AB"/>
                          <w:sz w:val="90"/>
                          <w:szCs w:val="90"/>
                          <w:lang w:val="sk-SK"/>
                        </w:rPr>
                      </w:pPr>
                      <w:r w:rsidRPr="002A04A5">
                        <w:rPr>
                          <w:rFonts w:ascii="Verdana" w:hAnsi="Verdana" w:cs="Verdana"/>
                          <w:color w:val="0067AB"/>
                          <w:sz w:val="90"/>
                          <w:szCs w:val="90"/>
                          <w:lang w:val="sk-SK"/>
                        </w:rPr>
                        <w:t xml:space="preserve">Správa </w:t>
                      </w:r>
                    </w:p>
                    <w:p w14:paraId="22ECFE96" w14:textId="56A7BD8C" w:rsidR="00000547" w:rsidRPr="002A04A5" w:rsidRDefault="00000547" w:rsidP="003930CB">
                      <w:pPr>
                        <w:pStyle w:val="BasicParagraph"/>
                        <w:spacing w:before="0" w:line="240" w:lineRule="auto"/>
                        <w:rPr>
                          <w:rFonts w:ascii="Verdana" w:hAnsi="Verdana" w:cs="Verdana"/>
                          <w:color w:val="0067AB"/>
                          <w:sz w:val="90"/>
                          <w:szCs w:val="90"/>
                          <w:lang w:val="sk-SK"/>
                        </w:rPr>
                      </w:pPr>
                      <w:r w:rsidRPr="002A04A5">
                        <w:rPr>
                          <w:rFonts w:ascii="Verdana" w:hAnsi="Verdana" w:cs="Verdana"/>
                          <w:color w:val="0067AB"/>
                          <w:sz w:val="90"/>
                          <w:szCs w:val="90"/>
                          <w:lang w:val="sk-SK"/>
                        </w:rPr>
                        <w:t>o stave a vývoji finančného trhu</w:t>
                      </w:r>
                    </w:p>
                    <w:p w14:paraId="78EF886C" w14:textId="5DC02B59" w:rsidR="00000547" w:rsidRDefault="00000547" w:rsidP="003930CB">
                      <w:pPr>
                        <w:pStyle w:val="BasicParagraph"/>
                        <w:spacing w:before="0"/>
                        <w:rPr>
                          <w:rFonts w:ascii="Cambria" w:hAnsi="Cambria" w:cs="Charter"/>
                          <w:color w:val="0067AB"/>
                          <w:sz w:val="22"/>
                          <w:szCs w:val="46"/>
                          <w:lang w:val="sk-SK"/>
                        </w:rPr>
                      </w:pPr>
                    </w:p>
                    <w:p w14:paraId="304BD145" w14:textId="77777777" w:rsidR="00000547" w:rsidRPr="00607891" w:rsidRDefault="00000547" w:rsidP="003930CB">
                      <w:pPr>
                        <w:pStyle w:val="BasicParagraph"/>
                        <w:spacing w:before="0"/>
                        <w:rPr>
                          <w:rFonts w:ascii="Cambria" w:hAnsi="Cambria" w:cs="Charter"/>
                          <w:color w:val="0067AB"/>
                          <w:sz w:val="22"/>
                          <w:szCs w:val="46"/>
                          <w:lang w:val="sk-SK"/>
                        </w:rPr>
                      </w:pPr>
                    </w:p>
                    <w:p w14:paraId="18517F76" w14:textId="03D7A165" w:rsidR="00000547" w:rsidRPr="002A04A5" w:rsidRDefault="00000547" w:rsidP="003930CB">
                      <w:pPr>
                        <w:pStyle w:val="BasicParagraph"/>
                        <w:rPr>
                          <w:rFonts w:ascii="Cambria" w:hAnsi="Cambria" w:cs="Charter"/>
                          <w:color w:val="0067AB"/>
                          <w:sz w:val="60"/>
                          <w:szCs w:val="60"/>
                          <w:lang w:val="sk-SK"/>
                        </w:rPr>
                      </w:pPr>
                      <w:r>
                        <w:rPr>
                          <w:rFonts w:ascii="Cambria" w:hAnsi="Cambria" w:cs="Charter"/>
                          <w:color w:val="0067AB"/>
                          <w:sz w:val="60"/>
                          <w:szCs w:val="60"/>
                          <w:lang w:val="sk-SK"/>
                        </w:rPr>
                        <w:t xml:space="preserve">prvý polrok </w:t>
                      </w:r>
                      <w:r w:rsidRPr="002A04A5">
                        <w:rPr>
                          <w:rFonts w:ascii="Cambria" w:hAnsi="Cambria" w:cs="Charter"/>
                          <w:color w:val="0067AB"/>
                          <w:sz w:val="60"/>
                          <w:szCs w:val="60"/>
                          <w:lang w:val="sk-SK"/>
                        </w:rPr>
                        <w:t>2</w:t>
                      </w:r>
                      <w:r>
                        <w:rPr>
                          <w:rFonts w:ascii="Cambria" w:hAnsi="Cambria" w:cs="Charter"/>
                          <w:color w:val="0067AB"/>
                          <w:sz w:val="60"/>
                          <w:szCs w:val="60"/>
                          <w:lang w:val="sk-SK"/>
                        </w:rPr>
                        <w:t>020</w:t>
                      </w:r>
                    </w:p>
                    <w:p w14:paraId="09939ED2" w14:textId="77777777" w:rsidR="00000547" w:rsidRDefault="00000547" w:rsidP="003930CB"/>
                  </w:txbxContent>
                </v:textbox>
                <w10:wrap anchorx="margin"/>
              </v:shape>
            </w:pict>
          </mc:Fallback>
        </mc:AlternateContent>
      </w:r>
    </w:p>
    <w:p w14:paraId="15DE11E9" w14:textId="3131B89C" w:rsidR="003C63D8" w:rsidRPr="00C70E80" w:rsidRDefault="003C63D8" w:rsidP="00BC62B2">
      <w:pPr>
        <w:rPr>
          <w:b/>
          <w:sz w:val="48"/>
          <w:szCs w:val="48"/>
        </w:rPr>
      </w:pPr>
    </w:p>
    <w:p w14:paraId="5A9B766B" w14:textId="4DC42AB5" w:rsidR="0061404B" w:rsidRPr="00C70E80" w:rsidRDefault="001B7B41">
      <w:pPr>
        <w:spacing w:line="0" w:lineRule="auto"/>
        <w:jc w:val="left"/>
        <w:rPr>
          <w:b/>
          <w:sz w:val="48"/>
          <w:szCs w:val="48"/>
        </w:rPr>
      </w:pPr>
      <w:r w:rsidRPr="00C70E80">
        <w:rPr>
          <w:noProof/>
          <w:lang w:eastAsia="sk-SK"/>
        </w:rPr>
        <w:drawing>
          <wp:anchor distT="0" distB="0" distL="114300" distR="114300" simplePos="0" relativeHeight="251675648" behindDoc="1" locked="0" layoutInCell="1" allowOverlap="1" wp14:anchorId="72445EAA" wp14:editId="7CA4ADC7">
            <wp:simplePos x="0" y="0"/>
            <wp:positionH relativeFrom="page">
              <wp:posOffset>15240</wp:posOffset>
            </wp:positionH>
            <wp:positionV relativeFrom="paragraph">
              <wp:posOffset>2618740</wp:posOffset>
            </wp:positionV>
            <wp:extent cx="7587615" cy="3581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615" cy="3581400"/>
                    </a:xfrm>
                    <a:prstGeom prst="rect">
                      <a:avLst/>
                    </a:prstGeom>
                  </pic:spPr>
                </pic:pic>
              </a:graphicData>
            </a:graphic>
            <wp14:sizeRelH relativeFrom="margin">
              <wp14:pctWidth>0</wp14:pctWidth>
            </wp14:sizeRelH>
            <wp14:sizeRelV relativeFrom="margin">
              <wp14:pctHeight>0</wp14:pctHeight>
            </wp14:sizeRelV>
          </wp:anchor>
        </w:drawing>
      </w:r>
      <w:r w:rsidR="003C63D8" w:rsidRPr="00C70E80">
        <w:rPr>
          <w:b/>
          <w:sz w:val="48"/>
          <w:szCs w:val="48"/>
        </w:rPr>
        <w:br w:type="page"/>
      </w:r>
    </w:p>
    <w:p w14:paraId="329E1729" w14:textId="4C222A8A" w:rsidR="00CD783D" w:rsidRPr="00C70E80" w:rsidRDefault="00DF70BB" w:rsidP="00CD783D">
      <w:pPr>
        <w:spacing w:line="0" w:lineRule="auto"/>
        <w:jc w:val="left"/>
        <w:rPr>
          <w:rFonts w:ascii="Verdana" w:eastAsiaTheme="majorEastAsia" w:hAnsi="Verdana" w:cstheme="majorBidi"/>
          <w:color w:val="004C80" w:themeColor="accent1" w:themeShade="BF"/>
          <w:sz w:val="44"/>
          <w:szCs w:val="44"/>
        </w:rPr>
      </w:pPr>
      <w:r w:rsidRPr="00C70E80">
        <w:rPr>
          <w:rFonts w:ascii="Verdana" w:hAnsi="Verdana" w:cs="Verdana"/>
          <w:noProof/>
          <w:color w:val="0067AB"/>
          <w:sz w:val="54"/>
          <w:szCs w:val="54"/>
          <w:lang w:eastAsia="sk-SK"/>
        </w:rPr>
        <w:lastRenderedPageBreak/>
        <mc:AlternateContent>
          <mc:Choice Requires="wps">
            <w:drawing>
              <wp:anchor distT="0" distB="0" distL="114300" distR="114300" simplePos="0" relativeHeight="251672576" behindDoc="0" locked="0" layoutInCell="1" allowOverlap="1" wp14:anchorId="4FA232B2" wp14:editId="54ABB144">
                <wp:simplePos x="0" y="0"/>
                <wp:positionH relativeFrom="margin">
                  <wp:align>right</wp:align>
                </wp:positionH>
                <wp:positionV relativeFrom="paragraph">
                  <wp:posOffset>8222615</wp:posOffset>
                </wp:positionV>
                <wp:extent cx="4618990" cy="213995"/>
                <wp:effectExtent l="0" t="0" r="10160" b="14605"/>
                <wp:wrapNone/>
                <wp:docPr id="13" name="Text Box 13"/>
                <wp:cNvGraphicFramePr/>
                <a:graphic xmlns:a="http://schemas.openxmlformats.org/drawingml/2006/main">
                  <a:graphicData uri="http://schemas.microsoft.com/office/word/2010/wordprocessingShape">
                    <wps:wsp>
                      <wps:cNvSpPr txBox="1"/>
                      <wps:spPr>
                        <a:xfrm>
                          <a:off x="0" y="0"/>
                          <a:ext cx="4618990" cy="213995"/>
                        </a:xfrm>
                        <a:prstGeom prst="rect">
                          <a:avLst/>
                        </a:prstGeom>
                        <a:noFill/>
                        <a:ln w="6350">
                          <a:noFill/>
                        </a:ln>
                      </wps:spPr>
                      <wps:txbx>
                        <w:txbxContent>
                          <w:p w14:paraId="0001340E" w14:textId="77777777" w:rsidR="00000547" w:rsidRDefault="00000547" w:rsidP="002A04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32B2" id="Text Box 13" o:spid="_x0000_s1027" type="#_x0000_t202" style="position:absolute;margin-left:312.5pt;margin-top:647.45pt;width:363.7pt;height:16.8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" filled="f" stroked="f" strokeweight=".5pt">
                <v:textbox inset="0,0,0,0">
                  <w:txbxContent>
                    <w:p w14:paraId="0001340E" w14:textId="77777777" w:rsidR="00000547" w:rsidRDefault="00000547" w:rsidP="002A04A5"/>
                  </w:txbxContent>
                </v:textbox>
                <w10:wrap anchorx="margin"/>
              </v:shape>
            </w:pict>
          </mc:Fallback>
        </mc:AlternateContent>
      </w:r>
      <w:r w:rsidR="00C771C9" w:rsidRPr="00C70E80">
        <w:rPr>
          <w:rFonts w:ascii="Verdana" w:hAnsi="Verdana" w:cs="Verdana"/>
          <w:noProof/>
          <w:color w:val="0067AB"/>
          <w:sz w:val="54"/>
          <w:szCs w:val="54"/>
          <w:lang w:eastAsia="sk-SK"/>
        </w:rPr>
        <mc:AlternateContent>
          <mc:Choice Requires="wps">
            <w:drawing>
              <wp:anchor distT="0" distB="0" distL="114300" distR="114300" simplePos="0" relativeHeight="251670528" behindDoc="0" locked="0" layoutInCell="1" allowOverlap="1" wp14:anchorId="3E418BC0" wp14:editId="59BC4ED9">
                <wp:simplePos x="0" y="0"/>
                <wp:positionH relativeFrom="margin">
                  <wp:align>left</wp:align>
                </wp:positionH>
                <wp:positionV relativeFrom="paragraph">
                  <wp:posOffset>7328756</wp:posOffset>
                </wp:positionV>
                <wp:extent cx="4618355" cy="680483"/>
                <wp:effectExtent l="0" t="0" r="10795" b="5715"/>
                <wp:wrapNone/>
                <wp:docPr id="12" name="Text Box 12"/>
                <wp:cNvGraphicFramePr/>
                <a:graphic xmlns:a="http://schemas.openxmlformats.org/drawingml/2006/main">
                  <a:graphicData uri="http://schemas.microsoft.com/office/word/2010/wordprocessingShape">
                    <wps:wsp>
                      <wps:cNvSpPr txBox="1"/>
                      <wps:spPr>
                        <a:xfrm>
                          <a:off x="0" y="0"/>
                          <a:ext cx="4618355" cy="680483"/>
                        </a:xfrm>
                        <a:prstGeom prst="rect">
                          <a:avLst/>
                        </a:prstGeom>
                        <a:noFill/>
                        <a:ln w="6350">
                          <a:noFill/>
                        </a:ln>
                      </wps:spPr>
                      <wps:txbx>
                        <w:txbxContent>
                          <w:p w14:paraId="5F252BB1" w14:textId="77777777" w:rsidR="00000547" w:rsidRPr="007A13F8" w:rsidRDefault="00000547" w:rsidP="009F6CD6">
                            <w:r w:rsidRPr="007A13F8">
                              <w:t xml:space="preserve">Práca neprešla jazykovou úpravou. Všetky práva vyhradené. Krátke časti textu, nie viac ako dva odseky, môžu byť citované bez predchádzajúceho súhlasu autorov, pokiaľ bude úplne uvedený zdroj. </w:t>
                            </w:r>
                          </w:p>
                          <w:p w14:paraId="300A1CBD" w14:textId="77777777" w:rsidR="00000547" w:rsidRPr="007A13F8" w:rsidRDefault="00000547" w:rsidP="009F6CD6">
                            <w:pPr>
                              <w:rPr>
                                <w:rFonts w:cs="Portada Text"/>
                              </w:rPr>
                            </w:pPr>
                          </w:p>
                          <w:p w14:paraId="0EFD5DAC" w14:textId="77777777" w:rsidR="00000547" w:rsidRPr="007A13F8" w:rsidRDefault="00000547" w:rsidP="009F6CD6">
                            <w:pPr>
                              <w:rPr>
                                <w:rFonts w:cs="Verdana"/>
                                <w:color w:val="0068AC"/>
                              </w:rPr>
                            </w:pPr>
                          </w:p>
                          <w:p w14:paraId="28FF4F40" w14:textId="77777777" w:rsidR="00000547" w:rsidRPr="007A13F8" w:rsidRDefault="00000547" w:rsidP="009F6CD6">
                            <w:pPr>
                              <w:rPr>
                                <w:rFonts w:cs="Portada Text"/>
                              </w:rPr>
                            </w:pPr>
                            <w:r w:rsidRPr="007A13F8">
                              <w:rPr>
                                <w:rFonts w:cs="Verdana"/>
                                <w:color w:val="0068AC"/>
                              </w:rPr>
                              <w:t>Adresa</w:t>
                            </w:r>
                          </w:p>
                          <w:p w14:paraId="659013D4" w14:textId="77777777" w:rsidR="00000547" w:rsidRPr="007A13F8" w:rsidRDefault="00000547" w:rsidP="009F6CD6">
                            <w:r w:rsidRPr="007A13F8">
                              <w:t>Národná banka Slovenska</w:t>
                            </w:r>
                          </w:p>
                          <w:p w14:paraId="63559417" w14:textId="77777777" w:rsidR="00000547" w:rsidRPr="007A13F8" w:rsidRDefault="00000547" w:rsidP="009F6CD6">
                            <w:r w:rsidRPr="007A13F8">
                              <w:t xml:space="preserve">Imricha </w:t>
                            </w:r>
                            <w:proofErr w:type="spellStart"/>
                            <w:r w:rsidRPr="007A13F8">
                              <w:t>Karvaša</w:t>
                            </w:r>
                            <w:proofErr w:type="spellEnd"/>
                            <w:r w:rsidRPr="007A13F8">
                              <w:t xml:space="preserve"> 1, </w:t>
                            </w:r>
                          </w:p>
                          <w:p w14:paraId="651F1BA8" w14:textId="77777777" w:rsidR="00000547" w:rsidRPr="007A13F8" w:rsidRDefault="00000547" w:rsidP="009F6CD6">
                            <w:r w:rsidRPr="007A13F8">
                              <w:t>813 25 Bratislava</w:t>
                            </w:r>
                          </w:p>
                          <w:p w14:paraId="7574EC0C" w14:textId="77777777" w:rsidR="00000547" w:rsidRPr="007A13F8" w:rsidRDefault="00000547" w:rsidP="009F6C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18BC0" id="Text Box 12" o:spid="_x0000_s1028" type="#_x0000_t202" style="position:absolute;margin-left:0;margin-top:577.05pt;width:363.65pt;height:53.6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" filled="f" stroked="f" strokeweight=".5pt">
                <v:textbox inset="0,0,0,0">
                  <w:txbxContent>
                    <w:p w14:paraId="5F252BB1" w14:textId="77777777" w:rsidR="00000547" w:rsidRPr="007A13F8" w:rsidRDefault="00000547" w:rsidP="009F6CD6">
                      <w:r w:rsidRPr="007A13F8">
                        <w:t xml:space="preserve">Práca neprešla jazykovou úpravou. Všetky práva vyhradené. Krátke časti textu, nie viac ako dva odseky, môžu byť citované bez predchádzajúceho súhlasu autorov, pokiaľ bude úplne uvedený zdroj. </w:t>
                      </w:r>
                    </w:p>
                    <w:p w14:paraId="300A1CBD" w14:textId="77777777" w:rsidR="00000547" w:rsidRPr="007A13F8" w:rsidRDefault="00000547" w:rsidP="009F6CD6">
                      <w:pPr>
                        <w:rPr>
                          <w:rFonts w:cs="Portada Text"/>
                        </w:rPr>
                      </w:pPr>
                    </w:p>
                    <w:p w14:paraId="0EFD5DAC" w14:textId="77777777" w:rsidR="00000547" w:rsidRPr="007A13F8" w:rsidRDefault="00000547" w:rsidP="009F6CD6">
                      <w:pPr>
                        <w:rPr>
                          <w:rFonts w:cs="Verdana"/>
                          <w:color w:val="0068AC"/>
                        </w:rPr>
                      </w:pPr>
                    </w:p>
                    <w:p w14:paraId="28FF4F40" w14:textId="77777777" w:rsidR="00000547" w:rsidRPr="007A13F8" w:rsidRDefault="00000547" w:rsidP="009F6CD6">
                      <w:pPr>
                        <w:rPr>
                          <w:rFonts w:cs="Portada Text"/>
                        </w:rPr>
                      </w:pPr>
                      <w:r w:rsidRPr="007A13F8">
                        <w:rPr>
                          <w:rFonts w:cs="Verdana"/>
                          <w:color w:val="0068AC"/>
                        </w:rPr>
                        <w:t>Adresa</w:t>
                      </w:r>
                    </w:p>
                    <w:p w14:paraId="659013D4" w14:textId="77777777" w:rsidR="00000547" w:rsidRPr="007A13F8" w:rsidRDefault="00000547" w:rsidP="009F6CD6">
                      <w:r w:rsidRPr="007A13F8">
                        <w:t>Národná banka Slovenska</w:t>
                      </w:r>
                    </w:p>
                    <w:p w14:paraId="63559417" w14:textId="77777777" w:rsidR="00000547" w:rsidRPr="007A13F8" w:rsidRDefault="00000547" w:rsidP="009F6CD6">
                      <w:r w:rsidRPr="007A13F8">
                        <w:t xml:space="preserve">Imricha </w:t>
                      </w:r>
                      <w:proofErr w:type="spellStart"/>
                      <w:r w:rsidRPr="007A13F8">
                        <w:t>Karvaša</w:t>
                      </w:r>
                      <w:proofErr w:type="spellEnd"/>
                      <w:r w:rsidRPr="007A13F8">
                        <w:t xml:space="preserve"> 1, </w:t>
                      </w:r>
                    </w:p>
                    <w:p w14:paraId="651F1BA8" w14:textId="77777777" w:rsidR="00000547" w:rsidRPr="007A13F8" w:rsidRDefault="00000547" w:rsidP="009F6CD6">
                      <w:r w:rsidRPr="007A13F8">
                        <w:t>813 25 Bratislava</w:t>
                      </w:r>
                    </w:p>
                    <w:p w14:paraId="7574EC0C" w14:textId="77777777" w:rsidR="00000547" w:rsidRPr="007A13F8" w:rsidRDefault="00000547" w:rsidP="009F6CD6"/>
                  </w:txbxContent>
                </v:textbox>
                <w10:wrap anchorx="margin"/>
              </v:shape>
            </w:pict>
          </mc:Fallback>
        </mc:AlternateContent>
      </w:r>
      <w:r w:rsidR="00A50C8C" w:rsidRPr="00C70E80">
        <w:rPr>
          <w:rFonts w:ascii="Verdana" w:eastAsiaTheme="majorEastAsia" w:hAnsi="Verdana" w:cstheme="majorBidi"/>
          <w:noProof/>
          <w:color w:val="004C80" w:themeColor="accent1" w:themeShade="BF"/>
          <w:sz w:val="54"/>
          <w:szCs w:val="32"/>
        </w:rPr>
        <w:drawing>
          <wp:anchor distT="0" distB="0" distL="114300" distR="114300" simplePos="0" relativeHeight="251676672" behindDoc="0" locked="0" layoutInCell="1" allowOverlap="1" wp14:anchorId="55E1855B" wp14:editId="2829D02C">
            <wp:simplePos x="0" y="0"/>
            <wp:positionH relativeFrom="column">
              <wp:posOffset>2034540</wp:posOffset>
            </wp:positionH>
            <wp:positionV relativeFrom="paragraph">
              <wp:posOffset>6217285</wp:posOffset>
            </wp:positionV>
            <wp:extent cx="1029600" cy="1029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qrcode_sprava o stave vyvoja fin. trh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9600" cy="1029600"/>
                    </a:xfrm>
                    <a:prstGeom prst="rect">
                      <a:avLst/>
                    </a:prstGeom>
                  </pic:spPr>
                </pic:pic>
              </a:graphicData>
            </a:graphic>
            <wp14:sizeRelH relativeFrom="page">
              <wp14:pctWidth>0</wp14:pctWidth>
            </wp14:sizeRelH>
            <wp14:sizeRelV relativeFrom="page">
              <wp14:pctHeight>0</wp14:pctHeight>
            </wp14:sizeRelV>
          </wp:anchor>
        </w:drawing>
      </w:r>
      <w:r w:rsidR="009B3988" w:rsidRPr="00C70E80">
        <w:rPr>
          <w:rFonts w:ascii="Verdana" w:hAnsi="Verdana" w:cs="Verdana"/>
          <w:noProof/>
          <w:color w:val="0067AB"/>
          <w:sz w:val="54"/>
          <w:szCs w:val="54"/>
          <w:lang w:eastAsia="sk-SK"/>
        </w:rPr>
        <mc:AlternateContent>
          <mc:Choice Requires="wps">
            <w:drawing>
              <wp:anchor distT="0" distB="0" distL="114300" distR="114300" simplePos="0" relativeHeight="251666432" behindDoc="0" locked="0" layoutInCell="1" allowOverlap="1" wp14:anchorId="2F3D3578" wp14:editId="6723ECB1">
                <wp:simplePos x="0" y="0"/>
                <wp:positionH relativeFrom="margin">
                  <wp:posOffset>2160270</wp:posOffset>
                </wp:positionH>
                <wp:positionV relativeFrom="paragraph">
                  <wp:posOffset>5217160</wp:posOffset>
                </wp:positionV>
                <wp:extent cx="2628000" cy="943200"/>
                <wp:effectExtent l="0" t="0" r="1270" b="9525"/>
                <wp:wrapNone/>
                <wp:docPr id="10" name="Text Box 10"/>
                <wp:cNvGraphicFramePr/>
                <a:graphic xmlns:a="http://schemas.openxmlformats.org/drawingml/2006/main">
                  <a:graphicData uri="http://schemas.microsoft.com/office/word/2010/wordprocessingShape">
                    <wps:wsp>
                      <wps:cNvSpPr txBox="1"/>
                      <wps:spPr>
                        <a:xfrm>
                          <a:off x="0" y="0"/>
                          <a:ext cx="2628000" cy="943200"/>
                        </a:xfrm>
                        <a:prstGeom prst="rect">
                          <a:avLst/>
                        </a:prstGeom>
                        <a:noFill/>
                        <a:ln w="6350">
                          <a:noFill/>
                        </a:ln>
                      </wps:spPr>
                      <wps:txbx>
                        <w:txbxContent>
                          <w:p w14:paraId="7D00F910" w14:textId="77777777" w:rsidR="00000547" w:rsidRPr="002A04A5" w:rsidRDefault="00000547" w:rsidP="002A04A5">
                            <w:pPr>
                              <w:autoSpaceDE w:val="0"/>
                              <w:autoSpaceDN w:val="0"/>
                              <w:adjustRightInd w:val="0"/>
                              <w:spacing w:after="40" w:line="240" w:lineRule="auto"/>
                              <w:textAlignment w:val="center"/>
                              <w:rPr>
                                <w:rFonts w:ascii="Portada Text" w:hAnsi="Portada Text" w:cs="Portada Text"/>
                                <w:color w:val="000000"/>
                                <w:sz w:val="28"/>
                                <w:szCs w:val="20"/>
                              </w:rPr>
                            </w:pPr>
                            <w:r w:rsidRPr="002A04A5">
                              <w:rPr>
                                <w:rFonts w:ascii="Verdana" w:hAnsi="Verdana" w:cs="Verdana"/>
                                <w:color w:val="0068AC"/>
                                <w:sz w:val="28"/>
                                <w:szCs w:val="20"/>
                              </w:rPr>
                              <w:t>Elektronická verzia</w:t>
                            </w:r>
                          </w:p>
                          <w:p w14:paraId="49F2069C" w14:textId="77777777" w:rsidR="00000547" w:rsidRDefault="00000547" w:rsidP="00C771C9">
                            <w:pPr>
                              <w:autoSpaceDE w:val="0"/>
                              <w:autoSpaceDN w:val="0"/>
                              <w:adjustRightInd w:val="0"/>
                              <w:spacing w:after="0" w:line="288" w:lineRule="auto"/>
                              <w:textAlignment w:val="center"/>
                              <w:rPr>
                                <w:rFonts w:cs="Charter"/>
                                <w:color w:val="000000"/>
                                <w:szCs w:val="20"/>
                              </w:rPr>
                            </w:pPr>
                            <w:r w:rsidRPr="009B3988">
                              <w:rPr>
                                <w:rFonts w:cs="Charter"/>
                                <w:color w:val="000000"/>
                                <w:szCs w:val="20"/>
                              </w:rPr>
                              <w:t>https://www.nbs.sk/sk/publikacie/</w:t>
                            </w:r>
                          </w:p>
                          <w:p w14:paraId="6CDDEB4B" w14:textId="77777777" w:rsidR="00000547" w:rsidRDefault="00000547" w:rsidP="00C771C9">
                            <w:pPr>
                              <w:autoSpaceDE w:val="0"/>
                              <w:autoSpaceDN w:val="0"/>
                              <w:adjustRightInd w:val="0"/>
                              <w:spacing w:before="0" w:after="0" w:line="288" w:lineRule="auto"/>
                              <w:textAlignment w:val="center"/>
                              <w:rPr>
                                <w:rFonts w:cs="Charter"/>
                                <w:color w:val="000000"/>
                                <w:szCs w:val="20"/>
                              </w:rPr>
                            </w:pPr>
                            <w:proofErr w:type="spellStart"/>
                            <w:r w:rsidRPr="009B3988">
                              <w:rPr>
                                <w:rFonts w:cs="Charter"/>
                                <w:color w:val="000000"/>
                                <w:szCs w:val="20"/>
                              </w:rPr>
                              <w:t>publikacie-dohladu</w:t>
                            </w:r>
                            <w:proofErr w:type="spellEnd"/>
                            <w:r w:rsidRPr="009B3988">
                              <w:rPr>
                                <w:rFonts w:cs="Charter"/>
                                <w:color w:val="000000"/>
                                <w:szCs w:val="20"/>
                              </w:rPr>
                              <w:t>/sprava-o-stave-</w:t>
                            </w:r>
                          </w:p>
                          <w:p w14:paraId="295FE7D4" w14:textId="253B3E9E" w:rsidR="00000547" w:rsidRPr="007A13F8" w:rsidRDefault="00000547" w:rsidP="00C771C9">
                            <w:pPr>
                              <w:autoSpaceDE w:val="0"/>
                              <w:autoSpaceDN w:val="0"/>
                              <w:adjustRightInd w:val="0"/>
                              <w:spacing w:before="0" w:after="0" w:line="288" w:lineRule="auto"/>
                              <w:textAlignment w:val="center"/>
                              <w:rPr>
                                <w:rFonts w:cs="Charter"/>
                                <w:color w:val="000000"/>
                                <w:szCs w:val="20"/>
                              </w:rPr>
                            </w:pPr>
                            <w:r w:rsidRPr="009B3988">
                              <w:rPr>
                                <w:rFonts w:cs="Charter"/>
                                <w:color w:val="000000"/>
                                <w:szCs w:val="20"/>
                              </w:rPr>
                              <w:t>a-</w:t>
                            </w:r>
                            <w:proofErr w:type="spellStart"/>
                            <w:r w:rsidRPr="009B3988">
                              <w:rPr>
                                <w:rFonts w:cs="Charter"/>
                                <w:color w:val="000000"/>
                                <w:szCs w:val="20"/>
                              </w:rPr>
                              <w:t>vyvoji</w:t>
                            </w:r>
                            <w:proofErr w:type="spellEnd"/>
                            <w:r w:rsidRPr="009B3988">
                              <w:rPr>
                                <w:rFonts w:cs="Charter"/>
                                <w:color w:val="000000"/>
                                <w:szCs w:val="20"/>
                              </w:rPr>
                              <w:t>-</w:t>
                            </w:r>
                            <w:proofErr w:type="spellStart"/>
                            <w:r w:rsidRPr="009B3988">
                              <w:rPr>
                                <w:rFonts w:cs="Charter"/>
                                <w:color w:val="000000"/>
                                <w:szCs w:val="20"/>
                              </w:rPr>
                              <w:t>financneho</w:t>
                            </w:r>
                            <w:proofErr w:type="spellEnd"/>
                            <w:r w:rsidRPr="009B3988">
                              <w:rPr>
                                <w:rFonts w:cs="Charter"/>
                                <w:color w:val="000000"/>
                                <w:szCs w:val="20"/>
                              </w:rPr>
                              <w:t>-trhu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D3578" id="Text Box 10" o:spid="_x0000_s1029" type="#_x0000_t202" style="position:absolute;margin-left:170.1pt;margin-top:410.8pt;width:206.95pt;height:74.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" filled="f" stroked="f" strokeweight=".5pt">
                <v:textbox inset="0,0,0,0">
                  <w:txbxContent>
                    <w:p w14:paraId="7D00F910" w14:textId="77777777" w:rsidR="00000547" w:rsidRPr="002A04A5" w:rsidRDefault="00000547" w:rsidP="002A04A5">
                      <w:pPr>
                        <w:autoSpaceDE w:val="0"/>
                        <w:autoSpaceDN w:val="0"/>
                        <w:adjustRightInd w:val="0"/>
                        <w:spacing w:after="40" w:line="240" w:lineRule="auto"/>
                        <w:textAlignment w:val="center"/>
                        <w:rPr>
                          <w:rFonts w:ascii="Portada Text" w:hAnsi="Portada Text" w:cs="Portada Text"/>
                          <w:color w:val="000000"/>
                          <w:sz w:val="28"/>
                          <w:szCs w:val="20"/>
                        </w:rPr>
                      </w:pPr>
                      <w:r w:rsidRPr="002A04A5">
                        <w:rPr>
                          <w:rFonts w:ascii="Verdana" w:hAnsi="Verdana" w:cs="Verdana"/>
                          <w:color w:val="0068AC"/>
                          <w:sz w:val="28"/>
                          <w:szCs w:val="20"/>
                        </w:rPr>
                        <w:t>Elektronická verzia</w:t>
                      </w:r>
                    </w:p>
                    <w:p w14:paraId="49F2069C" w14:textId="77777777" w:rsidR="00000547" w:rsidRDefault="00000547" w:rsidP="00C771C9">
                      <w:pPr>
                        <w:autoSpaceDE w:val="0"/>
                        <w:autoSpaceDN w:val="0"/>
                        <w:adjustRightInd w:val="0"/>
                        <w:spacing w:after="0" w:line="288" w:lineRule="auto"/>
                        <w:textAlignment w:val="center"/>
                        <w:rPr>
                          <w:rFonts w:cs="Charter"/>
                          <w:color w:val="000000"/>
                          <w:szCs w:val="20"/>
                        </w:rPr>
                      </w:pPr>
                      <w:r w:rsidRPr="009B3988">
                        <w:rPr>
                          <w:rFonts w:cs="Charter"/>
                          <w:color w:val="000000"/>
                          <w:szCs w:val="20"/>
                        </w:rPr>
                        <w:t>https://www.nbs.sk/sk/publikacie/</w:t>
                      </w:r>
                    </w:p>
                    <w:p w14:paraId="6CDDEB4B" w14:textId="77777777" w:rsidR="00000547" w:rsidRDefault="00000547" w:rsidP="00C771C9">
                      <w:pPr>
                        <w:autoSpaceDE w:val="0"/>
                        <w:autoSpaceDN w:val="0"/>
                        <w:adjustRightInd w:val="0"/>
                        <w:spacing w:before="0" w:after="0" w:line="288" w:lineRule="auto"/>
                        <w:textAlignment w:val="center"/>
                        <w:rPr>
                          <w:rFonts w:cs="Charter"/>
                          <w:color w:val="000000"/>
                          <w:szCs w:val="20"/>
                        </w:rPr>
                      </w:pPr>
                      <w:proofErr w:type="spellStart"/>
                      <w:r w:rsidRPr="009B3988">
                        <w:rPr>
                          <w:rFonts w:cs="Charter"/>
                          <w:color w:val="000000"/>
                          <w:szCs w:val="20"/>
                        </w:rPr>
                        <w:t>publikacie-dohladu</w:t>
                      </w:r>
                      <w:proofErr w:type="spellEnd"/>
                      <w:r w:rsidRPr="009B3988">
                        <w:rPr>
                          <w:rFonts w:cs="Charter"/>
                          <w:color w:val="000000"/>
                          <w:szCs w:val="20"/>
                        </w:rPr>
                        <w:t>/sprava-o-stave-</w:t>
                      </w:r>
                    </w:p>
                    <w:p w14:paraId="295FE7D4" w14:textId="253B3E9E" w:rsidR="00000547" w:rsidRPr="007A13F8" w:rsidRDefault="00000547" w:rsidP="00C771C9">
                      <w:pPr>
                        <w:autoSpaceDE w:val="0"/>
                        <w:autoSpaceDN w:val="0"/>
                        <w:adjustRightInd w:val="0"/>
                        <w:spacing w:before="0" w:after="0" w:line="288" w:lineRule="auto"/>
                        <w:textAlignment w:val="center"/>
                        <w:rPr>
                          <w:rFonts w:cs="Charter"/>
                          <w:color w:val="000000"/>
                          <w:szCs w:val="20"/>
                        </w:rPr>
                      </w:pPr>
                      <w:r w:rsidRPr="009B3988">
                        <w:rPr>
                          <w:rFonts w:cs="Charter"/>
                          <w:color w:val="000000"/>
                          <w:szCs w:val="20"/>
                        </w:rPr>
                        <w:t>a-</w:t>
                      </w:r>
                      <w:proofErr w:type="spellStart"/>
                      <w:r w:rsidRPr="009B3988">
                        <w:rPr>
                          <w:rFonts w:cs="Charter"/>
                          <w:color w:val="000000"/>
                          <w:szCs w:val="20"/>
                        </w:rPr>
                        <w:t>vyvoji</w:t>
                      </w:r>
                      <w:proofErr w:type="spellEnd"/>
                      <w:r w:rsidRPr="009B3988">
                        <w:rPr>
                          <w:rFonts w:cs="Charter"/>
                          <w:color w:val="000000"/>
                          <w:szCs w:val="20"/>
                        </w:rPr>
                        <w:t>-</w:t>
                      </w:r>
                      <w:proofErr w:type="spellStart"/>
                      <w:r w:rsidRPr="009B3988">
                        <w:rPr>
                          <w:rFonts w:cs="Charter"/>
                          <w:color w:val="000000"/>
                          <w:szCs w:val="20"/>
                        </w:rPr>
                        <w:t>financneho</w:t>
                      </w:r>
                      <w:proofErr w:type="spellEnd"/>
                      <w:r w:rsidRPr="009B3988">
                        <w:rPr>
                          <w:rFonts w:cs="Charter"/>
                          <w:color w:val="000000"/>
                          <w:szCs w:val="20"/>
                        </w:rPr>
                        <w:t>-trhu</w:t>
                      </w:r>
                    </w:p>
                  </w:txbxContent>
                </v:textbox>
                <w10:wrap anchorx="margin"/>
              </v:shape>
            </w:pict>
          </mc:Fallback>
        </mc:AlternateContent>
      </w:r>
      <w:r w:rsidR="009B3988" w:rsidRPr="00C70E80">
        <w:rPr>
          <w:rFonts w:ascii="Verdana" w:hAnsi="Verdana" w:cs="Verdana"/>
          <w:noProof/>
          <w:color w:val="0067AB"/>
          <w:sz w:val="54"/>
          <w:szCs w:val="54"/>
          <w:lang w:eastAsia="sk-SK"/>
        </w:rPr>
        <mc:AlternateContent>
          <mc:Choice Requires="wps">
            <w:drawing>
              <wp:anchor distT="0" distB="0" distL="114300" distR="114300" simplePos="0" relativeHeight="251664384" behindDoc="0" locked="0" layoutInCell="1" allowOverlap="1" wp14:anchorId="3DBB7245" wp14:editId="683C31CB">
                <wp:simplePos x="0" y="0"/>
                <wp:positionH relativeFrom="column">
                  <wp:posOffset>0</wp:posOffset>
                </wp:positionH>
                <wp:positionV relativeFrom="paragraph">
                  <wp:posOffset>5212715</wp:posOffset>
                </wp:positionV>
                <wp:extent cx="5155200" cy="2030400"/>
                <wp:effectExtent l="0" t="0" r="7620" b="8255"/>
                <wp:wrapNone/>
                <wp:docPr id="23" name="Text Box 23"/>
                <wp:cNvGraphicFramePr/>
                <a:graphic xmlns:a="http://schemas.openxmlformats.org/drawingml/2006/main">
                  <a:graphicData uri="http://schemas.microsoft.com/office/word/2010/wordprocessingShape">
                    <wps:wsp>
                      <wps:cNvSpPr txBox="1"/>
                      <wps:spPr>
                        <a:xfrm>
                          <a:off x="0" y="0"/>
                          <a:ext cx="5155200" cy="2030400"/>
                        </a:xfrm>
                        <a:prstGeom prst="rect">
                          <a:avLst/>
                        </a:prstGeom>
                        <a:noFill/>
                        <a:ln w="6350">
                          <a:noFill/>
                        </a:ln>
                      </wps:spPr>
                      <wps:txbx>
                        <w:txbxContent>
                          <w:p w14:paraId="33A0D7AD" w14:textId="77777777" w:rsidR="00000547" w:rsidRPr="002A04A5" w:rsidRDefault="00000547" w:rsidP="002A04A5">
                            <w:pPr>
                              <w:autoSpaceDE w:val="0"/>
                              <w:autoSpaceDN w:val="0"/>
                              <w:adjustRightInd w:val="0"/>
                              <w:spacing w:after="40" w:line="240" w:lineRule="auto"/>
                              <w:textAlignment w:val="center"/>
                              <w:rPr>
                                <w:rFonts w:ascii="Portada Text" w:hAnsi="Portada Text" w:cs="Portada Text"/>
                                <w:color w:val="000000"/>
                                <w:sz w:val="28"/>
                                <w:szCs w:val="20"/>
                              </w:rPr>
                            </w:pPr>
                            <w:r w:rsidRPr="002A04A5">
                              <w:rPr>
                                <w:rFonts w:ascii="Verdana" w:hAnsi="Verdana" w:cs="Verdana"/>
                                <w:color w:val="0068AC"/>
                                <w:sz w:val="28"/>
                                <w:szCs w:val="20"/>
                              </w:rPr>
                              <w:t>Vydavateľ</w:t>
                            </w:r>
                          </w:p>
                          <w:p w14:paraId="3C7ECFC8" w14:textId="0FDC1D6B" w:rsidR="00000547" w:rsidRPr="007A13F8" w:rsidRDefault="00000547" w:rsidP="002A04A5">
                            <w:pPr>
                              <w:autoSpaceDE w:val="0"/>
                              <w:autoSpaceDN w:val="0"/>
                              <w:adjustRightInd w:val="0"/>
                              <w:spacing w:after="120" w:line="240" w:lineRule="auto"/>
                              <w:textAlignment w:val="center"/>
                              <w:rPr>
                                <w:rFonts w:cs="Portada Text"/>
                                <w:color w:val="000000"/>
                              </w:rPr>
                            </w:pPr>
                            <w:r w:rsidRPr="007A13F8">
                              <w:rPr>
                                <w:rFonts w:cs="Charter"/>
                                <w:color w:val="000000"/>
                              </w:rPr>
                              <w:t>© Národná banka Slovenska 20</w:t>
                            </w:r>
                            <w:r>
                              <w:rPr>
                                <w:rFonts w:cs="Charter"/>
                                <w:color w:val="000000"/>
                              </w:rPr>
                              <w:t>20</w:t>
                            </w:r>
                          </w:p>
                          <w:p w14:paraId="391ED90B" w14:textId="77777777" w:rsidR="00000547" w:rsidRPr="00DF70BB" w:rsidRDefault="00000547" w:rsidP="002A04A5">
                            <w:pPr>
                              <w:autoSpaceDE w:val="0"/>
                              <w:autoSpaceDN w:val="0"/>
                              <w:adjustRightInd w:val="0"/>
                              <w:spacing w:after="40" w:line="240" w:lineRule="auto"/>
                              <w:textAlignment w:val="center"/>
                              <w:rPr>
                                <w:rFonts w:ascii="Verdana" w:hAnsi="Verdana" w:cs="Verdana"/>
                                <w:color w:val="0068AC"/>
                                <w:sz w:val="16"/>
                                <w:szCs w:val="20"/>
                              </w:rPr>
                            </w:pPr>
                          </w:p>
                          <w:p w14:paraId="54CA4393" w14:textId="55E479BB" w:rsidR="00000547" w:rsidRPr="002A04A5" w:rsidRDefault="00000547" w:rsidP="002A04A5">
                            <w:pPr>
                              <w:autoSpaceDE w:val="0"/>
                              <w:autoSpaceDN w:val="0"/>
                              <w:adjustRightInd w:val="0"/>
                              <w:spacing w:after="40" w:line="240" w:lineRule="auto"/>
                              <w:textAlignment w:val="center"/>
                              <w:rPr>
                                <w:rFonts w:ascii="Portada Text" w:hAnsi="Portada Text" w:cs="Portada Text"/>
                                <w:color w:val="000000"/>
                                <w:sz w:val="28"/>
                                <w:szCs w:val="20"/>
                              </w:rPr>
                            </w:pPr>
                            <w:r w:rsidRPr="002A04A5">
                              <w:rPr>
                                <w:rFonts w:ascii="Verdana" w:hAnsi="Verdana" w:cs="Verdana"/>
                                <w:color w:val="0068AC"/>
                                <w:sz w:val="28"/>
                                <w:szCs w:val="20"/>
                              </w:rPr>
                              <w:t>Adresa</w:t>
                            </w:r>
                          </w:p>
                          <w:p w14:paraId="6E8F4E31" w14:textId="77777777" w:rsidR="00000547" w:rsidRPr="007A13F8" w:rsidRDefault="00000547" w:rsidP="00DF70BB">
                            <w:pPr>
                              <w:autoSpaceDE w:val="0"/>
                              <w:autoSpaceDN w:val="0"/>
                              <w:adjustRightInd w:val="0"/>
                              <w:spacing w:after="120" w:line="240" w:lineRule="auto"/>
                              <w:textAlignment w:val="center"/>
                              <w:rPr>
                                <w:rFonts w:cs="Charter"/>
                                <w:color w:val="000000"/>
                              </w:rPr>
                            </w:pPr>
                            <w:r w:rsidRPr="007A13F8">
                              <w:rPr>
                                <w:rFonts w:cs="Charter"/>
                                <w:color w:val="000000"/>
                              </w:rPr>
                              <w:t>Národná banka Slovenska</w:t>
                            </w:r>
                          </w:p>
                          <w:p w14:paraId="0AB7AE4E" w14:textId="07F36E1F" w:rsidR="00000547" w:rsidRPr="007A13F8" w:rsidRDefault="00000547" w:rsidP="00DF70BB">
                            <w:pPr>
                              <w:autoSpaceDE w:val="0"/>
                              <w:autoSpaceDN w:val="0"/>
                              <w:adjustRightInd w:val="0"/>
                              <w:spacing w:after="120" w:line="240" w:lineRule="auto"/>
                              <w:textAlignment w:val="center"/>
                              <w:rPr>
                                <w:rFonts w:cs="Charter"/>
                                <w:color w:val="000000"/>
                              </w:rPr>
                            </w:pPr>
                            <w:r w:rsidRPr="007A13F8">
                              <w:rPr>
                                <w:rFonts w:cs="Charter"/>
                                <w:color w:val="000000"/>
                              </w:rPr>
                              <w:t xml:space="preserve">Imricha </w:t>
                            </w:r>
                            <w:proofErr w:type="spellStart"/>
                            <w:r w:rsidRPr="007A13F8">
                              <w:rPr>
                                <w:rFonts w:cs="Charter"/>
                                <w:color w:val="000000"/>
                              </w:rPr>
                              <w:t>Karvaša</w:t>
                            </w:r>
                            <w:proofErr w:type="spellEnd"/>
                            <w:r w:rsidRPr="007A13F8">
                              <w:rPr>
                                <w:rFonts w:cs="Charter"/>
                                <w:color w:val="000000"/>
                              </w:rPr>
                              <w:t xml:space="preserve"> 1</w:t>
                            </w:r>
                          </w:p>
                          <w:p w14:paraId="43A6AD98" w14:textId="458FD932" w:rsidR="00000547" w:rsidRPr="007A13F8" w:rsidRDefault="00000547" w:rsidP="00DF70BB">
                            <w:pPr>
                              <w:autoSpaceDE w:val="0"/>
                              <w:autoSpaceDN w:val="0"/>
                              <w:adjustRightInd w:val="0"/>
                              <w:spacing w:after="120" w:line="240" w:lineRule="auto"/>
                              <w:textAlignment w:val="center"/>
                              <w:rPr>
                                <w:rFonts w:cs="Charter"/>
                                <w:color w:val="000000"/>
                              </w:rPr>
                            </w:pPr>
                            <w:r w:rsidRPr="007A13F8">
                              <w:rPr>
                                <w:rFonts w:cs="Charter"/>
                                <w:color w:val="000000"/>
                              </w:rPr>
                              <w:t>813 25 Bratislava</w:t>
                            </w:r>
                          </w:p>
                          <w:p w14:paraId="6C5E7017" w14:textId="55B0CABC" w:rsidR="00000547" w:rsidRPr="00DF70BB" w:rsidRDefault="00000547" w:rsidP="00DF70BB">
                            <w:pPr>
                              <w:autoSpaceDE w:val="0"/>
                              <w:autoSpaceDN w:val="0"/>
                              <w:adjustRightInd w:val="0"/>
                              <w:spacing w:after="120" w:line="240" w:lineRule="auto"/>
                              <w:textAlignment w:val="center"/>
                              <w:rPr>
                                <w:rFonts w:cs="Charter"/>
                                <w:color w:val="000000"/>
                                <w:sz w:val="20"/>
                                <w:szCs w:val="20"/>
                              </w:rPr>
                            </w:pPr>
                            <w:r w:rsidRPr="002A04A5">
                              <w:rPr>
                                <w:rFonts w:cs="Charter"/>
                                <w:color w:val="000000"/>
                                <w:sz w:val="20"/>
                                <w:szCs w:val="20"/>
                              </w:rPr>
                              <w:t>info@nbs.sk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7245" id="Text Box 23" o:spid="_x0000_s1030" type="#_x0000_t202" style="position:absolute;margin-left:0;margin-top:410.45pt;width:405.9pt;height:15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" filled="f" stroked="f" strokeweight=".5pt">
                <v:textbox inset="0,0,0,0">
                  <w:txbxContent>
                    <w:p w14:paraId="33A0D7AD" w14:textId="77777777" w:rsidR="00000547" w:rsidRPr="002A04A5" w:rsidRDefault="00000547" w:rsidP="002A04A5">
                      <w:pPr>
                        <w:autoSpaceDE w:val="0"/>
                        <w:autoSpaceDN w:val="0"/>
                        <w:adjustRightInd w:val="0"/>
                        <w:spacing w:after="40" w:line="240" w:lineRule="auto"/>
                        <w:textAlignment w:val="center"/>
                        <w:rPr>
                          <w:rFonts w:ascii="Portada Text" w:hAnsi="Portada Text" w:cs="Portada Text"/>
                          <w:color w:val="000000"/>
                          <w:sz w:val="28"/>
                          <w:szCs w:val="20"/>
                        </w:rPr>
                      </w:pPr>
                      <w:r w:rsidRPr="002A04A5">
                        <w:rPr>
                          <w:rFonts w:ascii="Verdana" w:hAnsi="Verdana" w:cs="Verdana"/>
                          <w:color w:val="0068AC"/>
                          <w:sz w:val="28"/>
                          <w:szCs w:val="20"/>
                        </w:rPr>
                        <w:t>Vydavateľ</w:t>
                      </w:r>
                    </w:p>
                    <w:p w14:paraId="3C7ECFC8" w14:textId="0FDC1D6B" w:rsidR="00000547" w:rsidRPr="007A13F8" w:rsidRDefault="00000547" w:rsidP="002A04A5">
                      <w:pPr>
                        <w:autoSpaceDE w:val="0"/>
                        <w:autoSpaceDN w:val="0"/>
                        <w:adjustRightInd w:val="0"/>
                        <w:spacing w:after="120" w:line="240" w:lineRule="auto"/>
                        <w:textAlignment w:val="center"/>
                        <w:rPr>
                          <w:rFonts w:cs="Portada Text"/>
                          <w:color w:val="000000"/>
                        </w:rPr>
                      </w:pPr>
                      <w:r w:rsidRPr="007A13F8">
                        <w:rPr>
                          <w:rFonts w:cs="Charter"/>
                          <w:color w:val="000000"/>
                        </w:rPr>
                        <w:t>© Národná banka Slovenska 20</w:t>
                      </w:r>
                      <w:r>
                        <w:rPr>
                          <w:rFonts w:cs="Charter"/>
                          <w:color w:val="000000"/>
                        </w:rPr>
                        <w:t>20</w:t>
                      </w:r>
                    </w:p>
                    <w:p w14:paraId="391ED90B" w14:textId="77777777" w:rsidR="00000547" w:rsidRPr="00DF70BB" w:rsidRDefault="00000547" w:rsidP="002A04A5">
                      <w:pPr>
                        <w:autoSpaceDE w:val="0"/>
                        <w:autoSpaceDN w:val="0"/>
                        <w:adjustRightInd w:val="0"/>
                        <w:spacing w:after="40" w:line="240" w:lineRule="auto"/>
                        <w:textAlignment w:val="center"/>
                        <w:rPr>
                          <w:rFonts w:ascii="Verdana" w:hAnsi="Verdana" w:cs="Verdana"/>
                          <w:color w:val="0068AC"/>
                          <w:sz w:val="16"/>
                          <w:szCs w:val="20"/>
                        </w:rPr>
                      </w:pPr>
                    </w:p>
                    <w:p w14:paraId="54CA4393" w14:textId="55E479BB" w:rsidR="00000547" w:rsidRPr="002A04A5" w:rsidRDefault="00000547" w:rsidP="002A04A5">
                      <w:pPr>
                        <w:autoSpaceDE w:val="0"/>
                        <w:autoSpaceDN w:val="0"/>
                        <w:adjustRightInd w:val="0"/>
                        <w:spacing w:after="40" w:line="240" w:lineRule="auto"/>
                        <w:textAlignment w:val="center"/>
                        <w:rPr>
                          <w:rFonts w:ascii="Portada Text" w:hAnsi="Portada Text" w:cs="Portada Text"/>
                          <w:color w:val="000000"/>
                          <w:sz w:val="28"/>
                          <w:szCs w:val="20"/>
                        </w:rPr>
                      </w:pPr>
                      <w:r w:rsidRPr="002A04A5">
                        <w:rPr>
                          <w:rFonts w:ascii="Verdana" w:hAnsi="Verdana" w:cs="Verdana"/>
                          <w:color w:val="0068AC"/>
                          <w:sz w:val="28"/>
                          <w:szCs w:val="20"/>
                        </w:rPr>
                        <w:t>Adresa</w:t>
                      </w:r>
                    </w:p>
                    <w:p w14:paraId="6E8F4E31" w14:textId="77777777" w:rsidR="00000547" w:rsidRPr="007A13F8" w:rsidRDefault="00000547" w:rsidP="00DF70BB">
                      <w:pPr>
                        <w:autoSpaceDE w:val="0"/>
                        <w:autoSpaceDN w:val="0"/>
                        <w:adjustRightInd w:val="0"/>
                        <w:spacing w:after="120" w:line="240" w:lineRule="auto"/>
                        <w:textAlignment w:val="center"/>
                        <w:rPr>
                          <w:rFonts w:cs="Charter"/>
                          <w:color w:val="000000"/>
                        </w:rPr>
                      </w:pPr>
                      <w:r w:rsidRPr="007A13F8">
                        <w:rPr>
                          <w:rFonts w:cs="Charter"/>
                          <w:color w:val="000000"/>
                        </w:rPr>
                        <w:t>Národná banka Slovenska</w:t>
                      </w:r>
                    </w:p>
                    <w:p w14:paraId="0AB7AE4E" w14:textId="07F36E1F" w:rsidR="00000547" w:rsidRPr="007A13F8" w:rsidRDefault="00000547" w:rsidP="00DF70BB">
                      <w:pPr>
                        <w:autoSpaceDE w:val="0"/>
                        <w:autoSpaceDN w:val="0"/>
                        <w:adjustRightInd w:val="0"/>
                        <w:spacing w:after="120" w:line="240" w:lineRule="auto"/>
                        <w:textAlignment w:val="center"/>
                        <w:rPr>
                          <w:rFonts w:cs="Charter"/>
                          <w:color w:val="000000"/>
                        </w:rPr>
                      </w:pPr>
                      <w:r w:rsidRPr="007A13F8">
                        <w:rPr>
                          <w:rFonts w:cs="Charter"/>
                          <w:color w:val="000000"/>
                        </w:rPr>
                        <w:t xml:space="preserve">Imricha </w:t>
                      </w:r>
                      <w:proofErr w:type="spellStart"/>
                      <w:r w:rsidRPr="007A13F8">
                        <w:rPr>
                          <w:rFonts w:cs="Charter"/>
                          <w:color w:val="000000"/>
                        </w:rPr>
                        <w:t>Karvaša</w:t>
                      </w:r>
                      <w:proofErr w:type="spellEnd"/>
                      <w:r w:rsidRPr="007A13F8">
                        <w:rPr>
                          <w:rFonts w:cs="Charter"/>
                          <w:color w:val="000000"/>
                        </w:rPr>
                        <w:t xml:space="preserve"> 1</w:t>
                      </w:r>
                    </w:p>
                    <w:p w14:paraId="43A6AD98" w14:textId="458FD932" w:rsidR="00000547" w:rsidRPr="007A13F8" w:rsidRDefault="00000547" w:rsidP="00DF70BB">
                      <w:pPr>
                        <w:autoSpaceDE w:val="0"/>
                        <w:autoSpaceDN w:val="0"/>
                        <w:adjustRightInd w:val="0"/>
                        <w:spacing w:after="120" w:line="240" w:lineRule="auto"/>
                        <w:textAlignment w:val="center"/>
                        <w:rPr>
                          <w:rFonts w:cs="Charter"/>
                          <w:color w:val="000000"/>
                        </w:rPr>
                      </w:pPr>
                      <w:r w:rsidRPr="007A13F8">
                        <w:rPr>
                          <w:rFonts w:cs="Charter"/>
                          <w:color w:val="000000"/>
                        </w:rPr>
                        <w:t>813 25 Bratislava</w:t>
                      </w:r>
                    </w:p>
                    <w:p w14:paraId="6C5E7017" w14:textId="55B0CABC" w:rsidR="00000547" w:rsidRPr="00DF70BB" w:rsidRDefault="00000547" w:rsidP="00DF70BB">
                      <w:pPr>
                        <w:autoSpaceDE w:val="0"/>
                        <w:autoSpaceDN w:val="0"/>
                        <w:adjustRightInd w:val="0"/>
                        <w:spacing w:after="120" w:line="240" w:lineRule="auto"/>
                        <w:textAlignment w:val="center"/>
                        <w:rPr>
                          <w:rFonts w:cs="Charter"/>
                          <w:color w:val="000000"/>
                          <w:sz w:val="20"/>
                          <w:szCs w:val="20"/>
                        </w:rPr>
                      </w:pPr>
                      <w:r w:rsidRPr="002A04A5">
                        <w:rPr>
                          <w:rFonts w:cs="Charter"/>
                          <w:color w:val="000000"/>
                          <w:sz w:val="20"/>
                          <w:szCs w:val="20"/>
                        </w:rPr>
                        <w:t>info@nbs.sk</w:t>
                      </w:r>
                    </w:p>
                  </w:txbxContent>
                </v:textbox>
              </v:shape>
            </w:pict>
          </mc:Fallback>
        </mc:AlternateContent>
      </w:r>
      <w:r w:rsidR="009F6CD6" w:rsidRPr="00C70E80">
        <w:rPr>
          <w:rFonts w:ascii="Verdana" w:hAnsi="Verdana" w:cs="Verdana"/>
          <w:noProof/>
          <w:color w:val="0067AB"/>
          <w:sz w:val="54"/>
          <w:szCs w:val="54"/>
          <w:lang w:eastAsia="sk-SK"/>
        </w:rPr>
        <mc:AlternateContent>
          <mc:Choice Requires="wps">
            <w:drawing>
              <wp:anchor distT="0" distB="0" distL="114300" distR="114300" simplePos="0" relativeHeight="251673600" behindDoc="0" locked="0" layoutInCell="1" allowOverlap="1" wp14:anchorId="42B880E0" wp14:editId="684F1D5F">
                <wp:simplePos x="0" y="0"/>
                <wp:positionH relativeFrom="column">
                  <wp:posOffset>-142240</wp:posOffset>
                </wp:positionH>
                <wp:positionV relativeFrom="paragraph">
                  <wp:posOffset>8039100</wp:posOffset>
                </wp:positionV>
                <wp:extent cx="4994694"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49946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503A2" id="Straight Connector 24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2pt,633pt" to="382.1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" strokecolor="black [3213]" strokeweight=".5pt">
                <v:stroke joinstyle="miter"/>
              </v:line>
            </w:pict>
          </mc:Fallback>
        </mc:AlternateContent>
      </w:r>
      <w:r w:rsidR="00CD783D" w:rsidRPr="00C70E80">
        <w:rPr>
          <w:rFonts w:ascii="Verdana" w:eastAsiaTheme="majorEastAsia" w:hAnsi="Verdana" w:cstheme="majorBidi"/>
          <w:color w:val="004C80" w:themeColor="accent1" w:themeShade="BF"/>
          <w:sz w:val="44"/>
          <w:szCs w:val="44"/>
        </w:rPr>
        <w:br w:type="page"/>
      </w:r>
    </w:p>
    <w:p w14:paraId="53C760CB" w14:textId="22D9230A" w:rsidR="0011347D" w:rsidRPr="00C70E80" w:rsidRDefault="00DD0C48" w:rsidP="006D4843">
      <w:pPr>
        <w:pStyle w:val="Mimoobsahu"/>
        <w:spacing w:after="100" w:line="660" w:lineRule="exact"/>
        <w:rPr>
          <w:sz w:val="56"/>
          <w:szCs w:val="56"/>
        </w:rPr>
      </w:pPr>
      <w:r w:rsidRPr="00C70E80">
        <w:rPr>
          <w:sz w:val="56"/>
          <w:szCs w:val="56"/>
        </w:rPr>
        <w:lastRenderedPageBreak/>
        <w:t>O</w:t>
      </w:r>
      <w:r w:rsidR="0011347D" w:rsidRPr="00C70E80">
        <w:rPr>
          <w:sz w:val="56"/>
          <w:szCs w:val="56"/>
        </w:rPr>
        <w:t>bsah</w:t>
      </w:r>
    </w:p>
    <w:p w14:paraId="56A2BD5D" w14:textId="77777777" w:rsidR="0011347D" w:rsidRPr="00C70E80" w:rsidRDefault="0011347D" w:rsidP="00C023A1">
      <w:pPr>
        <w:pStyle w:val="TOC1"/>
      </w:pPr>
    </w:p>
    <w:bookmarkStart w:id="2" w:name="_Toc37753043"/>
    <w:bookmarkStart w:id="3" w:name="_Toc37753115"/>
    <w:p w14:paraId="663A488C" w14:textId="45A41586" w:rsidR="00A315A8" w:rsidRDefault="00FB3002">
      <w:pPr>
        <w:pStyle w:val="TOC1"/>
        <w:rPr>
          <w:rFonts w:asciiTheme="minorHAnsi" w:eastAsiaTheme="minorEastAsia" w:hAnsiTheme="minorHAnsi"/>
          <w:color w:val="auto"/>
          <w:spacing w:val="0"/>
          <w:lang w:val="en-GB" w:eastAsia="en-GB"/>
        </w:rPr>
      </w:pPr>
      <w:r w:rsidRPr="00C70E80">
        <w:fldChar w:fldCharType="begin"/>
      </w:r>
      <w:r w:rsidRPr="00C70E80">
        <w:instrText xml:space="preserve"> TOC \h \z \t "Heading 1;1;Heading 2;2;Heading 1 bez čísla;1" </w:instrText>
      </w:r>
      <w:r w:rsidRPr="00C70E80">
        <w:fldChar w:fldCharType="separate"/>
      </w:r>
      <w:hyperlink w:anchor="_Toc52285627" w:history="1">
        <w:r w:rsidR="00A315A8" w:rsidRPr="00151CF3">
          <w:rPr>
            <w:rStyle w:val="Hyperlink"/>
          </w:rPr>
          <w:t>Úvod</w:t>
        </w:r>
        <w:r w:rsidR="00A315A8">
          <w:rPr>
            <w:webHidden/>
          </w:rPr>
          <w:tab/>
        </w:r>
        <w:r w:rsidR="00A315A8">
          <w:rPr>
            <w:webHidden/>
          </w:rPr>
          <w:fldChar w:fldCharType="begin"/>
        </w:r>
        <w:r w:rsidR="00A315A8">
          <w:rPr>
            <w:webHidden/>
          </w:rPr>
          <w:instrText xml:space="preserve"> PAGEREF _Toc52285627 \h </w:instrText>
        </w:r>
        <w:r w:rsidR="00A315A8">
          <w:rPr>
            <w:webHidden/>
          </w:rPr>
        </w:r>
        <w:r w:rsidR="00A315A8">
          <w:rPr>
            <w:webHidden/>
          </w:rPr>
          <w:fldChar w:fldCharType="separate"/>
        </w:r>
        <w:r w:rsidR="00A02A40">
          <w:rPr>
            <w:webHidden/>
          </w:rPr>
          <w:t>4</w:t>
        </w:r>
        <w:r w:rsidR="00A315A8">
          <w:rPr>
            <w:webHidden/>
          </w:rPr>
          <w:fldChar w:fldCharType="end"/>
        </w:r>
      </w:hyperlink>
    </w:p>
    <w:p w14:paraId="64FE1B91" w14:textId="35A36A7F" w:rsidR="00A315A8" w:rsidRDefault="00A02A40">
      <w:pPr>
        <w:pStyle w:val="TOC1"/>
        <w:rPr>
          <w:rFonts w:asciiTheme="minorHAnsi" w:eastAsiaTheme="minorEastAsia" w:hAnsiTheme="minorHAnsi"/>
          <w:color w:val="auto"/>
          <w:spacing w:val="0"/>
          <w:lang w:val="en-GB" w:eastAsia="en-GB"/>
        </w:rPr>
      </w:pPr>
      <w:hyperlink w:anchor="_Toc52285628" w:history="1">
        <w:r w:rsidR="00A315A8" w:rsidRPr="00151CF3">
          <w:rPr>
            <w:rStyle w:val="Hyperlink"/>
          </w:rPr>
          <w:t>Zhrnutie</w:t>
        </w:r>
        <w:r w:rsidR="00A315A8">
          <w:rPr>
            <w:webHidden/>
          </w:rPr>
          <w:tab/>
        </w:r>
        <w:r w:rsidR="00A315A8">
          <w:rPr>
            <w:webHidden/>
          </w:rPr>
          <w:fldChar w:fldCharType="begin"/>
        </w:r>
        <w:r w:rsidR="00A315A8">
          <w:rPr>
            <w:webHidden/>
          </w:rPr>
          <w:instrText xml:space="preserve"> PAGEREF _Toc52285628 \h </w:instrText>
        </w:r>
        <w:r w:rsidR="00A315A8">
          <w:rPr>
            <w:webHidden/>
          </w:rPr>
        </w:r>
        <w:r w:rsidR="00A315A8">
          <w:rPr>
            <w:webHidden/>
          </w:rPr>
          <w:fldChar w:fldCharType="separate"/>
        </w:r>
        <w:r>
          <w:rPr>
            <w:webHidden/>
          </w:rPr>
          <w:t>5</w:t>
        </w:r>
        <w:r w:rsidR="00A315A8">
          <w:rPr>
            <w:webHidden/>
          </w:rPr>
          <w:fldChar w:fldCharType="end"/>
        </w:r>
      </w:hyperlink>
    </w:p>
    <w:p w14:paraId="03747B6C" w14:textId="0AF97145" w:rsidR="00A315A8" w:rsidRDefault="00A02A40">
      <w:pPr>
        <w:pStyle w:val="TOC1"/>
        <w:rPr>
          <w:rFonts w:asciiTheme="minorHAnsi" w:eastAsiaTheme="minorEastAsia" w:hAnsiTheme="minorHAnsi"/>
          <w:color w:val="auto"/>
          <w:spacing w:val="0"/>
          <w:lang w:val="en-GB" w:eastAsia="en-GB"/>
        </w:rPr>
      </w:pPr>
      <w:hyperlink w:anchor="_Toc52285629" w:history="1">
        <w:r w:rsidR="00A315A8" w:rsidRPr="00151CF3">
          <w:rPr>
            <w:rStyle w:val="Hyperlink"/>
          </w:rPr>
          <w:t>1</w:t>
        </w:r>
        <w:r w:rsidR="00A315A8">
          <w:rPr>
            <w:rFonts w:asciiTheme="minorHAnsi" w:eastAsiaTheme="minorEastAsia" w:hAnsiTheme="minorHAnsi"/>
            <w:color w:val="auto"/>
            <w:spacing w:val="0"/>
            <w:lang w:val="en-GB" w:eastAsia="en-GB"/>
          </w:rPr>
          <w:tab/>
        </w:r>
        <w:r w:rsidR="00A315A8" w:rsidRPr="00151CF3">
          <w:rPr>
            <w:rStyle w:val="Hyperlink"/>
          </w:rPr>
          <w:t>Bankový sektor</w:t>
        </w:r>
        <w:r w:rsidR="00A315A8">
          <w:rPr>
            <w:webHidden/>
          </w:rPr>
          <w:tab/>
        </w:r>
        <w:r w:rsidR="00A315A8">
          <w:rPr>
            <w:webHidden/>
          </w:rPr>
          <w:fldChar w:fldCharType="begin"/>
        </w:r>
        <w:r w:rsidR="00A315A8">
          <w:rPr>
            <w:webHidden/>
          </w:rPr>
          <w:instrText xml:space="preserve"> PAGEREF _Toc52285629 \h </w:instrText>
        </w:r>
        <w:r w:rsidR="00A315A8">
          <w:rPr>
            <w:webHidden/>
          </w:rPr>
        </w:r>
        <w:r w:rsidR="00A315A8">
          <w:rPr>
            <w:webHidden/>
          </w:rPr>
          <w:fldChar w:fldCharType="separate"/>
        </w:r>
        <w:r>
          <w:rPr>
            <w:webHidden/>
          </w:rPr>
          <w:t>10</w:t>
        </w:r>
        <w:r w:rsidR="00A315A8">
          <w:rPr>
            <w:webHidden/>
          </w:rPr>
          <w:fldChar w:fldCharType="end"/>
        </w:r>
      </w:hyperlink>
    </w:p>
    <w:p w14:paraId="26AF875F" w14:textId="743FF5C9" w:rsidR="00A315A8" w:rsidRDefault="00A02A40">
      <w:pPr>
        <w:pStyle w:val="TOC2"/>
        <w:rPr>
          <w:rFonts w:asciiTheme="minorHAnsi" w:eastAsiaTheme="minorEastAsia" w:hAnsiTheme="minorHAnsi"/>
          <w:noProof/>
          <w:spacing w:val="0"/>
          <w:lang w:val="en-GB" w:eastAsia="en-GB"/>
        </w:rPr>
      </w:pPr>
      <w:hyperlink w:anchor="_Toc52285630" w:history="1">
        <w:r w:rsidR="00A315A8" w:rsidRPr="00151CF3">
          <w:rPr>
            <w:rStyle w:val="Hyperlink"/>
            <w:noProof/>
            <w14:scene3d>
              <w14:camera w14:prst="orthographicFront"/>
              <w14:lightRig w14:rig="threePt" w14:dir="t">
                <w14:rot w14:lat="0" w14:lon="0" w14:rev="0"/>
              </w14:lightRig>
            </w14:scene3d>
          </w:rPr>
          <w:t>1.1</w:t>
        </w:r>
        <w:r w:rsidR="00A315A8" w:rsidRPr="00151CF3">
          <w:rPr>
            <w:rStyle w:val="Hyperlink"/>
            <w:noProof/>
          </w:rPr>
          <w:t xml:space="preserve"> Trendy a riziká v sektore domácností</w:t>
        </w:r>
        <w:r w:rsidR="00A315A8">
          <w:rPr>
            <w:noProof/>
            <w:webHidden/>
          </w:rPr>
          <w:tab/>
        </w:r>
        <w:r w:rsidR="00A315A8">
          <w:rPr>
            <w:noProof/>
            <w:webHidden/>
          </w:rPr>
          <w:fldChar w:fldCharType="begin"/>
        </w:r>
        <w:r w:rsidR="00A315A8">
          <w:rPr>
            <w:noProof/>
            <w:webHidden/>
          </w:rPr>
          <w:instrText xml:space="preserve"> PAGEREF _Toc52285630 \h </w:instrText>
        </w:r>
        <w:r w:rsidR="00A315A8">
          <w:rPr>
            <w:noProof/>
            <w:webHidden/>
          </w:rPr>
        </w:r>
        <w:r w:rsidR="00A315A8">
          <w:rPr>
            <w:noProof/>
            <w:webHidden/>
          </w:rPr>
          <w:fldChar w:fldCharType="separate"/>
        </w:r>
        <w:r>
          <w:rPr>
            <w:noProof/>
            <w:webHidden/>
          </w:rPr>
          <w:t>10</w:t>
        </w:r>
        <w:r w:rsidR="00A315A8">
          <w:rPr>
            <w:noProof/>
            <w:webHidden/>
          </w:rPr>
          <w:fldChar w:fldCharType="end"/>
        </w:r>
      </w:hyperlink>
    </w:p>
    <w:p w14:paraId="36E916A3" w14:textId="26C5DB3C" w:rsidR="00A315A8" w:rsidRDefault="00A02A40">
      <w:pPr>
        <w:pStyle w:val="TOC2"/>
        <w:rPr>
          <w:rFonts w:asciiTheme="minorHAnsi" w:eastAsiaTheme="minorEastAsia" w:hAnsiTheme="minorHAnsi"/>
          <w:noProof/>
          <w:spacing w:val="0"/>
          <w:lang w:val="en-GB" w:eastAsia="en-GB"/>
        </w:rPr>
      </w:pPr>
      <w:hyperlink w:anchor="_Toc52285631" w:history="1">
        <w:r w:rsidR="00A315A8" w:rsidRPr="00151CF3">
          <w:rPr>
            <w:rStyle w:val="Hyperlink"/>
            <w:noProof/>
            <w14:scene3d>
              <w14:camera w14:prst="orthographicFront"/>
              <w14:lightRig w14:rig="threePt" w14:dir="t">
                <w14:rot w14:lat="0" w14:lon="0" w14:rev="0"/>
              </w14:lightRig>
            </w14:scene3d>
          </w:rPr>
          <w:t>1.2</w:t>
        </w:r>
        <w:r w:rsidR="00A315A8" w:rsidRPr="00151CF3">
          <w:rPr>
            <w:rStyle w:val="Hyperlink"/>
            <w:noProof/>
          </w:rPr>
          <w:t xml:space="preserve"> Trendy a riziká v sektore podnikov</w:t>
        </w:r>
        <w:r w:rsidR="00A315A8">
          <w:rPr>
            <w:noProof/>
            <w:webHidden/>
          </w:rPr>
          <w:tab/>
        </w:r>
        <w:r w:rsidR="00A315A8">
          <w:rPr>
            <w:noProof/>
            <w:webHidden/>
          </w:rPr>
          <w:fldChar w:fldCharType="begin"/>
        </w:r>
        <w:r w:rsidR="00A315A8">
          <w:rPr>
            <w:noProof/>
            <w:webHidden/>
          </w:rPr>
          <w:instrText xml:space="preserve"> PAGEREF _Toc52285631 \h </w:instrText>
        </w:r>
        <w:r w:rsidR="00A315A8">
          <w:rPr>
            <w:noProof/>
            <w:webHidden/>
          </w:rPr>
        </w:r>
        <w:r w:rsidR="00A315A8">
          <w:rPr>
            <w:noProof/>
            <w:webHidden/>
          </w:rPr>
          <w:fldChar w:fldCharType="separate"/>
        </w:r>
        <w:r>
          <w:rPr>
            <w:noProof/>
            <w:webHidden/>
          </w:rPr>
          <w:t>21</w:t>
        </w:r>
        <w:r w:rsidR="00A315A8">
          <w:rPr>
            <w:noProof/>
            <w:webHidden/>
          </w:rPr>
          <w:fldChar w:fldCharType="end"/>
        </w:r>
      </w:hyperlink>
    </w:p>
    <w:p w14:paraId="27163DDD" w14:textId="17823E59" w:rsidR="00A315A8" w:rsidRDefault="00A02A40">
      <w:pPr>
        <w:pStyle w:val="TOC2"/>
        <w:rPr>
          <w:rFonts w:asciiTheme="minorHAnsi" w:eastAsiaTheme="minorEastAsia" w:hAnsiTheme="minorHAnsi"/>
          <w:noProof/>
          <w:spacing w:val="0"/>
          <w:lang w:val="en-GB" w:eastAsia="en-GB"/>
        </w:rPr>
      </w:pPr>
      <w:hyperlink w:anchor="_Toc52285632" w:history="1">
        <w:r w:rsidR="00A315A8" w:rsidRPr="00151CF3">
          <w:rPr>
            <w:rStyle w:val="Hyperlink"/>
            <w:noProof/>
            <w14:scene3d>
              <w14:camera w14:prst="orthographicFront"/>
              <w14:lightRig w14:rig="threePt" w14:dir="t">
                <w14:rot w14:lat="0" w14:lon="0" w14:rev="0"/>
              </w14:lightRig>
            </w14:scene3d>
          </w:rPr>
          <w:t>1.3</w:t>
        </w:r>
        <w:r w:rsidR="00A315A8" w:rsidRPr="00151CF3">
          <w:rPr>
            <w:rStyle w:val="Hyperlink"/>
            <w:noProof/>
          </w:rPr>
          <w:t xml:space="preserve"> Ziskovosť bankového sektora</w:t>
        </w:r>
        <w:r w:rsidR="00A315A8">
          <w:rPr>
            <w:noProof/>
            <w:webHidden/>
          </w:rPr>
          <w:tab/>
        </w:r>
        <w:r w:rsidR="00A315A8">
          <w:rPr>
            <w:noProof/>
            <w:webHidden/>
          </w:rPr>
          <w:fldChar w:fldCharType="begin"/>
        </w:r>
        <w:r w:rsidR="00A315A8">
          <w:rPr>
            <w:noProof/>
            <w:webHidden/>
          </w:rPr>
          <w:instrText xml:space="preserve"> PAGEREF _Toc52285632 \h </w:instrText>
        </w:r>
        <w:r w:rsidR="00A315A8">
          <w:rPr>
            <w:noProof/>
            <w:webHidden/>
          </w:rPr>
        </w:r>
        <w:r w:rsidR="00A315A8">
          <w:rPr>
            <w:noProof/>
            <w:webHidden/>
          </w:rPr>
          <w:fldChar w:fldCharType="separate"/>
        </w:r>
        <w:r>
          <w:rPr>
            <w:noProof/>
            <w:webHidden/>
          </w:rPr>
          <w:t>35</w:t>
        </w:r>
        <w:r w:rsidR="00A315A8">
          <w:rPr>
            <w:noProof/>
            <w:webHidden/>
          </w:rPr>
          <w:fldChar w:fldCharType="end"/>
        </w:r>
      </w:hyperlink>
    </w:p>
    <w:p w14:paraId="1B50082D" w14:textId="32D14969" w:rsidR="00A315A8" w:rsidRDefault="00A02A40">
      <w:pPr>
        <w:pStyle w:val="TOC2"/>
        <w:rPr>
          <w:rFonts w:asciiTheme="minorHAnsi" w:eastAsiaTheme="minorEastAsia" w:hAnsiTheme="minorHAnsi"/>
          <w:noProof/>
          <w:spacing w:val="0"/>
          <w:lang w:val="en-GB" w:eastAsia="en-GB"/>
        </w:rPr>
      </w:pPr>
      <w:hyperlink w:anchor="_Toc52285633" w:history="1">
        <w:r w:rsidR="00A315A8" w:rsidRPr="00151CF3">
          <w:rPr>
            <w:rStyle w:val="Hyperlink"/>
            <w:noProof/>
            <w14:scene3d>
              <w14:camera w14:prst="orthographicFront"/>
              <w14:lightRig w14:rig="threePt" w14:dir="t">
                <w14:rot w14:lat="0" w14:lon="0" w14:rev="0"/>
              </w14:lightRig>
            </w14:scene3d>
          </w:rPr>
          <w:t>1.4</w:t>
        </w:r>
        <w:r w:rsidR="00A315A8" w:rsidRPr="00151CF3">
          <w:rPr>
            <w:rStyle w:val="Hyperlink"/>
            <w:noProof/>
          </w:rPr>
          <w:t xml:space="preserve"> Solventnosť a likvidita bankového sektora</w:t>
        </w:r>
        <w:r w:rsidR="00A315A8">
          <w:rPr>
            <w:noProof/>
            <w:webHidden/>
          </w:rPr>
          <w:tab/>
        </w:r>
        <w:r w:rsidR="00A315A8">
          <w:rPr>
            <w:noProof/>
            <w:webHidden/>
          </w:rPr>
          <w:fldChar w:fldCharType="begin"/>
        </w:r>
        <w:r w:rsidR="00A315A8">
          <w:rPr>
            <w:noProof/>
            <w:webHidden/>
          </w:rPr>
          <w:instrText xml:space="preserve"> PAGEREF _Toc52285633 \h </w:instrText>
        </w:r>
        <w:r w:rsidR="00A315A8">
          <w:rPr>
            <w:noProof/>
            <w:webHidden/>
          </w:rPr>
        </w:r>
        <w:r w:rsidR="00A315A8">
          <w:rPr>
            <w:noProof/>
            <w:webHidden/>
          </w:rPr>
          <w:fldChar w:fldCharType="separate"/>
        </w:r>
        <w:r>
          <w:rPr>
            <w:noProof/>
            <w:webHidden/>
          </w:rPr>
          <w:t>38</w:t>
        </w:r>
        <w:r w:rsidR="00A315A8">
          <w:rPr>
            <w:noProof/>
            <w:webHidden/>
          </w:rPr>
          <w:fldChar w:fldCharType="end"/>
        </w:r>
      </w:hyperlink>
    </w:p>
    <w:p w14:paraId="6856655C" w14:textId="13124569" w:rsidR="00A315A8" w:rsidRDefault="00A02A40">
      <w:pPr>
        <w:pStyle w:val="TOC1"/>
        <w:rPr>
          <w:rFonts w:asciiTheme="minorHAnsi" w:eastAsiaTheme="minorEastAsia" w:hAnsiTheme="minorHAnsi"/>
          <w:color w:val="auto"/>
          <w:spacing w:val="0"/>
          <w:lang w:val="en-GB" w:eastAsia="en-GB"/>
        </w:rPr>
      </w:pPr>
      <w:hyperlink w:anchor="_Toc52285634" w:history="1">
        <w:r w:rsidR="00A315A8" w:rsidRPr="00151CF3">
          <w:rPr>
            <w:rStyle w:val="Hyperlink"/>
          </w:rPr>
          <w:t>2</w:t>
        </w:r>
        <w:r w:rsidR="00A315A8">
          <w:rPr>
            <w:rFonts w:asciiTheme="minorHAnsi" w:eastAsiaTheme="minorEastAsia" w:hAnsiTheme="minorHAnsi"/>
            <w:color w:val="auto"/>
            <w:spacing w:val="0"/>
            <w:lang w:val="en-GB" w:eastAsia="en-GB"/>
          </w:rPr>
          <w:tab/>
        </w:r>
        <w:r w:rsidR="00A315A8" w:rsidRPr="00151CF3">
          <w:rPr>
            <w:rStyle w:val="Hyperlink"/>
          </w:rPr>
          <w:t>Sektor poisťovní</w:t>
        </w:r>
        <w:r w:rsidR="00A315A8">
          <w:rPr>
            <w:webHidden/>
          </w:rPr>
          <w:tab/>
        </w:r>
        <w:r w:rsidR="00A315A8">
          <w:rPr>
            <w:webHidden/>
          </w:rPr>
          <w:fldChar w:fldCharType="begin"/>
        </w:r>
        <w:r w:rsidR="00A315A8">
          <w:rPr>
            <w:webHidden/>
          </w:rPr>
          <w:instrText xml:space="preserve"> PAGEREF _Toc52285634 \h </w:instrText>
        </w:r>
        <w:r w:rsidR="00A315A8">
          <w:rPr>
            <w:webHidden/>
          </w:rPr>
        </w:r>
        <w:r w:rsidR="00A315A8">
          <w:rPr>
            <w:webHidden/>
          </w:rPr>
          <w:fldChar w:fldCharType="separate"/>
        </w:r>
        <w:r>
          <w:rPr>
            <w:webHidden/>
          </w:rPr>
          <w:t>46</w:t>
        </w:r>
        <w:r w:rsidR="00A315A8">
          <w:rPr>
            <w:webHidden/>
          </w:rPr>
          <w:fldChar w:fldCharType="end"/>
        </w:r>
      </w:hyperlink>
    </w:p>
    <w:p w14:paraId="557B7168" w14:textId="2105055D" w:rsidR="00A315A8" w:rsidRDefault="00A02A40">
      <w:pPr>
        <w:pStyle w:val="TOC1"/>
        <w:rPr>
          <w:rFonts w:asciiTheme="minorHAnsi" w:eastAsiaTheme="minorEastAsia" w:hAnsiTheme="minorHAnsi"/>
          <w:color w:val="auto"/>
          <w:spacing w:val="0"/>
          <w:lang w:val="en-GB" w:eastAsia="en-GB"/>
        </w:rPr>
      </w:pPr>
      <w:hyperlink w:anchor="_Toc52285635" w:history="1">
        <w:r w:rsidR="00A315A8" w:rsidRPr="00151CF3">
          <w:rPr>
            <w:rStyle w:val="Hyperlink"/>
          </w:rPr>
          <w:t>3</w:t>
        </w:r>
        <w:r w:rsidR="00A315A8">
          <w:rPr>
            <w:rFonts w:asciiTheme="minorHAnsi" w:eastAsiaTheme="minorEastAsia" w:hAnsiTheme="minorHAnsi"/>
            <w:color w:val="auto"/>
            <w:spacing w:val="0"/>
            <w:lang w:val="en-GB" w:eastAsia="en-GB"/>
          </w:rPr>
          <w:tab/>
        </w:r>
        <w:r w:rsidR="00A315A8" w:rsidRPr="00151CF3">
          <w:rPr>
            <w:rStyle w:val="Hyperlink"/>
          </w:rPr>
          <w:t>Dôchodkové sporenie</w:t>
        </w:r>
        <w:r w:rsidR="00A315A8">
          <w:rPr>
            <w:webHidden/>
          </w:rPr>
          <w:tab/>
        </w:r>
        <w:r w:rsidR="00A315A8">
          <w:rPr>
            <w:webHidden/>
          </w:rPr>
          <w:fldChar w:fldCharType="begin"/>
        </w:r>
        <w:r w:rsidR="00A315A8">
          <w:rPr>
            <w:webHidden/>
          </w:rPr>
          <w:instrText xml:space="preserve"> PAGEREF _Toc52285635 \h </w:instrText>
        </w:r>
        <w:r w:rsidR="00A315A8">
          <w:rPr>
            <w:webHidden/>
          </w:rPr>
        </w:r>
        <w:r w:rsidR="00A315A8">
          <w:rPr>
            <w:webHidden/>
          </w:rPr>
          <w:fldChar w:fldCharType="separate"/>
        </w:r>
        <w:r>
          <w:rPr>
            <w:webHidden/>
          </w:rPr>
          <w:t>51</w:t>
        </w:r>
        <w:r w:rsidR="00A315A8">
          <w:rPr>
            <w:webHidden/>
          </w:rPr>
          <w:fldChar w:fldCharType="end"/>
        </w:r>
      </w:hyperlink>
    </w:p>
    <w:p w14:paraId="7BBA8DB3" w14:textId="4697A8FE" w:rsidR="00A315A8" w:rsidRDefault="00A02A40">
      <w:pPr>
        <w:pStyle w:val="TOC2"/>
        <w:rPr>
          <w:rFonts w:asciiTheme="minorHAnsi" w:eastAsiaTheme="minorEastAsia" w:hAnsiTheme="minorHAnsi"/>
          <w:noProof/>
          <w:spacing w:val="0"/>
          <w:lang w:val="en-GB" w:eastAsia="en-GB"/>
        </w:rPr>
      </w:pPr>
      <w:hyperlink w:anchor="_Toc52285636" w:history="1">
        <w:r w:rsidR="00A315A8" w:rsidRPr="00151CF3">
          <w:rPr>
            <w:rStyle w:val="Hyperlink"/>
            <w:noProof/>
            <w14:scene3d>
              <w14:camera w14:prst="orthographicFront"/>
              <w14:lightRig w14:rig="threePt" w14:dir="t">
                <w14:rot w14:lat="0" w14:lon="0" w14:rev="0"/>
              </w14:lightRig>
            </w14:scene3d>
          </w:rPr>
          <w:t>3.1</w:t>
        </w:r>
        <w:r w:rsidR="00A315A8" w:rsidRPr="00151CF3">
          <w:rPr>
            <w:rStyle w:val="Hyperlink"/>
            <w:noProof/>
          </w:rPr>
          <w:t xml:space="preserve"> Starobné dôchodkové sporenie</w:t>
        </w:r>
        <w:r w:rsidR="00A315A8">
          <w:rPr>
            <w:noProof/>
            <w:webHidden/>
          </w:rPr>
          <w:tab/>
        </w:r>
        <w:r w:rsidR="00A315A8">
          <w:rPr>
            <w:noProof/>
            <w:webHidden/>
          </w:rPr>
          <w:fldChar w:fldCharType="begin"/>
        </w:r>
        <w:r w:rsidR="00A315A8">
          <w:rPr>
            <w:noProof/>
            <w:webHidden/>
          </w:rPr>
          <w:instrText xml:space="preserve"> PAGEREF _Toc52285636 \h </w:instrText>
        </w:r>
        <w:r w:rsidR="00A315A8">
          <w:rPr>
            <w:noProof/>
            <w:webHidden/>
          </w:rPr>
        </w:r>
        <w:r w:rsidR="00A315A8">
          <w:rPr>
            <w:noProof/>
            <w:webHidden/>
          </w:rPr>
          <w:fldChar w:fldCharType="separate"/>
        </w:r>
        <w:r>
          <w:rPr>
            <w:noProof/>
            <w:webHidden/>
          </w:rPr>
          <w:t>51</w:t>
        </w:r>
        <w:r w:rsidR="00A315A8">
          <w:rPr>
            <w:noProof/>
            <w:webHidden/>
          </w:rPr>
          <w:fldChar w:fldCharType="end"/>
        </w:r>
      </w:hyperlink>
    </w:p>
    <w:p w14:paraId="3EDB13F3" w14:textId="46A39D00" w:rsidR="00A315A8" w:rsidRDefault="00A02A40">
      <w:pPr>
        <w:pStyle w:val="TOC2"/>
        <w:rPr>
          <w:rFonts w:asciiTheme="minorHAnsi" w:eastAsiaTheme="minorEastAsia" w:hAnsiTheme="minorHAnsi"/>
          <w:noProof/>
          <w:spacing w:val="0"/>
          <w:lang w:val="en-GB" w:eastAsia="en-GB"/>
        </w:rPr>
      </w:pPr>
      <w:hyperlink w:anchor="_Toc52285637" w:history="1">
        <w:r w:rsidR="00A315A8" w:rsidRPr="00151CF3">
          <w:rPr>
            <w:rStyle w:val="Hyperlink"/>
            <w:noProof/>
            <w14:scene3d>
              <w14:camera w14:prst="orthographicFront"/>
              <w14:lightRig w14:rig="threePt" w14:dir="t">
                <w14:rot w14:lat="0" w14:lon="0" w14:rev="0"/>
              </w14:lightRig>
            </w14:scene3d>
          </w:rPr>
          <w:t>3.2</w:t>
        </w:r>
        <w:r w:rsidR="00A315A8" w:rsidRPr="00151CF3">
          <w:rPr>
            <w:rStyle w:val="Hyperlink"/>
            <w:noProof/>
          </w:rPr>
          <w:t xml:space="preserve"> Doplnkové dôchodkové sporenie</w:t>
        </w:r>
        <w:r w:rsidR="00A315A8">
          <w:rPr>
            <w:noProof/>
            <w:webHidden/>
          </w:rPr>
          <w:tab/>
        </w:r>
        <w:r w:rsidR="00A315A8">
          <w:rPr>
            <w:noProof/>
            <w:webHidden/>
          </w:rPr>
          <w:fldChar w:fldCharType="begin"/>
        </w:r>
        <w:r w:rsidR="00A315A8">
          <w:rPr>
            <w:noProof/>
            <w:webHidden/>
          </w:rPr>
          <w:instrText xml:space="preserve"> PAGEREF _Toc52285637 \h </w:instrText>
        </w:r>
        <w:r w:rsidR="00A315A8">
          <w:rPr>
            <w:noProof/>
            <w:webHidden/>
          </w:rPr>
        </w:r>
        <w:r w:rsidR="00A315A8">
          <w:rPr>
            <w:noProof/>
            <w:webHidden/>
          </w:rPr>
          <w:fldChar w:fldCharType="separate"/>
        </w:r>
        <w:r>
          <w:rPr>
            <w:noProof/>
            <w:webHidden/>
          </w:rPr>
          <w:t>53</w:t>
        </w:r>
        <w:r w:rsidR="00A315A8">
          <w:rPr>
            <w:noProof/>
            <w:webHidden/>
          </w:rPr>
          <w:fldChar w:fldCharType="end"/>
        </w:r>
      </w:hyperlink>
    </w:p>
    <w:p w14:paraId="759917EF" w14:textId="3D1C5061" w:rsidR="00A315A8" w:rsidRDefault="00A02A40">
      <w:pPr>
        <w:pStyle w:val="TOC1"/>
        <w:rPr>
          <w:rFonts w:asciiTheme="minorHAnsi" w:eastAsiaTheme="minorEastAsia" w:hAnsiTheme="minorHAnsi"/>
          <w:color w:val="auto"/>
          <w:spacing w:val="0"/>
          <w:lang w:val="en-GB" w:eastAsia="en-GB"/>
        </w:rPr>
      </w:pPr>
      <w:hyperlink w:anchor="_Toc52285638" w:history="1">
        <w:r w:rsidR="00A315A8" w:rsidRPr="00151CF3">
          <w:rPr>
            <w:rStyle w:val="Hyperlink"/>
          </w:rPr>
          <w:t>4</w:t>
        </w:r>
        <w:r w:rsidR="00A315A8">
          <w:rPr>
            <w:rFonts w:asciiTheme="minorHAnsi" w:eastAsiaTheme="minorEastAsia" w:hAnsiTheme="minorHAnsi"/>
            <w:color w:val="auto"/>
            <w:spacing w:val="0"/>
            <w:lang w:val="en-GB" w:eastAsia="en-GB"/>
          </w:rPr>
          <w:tab/>
        </w:r>
        <w:r w:rsidR="00A315A8" w:rsidRPr="00151CF3">
          <w:rPr>
            <w:rStyle w:val="Hyperlink"/>
          </w:rPr>
          <w:t>Kolektívne investovanie</w:t>
        </w:r>
        <w:r w:rsidR="00A315A8">
          <w:rPr>
            <w:webHidden/>
          </w:rPr>
          <w:tab/>
        </w:r>
        <w:r w:rsidR="00A315A8">
          <w:rPr>
            <w:webHidden/>
          </w:rPr>
          <w:fldChar w:fldCharType="begin"/>
        </w:r>
        <w:r w:rsidR="00A315A8">
          <w:rPr>
            <w:webHidden/>
          </w:rPr>
          <w:instrText xml:space="preserve"> PAGEREF _Toc52285638 \h </w:instrText>
        </w:r>
        <w:r w:rsidR="00A315A8">
          <w:rPr>
            <w:webHidden/>
          </w:rPr>
        </w:r>
        <w:r w:rsidR="00A315A8">
          <w:rPr>
            <w:webHidden/>
          </w:rPr>
          <w:fldChar w:fldCharType="separate"/>
        </w:r>
        <w:r>
          <w:rPr>
            <w:webHidden/>
          </w:rPr>
          <w:t>56</w:t>
        </w:r>
        <w:r w:rsidR="00A315A8">
          <w:rPr>
            <w:webHidden/>
          </w:rPr>
          <w:fldChar w:fldCharType="end"/>
        </w:r>
      </w:hyperlink>
    </w:p>
    <w:p w14:paraId="0D3810AE" w14:textId="1647A038" w:rsidR="00A315A8" w:rsidRDefault="00A02A40">
      <w:pPr>
        <w:pStyle w:val="TOC1"/>
        <w:rPr>
          <w:rFonts w:asciiTheme="minorHAnsi" w:eastAsiaTheme="minorEastAsia" w:hAnsiTheme="minorHAnsi"/>
          <w:color w:val="auto"/>
          <w:spacing w:val="0"/>
          <w:lang w:val="en-GB" w:eastAsia="en-GB"/>
        </w:rPr>
      </w:pPr>
      <w:hyperlink w:anchor="_Toc52285639" w:history="1">
        <w:r w:rsidR="00A315A8" w:rsidRPr="00151CF3">
          <w:rPr>
            <w:rStyle w:val="Hyperlink"/>
          </w:rPr>
          <w:t>Skratky</w:t>
        </w:r>
        <w:r w:rsidR="00A315A8">
          <w:rPr>
            <w:webHidden/>
          </w:rPr>
          <w:tab/>
        </w:r>
        <w:r w:rsidR="00A315A8">
          <w:rPr>
            <w:webHidden/>
          </w:rPr>
          <w:fldChar w:fldCharType="begin"/>
        </w:r>
        <w:r w:rsidR="00A315A8">
          <w:rPr>
            <w:webHidden/>
          </w:rPr>
          <w:instrText xml:space="preserve"> PAGEREF _Toc52285639 \h </w:instrText>
        </w:r>
        <w:r w:rsidR="00A315A8">
          <w:rPr>
            <w:webHidden/>
          </w:rPr>
        </w:r>
        <w:r w:rsidR="00A315A8">
          <w:rPr>
            <w:webHidden/>
          </w:rPr>
          <w:fldChar w:fldCharType="separate"/>
        </w:r>
        <w:r>
          <w:rPr>
            <w:webHidden/>
          </w:rPr>
          <w:t>59</w:t>
        </w:r>
        <w:r w:rsidR="00A315A8">
          <w:rPr>
            <w:webHidden/>
          </w:rPr>
          <w:fldChar w:fldCharType="end"/>
        </w:r>
      </w:hyperlink>
    </w:p>
    <w:p w14:paraId="0CD01761" w14:textId="5E112FB7" w:rsidR="00D271F8" w:rsidRDefault="00FB3002" w:rsidP="001A116D">
      <w:pPr>
        <w:pStyle w:val="Mimoobsahu"/>
        <w:rPr>
          <w:rFonts w:ascii="Cambria" w:eastAsiaTheme="minorHAnsi" w:hAnsi="Cambria" w:cstheme="minorBidi"/>
          <w:noProof/>
          <w:sz w:val="22"/>
          <w:szCs w:val="22"/>
        </w:rPr>
      </w:pPr>
      <w:r w:rsidRPr="00C70E80">
        <w:rPr>
          <w:rFonts w:ascii="Cambria" w:eastAsiaTheme="minorHAnsi" w:hAnsi="Cambria" w:cstheme="minorBidi"/>
          <w:noProof/>
          <w:sz w:val="22"/>
          <w:szCs w:val="22"/>
        </w:rPr>
        <w:fldChar w:fldCharType="end"/>
      </w:r>
    </w:p>
    <w:p w14:paraId="546057E5" w14:textId="77777777" w:rsidR="00A315A8" w:rsidRPr="00C70E80" w:rsidRDefault="00A315A8" w:rsidP="001A116D">
      <w:pPr>
        <w:pStyle w:val="Mimoobsahu"/>
      </w:pPr>
    </w:p>
    <w:p w14:paraId="3EB624CF" w14:textId="77777777" w:rsidR="009C4F23" w:rsidRPr="00C70E80" w:rsidRDefault="009C4F23" w:rsidP="009C4F23">
      <w:pPr>
        <w:pStyle w:val="Mimoobsahu"/>
      </w:pPr>
      <w:r w:rsidRPr="00C70E80">
        <w:t>Zoznam boxov</w:t>
      </w:r>
      <w:bookmarkEnd w:id="2"/>
      <w:bookmarkEnd w:id="3"/>
    </w:p>
    <w:p w14:paraId="55B9C483" w14:textId="1607D541" w:rsidR="00A315A8" w:rsidRDefault="009F53B1">
      <w:pPr>
        <w:pStyle w:val="TOC1"/>
        <w:rPr>
          <w:rFonts w:asciiTheme="minorHAnsi" w:eastAsiaTheme="minorEastAsia" w:hAnsiTheme="minorHAnsi"/>
          <w:color w:val="auto"/>
          <w:spacing w:val="0"/>
          <w:lang w:val="en-GB" w:eastAsia="en-GB"/>
        </w:rPr>
      </w:pPr>
      <w:r>
        <w:fldChar w:fldCharType="begin"/>
      </w:r>
      <w:r>
        <w:instrText xml:space="preserve"> TOC \h \z \t "Názov boxu;1" </w:instrText>
      </w:r>
      <w:r>
        <w:fldChar w:fldCharType="separate"/>
      </w:r>
      <w:hyperlink w:anchor="_Toc52285640" w:history="1">
        <w:r w:rsidR="00A315A8" w:rsidRPr="00A16B62">
          <w:rPr>
            <w:rStyle w:val="Hyperlink"/>
          </w:rPr>
          <w:t>Nastavenie limitov pri poskytovaní úverov domácnostiam v čase koronakrízy zo strany NBS</w:t>
        </w:r>
        <w:r w:rsidR="00A315A8">
          <w:rPr>
            <w:webHidden/>
          </w:rPr>
          <w:tab/>
        </w:r>
        <w:r w:rsidR="00A315A8">
          <w:rPr>
            <w:webHidden/>
          </w:rPr>
          <w:fldChar w:fldCharType="begin"/>
        </w:r>
        <w:r w:rsidR="00A315A8">
          <w:rPr>
            <w:webHidden/>
          </w:rPr>
          <w:instrText xml:space="preserve"> PAGEREF _Toc52285640 \h </w:instrText>
        </w:r>
        <w:r w:rsidR="00A315A8">
          <w:rPr>
            <w:webHidden/>
          </w:rPr>
        </w:r>
        <w:r w:rsidR="00A315A8">
          <w:rPr>
            <w:webHidden/>
          </w:rPr>
          <w:fldChar w:fldCharType="separate"/>
        </w:r>
        <w:r w:rsidR="00A02A40">
          <w:rPr>
            <w:webHidden/>
          </w:rPr>
          <w:t>20</w:t>
        </w:r>
        <w:r w:rsidR="00A315A8">
          <w:rPr>
            <w:webHidden/>
          </w:rPr>
          <w:fldChar w:fldCharType="end"/>
        </w:r>
      </w:hyperlink>
    </w:p>
    <w:p w14:paraId="52B4A730" w14:textId="45A9B66F" w:rsidR="00A315A8" w:rsidRDefault="00A02A40">
      <w:pPr>
        <w:pStyle w:val="TOC1"/>
        <w:rPr>
          <w:rFonts w:asciiTheme="minorHAnsi" w:eastAsiaTheme="minorEastAsia" w:hAnsiTheme="minorHAnsi"/>
          <w:color w:val="auto"/>
          <w:spacing w:val="0"/>
          <w:lang w:val="en-GB" w:eastAsia="en-GB"/>
        </w:rPr>
      </w:pPr>
      <w:hyperlink w:anchor="_Toc52285641" w:history="1">
        <w:r w:rsidR="00A315A8" w:rsidRPr="00A16B62">
          <w:rPr>
            <w:rStyle w:val="Hyperlink"/>
          </w:rPr>
          <w:t>Odhad podielu podnikov v riziku a vplyv prijatých podporných opatrení</w:t>
        </w:r>
        <w:r w:rsidR="00A315A8">
          <w:rPr>
            <w:webHidden/>
          </w:rPr>
          <w:tab/>
        </w:r>
        <w:r w:rsidR="00A315A8">
          <w:rPr>
            <w:webHidden/>
          </w:rPr>
          <w:fldChar w:fldCharType="begin"/>
        </w:r>
        <w:r w:rsidR="00A315A8">
          <w:rPr>
            <w:webHidden/>
          </w:rPr>
          <w:instrText xml:space="preserve"> PAGEREF _Toc52285641 \h </w:instrText>
        </w:r>
        <w:r w:rsidR="00A315A8">
          <w:rPr>
            <w:webHidden/>
          </w:rPr>
        </w:r>
        <w:r w:rsidR="00A315A8">
          <w:rPr>
            <w:webHidden/>
          </w:rPr>
          <w:fldChar w:fldCharType="separate"/>
        </w:r>
        <w:r>
          <w:rPr>
            <w:webHidden/>
          </w:rPr>
          <w:t>25</w:t>
        </w:r>
        <w:r w:rsidR="00A315A8">
          <w:rPr>
            <w:webHidden/>
          </w:rPr>
          <w:fldChar w:fldCharType="end"/>
        </w:r>
      </w:hyperlink>
    </w:p>
    <w:p w14:paraId="777EAEDB" w14:textId="1CA3F0DF" w:rsidR="00A315A8" w:rsidRDefault="00A02A40">
      <w:pPr>
        <w:pStyle w:val="TOC1"/>
        <w:rPr>
          <w:rFonts w:asciiTheme="minorHAnsi" w:eastAsiaTheme="minorEastAsia" w:hAnsiTheme="minorHAnsi"/>
          <w:color w:val="auto"/>
          <w:spacing w:val="0"/>
          <w:lang w:val="en-GB" w:eastAsia="en-GB"/>
        </w:rPr>
      </w:pPr>
      <w:hyperlink w:anchor="_Toc52285642" w:history="1">
        <w:r w:rsidR="00A315A8" w:rsidRPr="00A16B62">
          <w:rPr>
            <w:rStyle w:val="Hyperlink"/>
          </w:rPr>
          <w:t>Odporúčanie NBS o distribúcii vlastných zdrojov</w:t>
        </w:r>
        <w:r w:rsidR="00A315A8">
          <w:rPr>
            <w:webHidden/>
          </w:rPr>
          <w:tab/>
        </w:r>
        <w:r w:rsidR="00A315A8">
          <w:rPr>
            <w:webHidden/>
          </w:rPr>
          <w:fldChar w:fldCharType="begin"/>
        </w:r>
        <w:r w:rsidR="00A315A8">
          <w:rPr>
            <w:webHidden/>
          </w:rPr>
          <w:instrText xml:space="preserve"> PAGEREF _Toc52285642 \h </w:instrText>
        </w:r>
        <w:r w:rsidR="00A315A8">
          <w:rPr>
            <w:webHidden/>
          </w:rPr>
        </w:r>
        <w:r w:rsidR="00A315A8">
          <w:rPr>
            <w:webHidden/>
          </w:rPr>
          <w:fldChar w:fldCharType="separate"/>
        </w:r>
        <w:r>
          <w:rPr>
            <w:webHidden/>
          </w:rPr>
          <w:t>40</w:t>
        </w:r>
        <w:r w:rsidR="00A315A8">
          <w:rPr>
            <w:webHidden/>
          </w:rPr>
          <w:fldChar w:fldCharType="end"/>
        </w:r>
      </w:hyperlink>
    </w:p>
    <w:p w14:paraId="46557025" w14:textId="52070044" w:rsidR="00C22414" w:rsidRPr="00C70E80" w:rsidRDefault="009F53B1" w:rsidP="009C4F23">
      <w:pPr>
        <w:tabs>
          <w:tab w:val="right" w:pos="9498"/>
        </w:tabs>
        <w:spacing w:line="240" w:lineRule="auto"/>
        <w:jc w:val="left"/>
      </w:pPr>
      <w:r>
        <w:rPr>
          <w:noProof/>
          <w:lang w:val="en-US"/>
        </w:rPr>
        <w:fldChar w:fldCharType="end"/>
      </w:r>
      <w:r w:rsidR="00EB7E56" w:rsidRPr="00C70E80">
        <w:t xml:space="preserve"> </w:t>
      </w:r>
    </w:p>
    <w:p w14:paraId="10180DBE" w14:textId="77777777" w:rsidR="00C22414" w:rsidRPr="00C70E80" w:rsidRDefault="00C22414">
      <w:pPr>
        <w:spacing w:before="0" w:line="0" w:lineRule="auto"/>
        <w:jc w:val="left"/>
      </w:pPr>
      <w:r w:rsidRPr="00C70E80">
        <w:br w:type="page"/>
      </w:r>
    </w:p>
    <w:p w14:paraId="57371BD5" w14:textId="50C45093" w:rsidR="00C22414" w:rsidRPr="00C70E80" w:rsidRDefault="00C22414" w:rsidP="006F6C27">
      <w:pPr>
        <w:pStyle w:val="Heading1bezsla"/>
      </w:pPr>
      <w:bookmarkStart w:id="4" w:name="_Toc52285627"/>
      <w:r w:rsidRPr="00C70E80">
        <w:lastRenderedPageBreak/>
        <w:t>Úvod</w:t>
      </w:r>
      <w:bookmarkEnd w:id="4"/>
    </w:p>
    <w:p w14:paraId="381AD430" w14:textId="77777777" w:rsidR="00D203E8" w:rsidRDefault="00D203E8" w:rsidP="00D203E8">
      <w:pPr>
        <w:rPr>
          <w:noProof/>
        </w:rPr>
      </w:pPr>
    </w:p>
    <w:p w14:paraId="784AF8CC" w14:textId="312C9DA6" w:rsidR="00D203E8" w:rsidRDefault="00D203E8" w:rsidP="00D203E8">
      <w:r>
        <w:rPr>
          <w:noProof/>
        </w:rPr>
        <mc:AlternateContent>
          <mc:Choice Requires="wps">
            <w:drawing>
              <wp:anchor distT="0" distB="0" distL="114300" distR="114300" simplePos="0" relativeHeight="251678720" behindDoc="0" locked="0" layoutInCell="1" allowOverlap="1" wp14:anchorId="5534A99D" wp14:editId="3E26C38B">
                <wp:simplePos x="0" y="0"/>
                <wp:positionH relativeFrom="column">
                  <wp:posOffset>-635</wp:posOffset>
                </wp:positionH>
                <wp:positionV relativeFrom="paragraph">
                  <wp:posOffset>1270</wp:posOffset>
                </wp:positionV>
                <wp:extent cx="1379855" cy="1371600"/>
                <wp:effectExtent l="0" t="0" r="10795" b="19050"/>
                <wp:wrapSquare wrapText="bothSides"/>
                <wp:docPr id="16" name="Rectangle 16"/>
                <wp:cNvGraphicFramePr/>
                <a:graphic xmlns:a="http://schemas.openxmlformats.org/drawingml/2006/main">
                  <a:graphicData uri="http://schemas.microsoft.com/office/word/2010/wordprocessingShape">
                    <wps:wsp>
                      <wps:cNvSpPr/>
                      <wps:spPr>
                        <a:xfrm>
                          <a:off x="0" y="0"/>
                          <a:ext cx="1379855" cy="137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8DB31" w14:textId="77777777" w:rsidR="00000547" w:rsidRDefault="00000547" w:rsidP="00D203E8">
                            <w:pPr>
                              <w:jc w:val="center"/>
                            </w:pPr>
                            <w:r>
                              <w:rPr>
                                <w:noProof/>
                              </w:rPr>
                              <w:drawing>
                                <wp:inline distT="0" distB="0" distL="0" distR="0" wp14:anchorId="5AB254D7" wp14:editId="4602E6D6">
                                  <wp:extent cx="1173192" cy="1173192"/>
                                  <wp:effectExtent l="0" t="0" r="762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192" cy="1173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534A99D" id="Rectangle 16" o:spid="_x0000_s1031" style="position:absolute;left:0;text-align:left;margin-left:-.05pt;margin-top:.1pt;width:108.6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" fillcolor="white [3212]" strokecolor="white [3212]" strokeweight="1pt">
                <v:textbox>
                  <w:txbxContent>
                    <w:p w14:paraId="2CF8DB31" w14:textId="77777777" w:rsidR="00000547" w:rsidRDefault="00000547" w:rsidP="00D203E8">
                      <w:pPr>
                        <w:jc w:val="center"/>
                      </w:pPr>
                      <w:r>
                        <w:rPr>
                          <w:noProof/>
                        </w:rPr>
                        <w:drawing>
                          <wp:inline distT="0" distB="0" distL="0" distR="0" wp14:anchorId="5AB254D7" wp14:editId="4602E6D6">
                            <wp:extent cx="1173192" cy="1173192"/>
                            <wp:effectExtent l="0" t="0" r="762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192" cy="1173192"/>
                                    </a:xfrm>
                                    <a:prstGeom prst="rect">
                                      <a:avLst/>
                                    </a:prstGeom>
                                    <a:noFill/>
                                    <a:ln>
                                      <a:noFill/>
                                    </a:ln>
                                  </pic:spPr>
                                </pic:pic>
                              </a:graphicData>
                            </a:graphic>
                          </wp:inline>
                        </w:drawing>
                      </w:r>
                    </w:p>
                  </w:txbxContent>
                </v:textbox>
                <w10:wrap type="square"/>
              </v:rect>
            </w:pict>
          </mc:Fallback>
        </mc:AlternateContent>
      </w:r>
      <w:r>
        <w:t xml:space="preserve">Prvá polovica roka priniesla viaceré zmeny a výzvy nielen pre našu spoločnosť, ale aj pre celý finančný sektor. Vypuknutie pandémie ochorenia COVID-19 bolo pre nás všetkých síce nepríjemným prekvapením, postupne sa však spolu </w:t>
      </w:r>
      <w:r w:rsidR="0068581E">
        <w:t>s </w:t>
      </w:r>
      <w:r>
        <w:t xml:space="preserve">finančnými inštitúciami učíme pracovať a fungovať </w:t>
      </w:r>
      <w:r w:rsidR="0068581E">
        <w:t>v </w:t>
      </w:r>
      <w:r>
        <w:t xml:space="preserve">nových podmienkach. </w:t>
      </w:r>
    </w:p>
    <w:p w14:paraId="6F378F43" w14:textId="753DA071" w:rsidR="00D203E8" w:rsidRDefault="0068581E" w:rsidP="00D203E8">
      <w:r>
        <w:t>V </w:t>
      </w:r>
      <w:r w:rsidR="00D203E8">
        <w:t xml:space="preserve">takejto situácii je veľmi dôležitou správou, že finančný sektor nielenže potvrdzuje svoju odolnosť a stabilitu, ale tiež pokračuje </w:t>
      </w:r>
      <w:r>
        <w:t>v </w:t>
      </w:r>
      <w:r w:rsidR="00D203E8">
        <w:t xml:space="preserve">poskytovaní dostatku úverov podnikom aj domácnostiam. Vytvára tým nenahraditeľný príspevok </w:t>
      </w:r>
      <w:r>
        <w:t>k </w:t>
      </w:r>
      <w:r w:rsidR="00D203E8">
        <w:t xml:space="preserve">postupnému zotavovaniu našej ekonomiky. </w:t>
      </w:r>
    </w:p>
    <w:p w14:paraId="417FDF92" w14:textId="4F77EA73" w:rsidR="00D203E8" w:rsidRDefault="00D203E8" w:rsidP="00D203E8">
      <w:r>
        <w:t xml:space="preserve">Aj preto sa NBS </w:t>
      </w:r>
      <w:r w:rsidR="0068581E">
        <w:t>v </w:t>
      </w:r>
      <w:r>
        <w:t xml:space="preserve">letných mesiacoch hlbšie pozrela na finančnú situáciu podnikov a domácností. Vďaka širšej spolupráci sa na nám podarilo získať a spracovať nové kategórie údajov a poskladať tak komplexnejšiu informáciu. Všetko nasvedčuje tomu, že podniky aj domácnosti sú dnes </w:t>
      </w:r>
      <w:r w:rsidR="0068581E">
        <w:t>v </w:t>
      </w:r>
      <w:r>
        <w:t xml:space="preserve">lepšej finančnej situácii, než sa očakávalo na začiatku pandémie. Do veľkej miery </w:t>
      </w:r>
      <w:r w:rsidR="0068581E">
        <w:t>k </w:t>
      </w:r>
      <w:r>
        <w:t xml:space="preserve">tomu prispela kombinácia množstva opatrení, najmä na </w:t>
      </w:r>
      <w:r w:rsidRPr="00F46805">
        <w:t>podporu zamestnanosti</w:t>
      </w:r>
      <w:r>
        <w:t xml:space="preserve"> či </w:t>
      </w:r>
      <w:r w:rsidRPr="00F46805">
        <w:t>náhrady príjmov, možnos</w:t>
      </w:r>
      <w:r>
        <w:t>ti</w:t>
      </w:r>
      <w:r w:rsidRPr="00F46805">
        <w:t xml:space="preserve"> odkladu splátok alebo platby daní a</w:t>
      </w:r>
      <w:r>
        <w:t> </w:t>
      </w:r>
      <w:r w:rsidRPr="00F46805">
        <w:t>odvodov</w:t>
      </w:r>
      <w:r>
        <w:t xml:space="preserve">. Za dôležité považujeme vyriešenie existujúcich problémov pri schéme garantovaných úverov tak, aby aj tento nástroj bol pilierom oživenia podnikového sektora. </w:t>
      </w:r>
    </w:p>
    <w:p w14:paraId="61B0C2F9" w14:textId="77777777" w:rsidR="00D203E8" w:rsidRDefault="00D203E8" w:rsidP="00D203E8">
      <w:r>
        <w:t>Popri týchto správach, ktoré posilňujú našu nádej, je potrebné pripomenúť, že situácia ostáva aj naďalej neistá. Významné riziká sú prítomné vo viacerých oblastiach. Apelujem preto na opatrnosť pri vypínaní jednotlivých podporných mechanizmov. Podniky aj domácnosti potrebujú dostatok času na návrat do predkrízovej kondície. Príliš skoré vypnutie alebo ich nekoordinované ukončenie môže významne zasiahnuť zviechajúci sa podnikový sektor.</w:t>
      </w:r>
    </w:p>
    <w:p w14:paraId="06DA103B" w14:textId="60119D66" w:rsidR="00DD0C48" w:rsidRPr="00C70E80" w:rsidRDefault="00DD0C48" w:rsidP="006D4843">
      <w:pPr>
        <w:spacing w:line="0" w:lineRule="auto"/>
        <w:jc w:val="left"/>
      </w:pPr>
      <w:r w:rsidRPr="00C70E80">
        <w:br w:type="page"/>
      </w:r>
    </w:p>
    <w:p w14:paraId="1ED04E37" w14:textId="0E47EF84" w:rsidR="00DD0C48" w:rsidRPr="00C70E80" w:rsidRDefault="00E80C86" w:rsidP="006D4843">
      <w:pPr>
        <w:pStyle w:val="Heading1bezsla"/>
      </w:pPr>
      <w:bookmarkStart w:id="5" w:name="_Toc43204203"/>
      <w:bookmarkStart w:id="6" w:name="_Toc52285628"/>
      <w:r w:rsidRPr="00C70E80">
        <w:lastRenderedPageBreak/>
        <w:t>Zhrnutie</w:t>
      </w:r>
      <w:bookmarkEnd w:id="5"/>
      <w:bookmarkEnd w:id="6"/>
    </w:p>
    <w:p w14:paraId="2C987CCA" w14:textId="77777777" w:rsidR="00FB3CA0" w:rsidRDefault="00FB3CA0" w:rsidP="00FB3CA0">
      <w:pPr>
        <w:rPr>
          <w:rFonts w:ascii="Verdana" w:hAnsi="Verdana"/>
          <w:color w:val="0067AC" w:themeColor="accent1"/>
          <w:sz w:val="24"/>
          <w:szCs w:val="24"/>
        </w:rPr>
      </w:pPr>
      <w:proofErr w:type="spellStart"/>
      <w:r>
        <w:rPr>
          <w:rFonts w:ascii="Verdana" w:hAnsi="Verdana"/>
          <w:color w:val="0067AC" w:themeColor="accent1"/>
          <w:sz w:val="24"/>
          <w:szCs w:val="24"/>
        </w:rPr>
        <w:t>Koronakríza</w:t>
      </w:r>
      <w:proofErr w:type="spellEnd"/>
      <w:r>
        <w:rPr>
          <w:rFonts w:ascii="Verdana" w:hAnsi="Verdana"/>
          <w:color w:val="0067AC" w:themeColor="accent1"/>
          <w:sz w:val="24"/>
          <w:szCs w:val="24"/>
        </w:rPr>
        <w:t xml:space="preserve"> výrazne ovplyvnila ekonomický vývoj aj situáciu vo finančnom sektore</w:t>
      </w:r>
    </w:p>
    <w:p w14:paraId="70F80FCC" w14:textId="261D98EA" w:rsidR="00FB3CA0" w:rsidRDefault="00FB3CA0" w:rsidP="00FB3CA0">
      <w:pPr>
        <w:spacing w:after="0"/>
        <w:rPr>
          <w:szCs w:val="20"/>
        </w:rPr>
      </w:pPr>
      <w:r>
        <w:rPr>
          <w:b/>
          <w:bCs/>
        </w:rPr>
        <w:t xml:space="preserve">Najvýznamnejšou udalosťou prvého polroka 2020 bolo vypuknutie pandémie </w:t>
      </w:r>
      <w:proofErr w:type="spellStart"/>
      <w:r>
        <w:rPr>
          <w:b/>
          <w:bCs/>
        </w:rPr>
        <w:t>koronavírusu</w:t>
      </w:r>
      <w:proofErr w:type="spellEnd"/>
      <w:r>
        <w:rPr>
          <w:b/>
          <w:bCs/>
        </w:rPr>
        <w:t xml:space="preserve">, ktorá výrazne zasiahla aj Slovensko. </w:t>
      </w:r>
      <w:r w:rsidR="0068581E">
        <w:t>S </w:t>
      </w:r>
      <w:r>
        <w:t xml:space="preserve">cieľom spomaliť jej šírenie boli prijaté masívne obmedzenia. Tieto obmedzenia spôsobili výrazný prepad ekonomiky a zhoršenie finančnej situácie mnohých domácností a podnikov. Hoci rozsah prvotného šoku bol bezprecedentný, postupne sa situácia vo viacerých oblastiach aspoň čiastočne zlepšila. </w:t>
      </w:r>
    </w:p>
    <w:p w14:paraId="7782EAB6" w14:textId="4F9BB32E" w:rsidR="00FB3CA0" w:rsidRDefault="00FB3CA0" w:rsidP="00FB3CA0">
      <w:pPr>
        <w:spacing w:after="0"/>
      </w:pPr>
      <w:r>
        <w:rPr>
          <w:b/>
          <w:bCs/>
        </w:rPr>
        <w:t xml:space="preserve">Na zmiernenie ekonomických dôsledkov </w:t>
      </w:r>
      <w:proofErr w:type="spellStart"/>
      <w:r>
        <w:rPr>
          <w:b/>
          <w:bCs/>
        </w:rPr>
        <w:t>koronakrízy</w:t>
      </w:r>
      <w:proofErr w:type="spellEnd"/>
      <w:r>
        <w:rPr>
          <w:b/>
          <w:bCs/>
        </w:rPr>
        <w:t xml:space="preserve"> sa prijalo množstvo opatrení </w:t>
      </w:r>
      <w:r w:rsidR="0068581E">
        <w:rPr>
          <w:b/>
          <w:bCs/>
        </w:rPr>
        <w:t>v </w:t>
      </w:r>
      <w:r>
        <w:rPr>
          <w:b/>
          <w:bCs/>
        </w:rPr>
        <w:t>rôznych oblastiach.</w:t>
      </w:r>
      <w:r>
        <w:t xml:space="preserve"> Medzi najvýznamnejšie patrili najmä opatrenia na podporu udržania zamestnanosti, podporu udržania alebo náhrady príjmov, možnosť odkladu splátok úverov alebo platby daní a odvodov a poskytovanie štátnych garancií pri financovaní podnikov. Oživenie ekonomiky podporili aj stimuly </w:t>
      </w:r>
      <w:r w:rsidR="0068581E">
        <w:t>v </w:t>
      </w:r>
      <w:proofErr w:type="spellStart"/>
      <w:r>
        <w:t>menovopolitickej</w:t>
      </w:r>
      <w:proofErr w:type="spellEnd"/>
      <w:r>
        <w:t xml:space="preserve"> </w:t>
      </w:r>
      <w:r w:rsidR="00917CB3">
        <w:t xml:space="preserve">a fiškálnej </w:t>
      </w:r>
      <w:r>
        <w:t xml:space="preserve">oblasti. Uvoľnili sa viaceré požiadavky </w:t>
      </w:r>
      <w:r w:rsidR="0068581E">
        <w:t>v </w:t>
      </w:r>
      <w:r>
        <w:t>oblasti bankovej regulácie, ktoré by mohli obmedzovať banky pri financovaní opätovného oživenia ekonomiky.</w:t>
      </w:r>
    </w:p>
    <w:p w14:paraId="01AAF194" w14:textId="0AA5A645" w:rsidR="00FB3CA0" w:rsidRDefault="0068581E" w:rsidP="00FB3CA0">
      <w:pPr>
        <w:spacing w:after="0"/>
      </w:pPr>
      <w:r>
        <w:rPr>
          <w:b/>
          <w:bCs/>
        </w:rPr>
        <w:t>Z </w:t>
      </w:r>
      <w:r w:rsidR="00FB3CA0">
        <w:rPr>
          <w:b/>
          <w:bCs/>
        </w:rPr>
        <w:t xml:space="preserve">pohľadu </w:t>
      </w:r>
      <w:r w:rsidR="00847172">
        <w:rPr>
          <w:b/>
          <w:bCs/>
        </w:rPr>
        <w:t>vplyvu</w:t>
      </w:r>
      <w:r w:rsidR="00FB3CA0">
        <w:rPr>
          <w:b/>
          <w:bCs/>
        </w:rPr>
        <w:t xml:space="preserve"> </w:t>
      </w:r>
      <w:proofErr w:type="spellStart"/>
      <w:r w:rsidR="00FB3CA0">
        <w:rPr>
          <w:b/>
          <w:bCs/>
        </w:rPr>
        <w:t>koronakrízy</w:t>
      </w:r>
      <w:proofErr w:type="spellEnd"/>
      <w:r w:rsidR="00FB3CA0">
        <w:rPr>
          <w:b/>
          <w:bCs/>
        </w:rPr>
        <w:t xml:space="preserve"> na stabilitu finančného sektora na Slovensku sú dôležité najmä tri oblasti.</w:t>
      </w:r>
      <w:r w:rsidR="00FB3CA0">
        <w:t xml:space="preserve"> Prvou je vplyv na podniky a domácnost</w:t>
      </w:r>
      <w:r w:rsidR="006459D0">
        <w:t>i</w:t>
      </w:r>
      <w:r w:rsidR="00FB3CA0">
        <w:t xml:space="preserve">, predovšetkým </w:t>
      </w:r>
      <w:r>
        <w:t>z </w:t>
      </w:r>
      <w:r w:rsidR="00FB3CA0">
        <w:t xml:space="preserve">pohľadu ich schopnosti splácať svoje úvery. Druhou je vplyv na ziskovosť a solventnosť finančných inštitúcií, najmä bánk. Treťou je schopnosť bánk prispieť </w:t>
      </w:r>
      <w:r>
        <w:t>k </w:t>
      </w:r>
      <w:r w:rsidR="00FB3CA0">
        <w:t>preklenutiu dočasného výpadku príjmov a</w:t>
      </w:r>
      <w:r w:rsidR="00AE023E">
        <w:t> </w:t>
      </w:r>
      <w:r>
        <w:t>k </w:t>
      </w:r>
      <w:r w:rsidR="00FB3CA0">
        <w:t xml:space="preserve"> rýchlemu oživeniu ekonomiky prostredníctvom udržania financovania podnikov a domácností.</w:t>
      </w:r>
    </w:p>
    <w:p w14:paraId="16027E21" w14:textId="58801715" w:rsidR="00FB3CA0" w:rsidRDefault="00FB3CA0" w:rsidP="00FB3CA0">
      <w:pPr>
        <w:rPr>
          <w:rFonts w:ascii="Verdana" w:hAnsi="Verdana"/>
          <w:color w:val="0067AC" w:themeColor="accent1"/>
          <w:sz w:val="24"/>
          <w:szCs w:val="24"/>
        </w:rPr>
      </w:pPr>
      <w:r>
        <w:rPr>
          <w:rFonts w:ascii="Verdana" w:hAnsi="Verdana"/>
          <w:color w:val="0067AC" w:themeColor="accent1"/>
          <w:sz w:val="24"/>
          <w:szCs w:val="24"/>
        </w:rPr>
        <w:t>Riziko nesplácania úverov domácností a podnikov vzrástlo</w:t>
      </w:r>
      <w:r w:rsidR="001A116D">
        <w:rPr>
          <w:rFonts w:ascii="Verdana" w:hAnsi="Verdana"/>
          <w:color w:val="0067AC" w:themeColor="accent1"/>
          <w:sz w:val="24"/>
          <w:szCs w:val="24"/>
        </w:rPr>
        <w:t>;</w:t>
      </w:r>
      <w:r>
        <w:rPr>
          <w:rFonts w:ascii="Verdana" w:hAnsi="Verdana"/>
          <w:color w:val="0067AC" w:themeColor="accent1"/>
          <w:sz w:val="24"/>
          <w:szCs w:val="24"/>
        </w:rPr>
        <w:t xml:space="preserve"> </w:t>
      </w:r>
      <w:r w:rsidR="001A116D">
        <w:rPr>
          <w:rFonts w:ascii="Verdana" w:hAnsi="Verdana"/>
          <w:color w:val="0067AC" w:themeColor="accent1"/>
          <w:sz w:val="24"/>
          <w:szCs w:val="24"/>
        </w:rPr>
        <w:t>podporné opatrenia vlády toto riziko zmiernili</w:t>
      </w:r>
    </w:p>
    <w:p w14:paraId="78AD76C7" w14:textId="10B4A5DE" w:rsidR="00FB3CA0" w:rsidRDefault="00FB3CA0" w:rsidP="00FB3CA0">
      <w:pPr>
        <w:spacing w:after="0"/>
        <w:rPr>
          <w:szCs w:val="20"/>
        </w:rPr>
      </w:pPr>
      <w:r>
        <w:rPr>
          <w:b/>
          <w:bCs/>
        </w:rPr>
        <w:t>Kríza sa zatiaľ neprejavila na náraste zlyhaných úverov.</w:t>
      </w:r>
      <w:r>
        <w:t xml:space="preserve"> Podiel zlyhaných úverov </w:t>
      </w:r>
      <w:r w:rsidR="0068581E">
        <w:t>v </w:t>
      </w:r>
      <w:r>
        <w:t>sektore domácností aj podnikov zotrval na svojich minimách.</w:t>
      </w:r>
    </w:p>
    <w:p w14:paraId="31B2A961" w14:textId="5642021B" w:rsidR="00FB3CA0" w:rsidRDefault="00FB3CA0" w:rsidP="00FB3CA0">
      <w:pPr>
        <w:spacing w:after="0"/>
      </w:pPr>
      <w:r>
        <w:rPr>
          <w:b/>
          <w:bCs/>
        </w:rPr>
        <w:t>Hlavným dôvodom bola, popri opatreniach pomoci podnikom a trhu práce, najmä rýchla a plošná implementácia možnosti odkladu splátok.</w:t>
      </w:r>
      <w:r>
        <w:t xml:space="preserve"> Odklad splátok poskytol mnohým domácnostiam a podnikom zasiahnutým </w:t>
      </w:r>
      <w:proofErr w:type="spellStart"/>
      <w:r>
        <w:t>koronakrízou</w:t>
      </w:r>
      <w:proofErr w:type="spellEnd"/>
      <w:r>
        <w:t xml:space="preserve"> dodatočný čas na preklenutie obdobia zhoršenej finančnej situácie. Ku koncu júla 2020 bol odklad splátok schválený pri 1</w:t>
      </w:r>
      <w:r w:rsidR="0068581E">
        <w:t>2 %</w:t>
      </w:r>
      <w:r>
        <w:t xml:space="preserve"> úverov podnikom a 1</w:t>
      </w:r>
      <w:r w:rsidR="0068581E">
        <w:t>0 %</w:t>
      </w:r>
      <w:r>
        <w:t xml:space="preserve"> úverov domácnostiam. Tieto hodnoty boli mierne nad priemerom EÚ. </w:t>
      </w:r>
    </w:p>
    <w:p w14:paraId="2E18B619" w14:textId="2335D25D" w:rsidR="00FB3CA0" w:rsidRDefault="00FB3CA0" w:rsidP="00FB3CA0">
      <w:pPr>
        <w:spacing w:after="0"/>
      </w:pPr>
      <w:r>
        <w:t xml:space="preserve">Doterajšie údaje potvrdzujú, že odklad splátok </w:t>
      </w:r>
      <w:r w:rsidR="0068581E">
        <w:t>v </w:t>
      </w:r>
      <w:r>
        <w:t xml:space="preserve">najväčšej miere využili domácnosti aj podniky </w:t>
      </w:r>
      <w:r w:rsidR="0068581E">
        <w:t>z </w:t>
      </w:r>
      <w:r>
        <w:t xml:space="preserve">najviac postihnutých ekonomických odvetví, resp. tie, ktoré boli </w:t>
      </w:r>
      <w:r w:rsidR="0068581E">
        <w:t>v </w:t>
      </w:r>
      <w:r>
        <w:t xml:space="preserve">horšej finančnej situácii alebo boli krízou viac zasiahnuté. Odklad viac využívali aj domácnosti, ktoré boli pred krízou </w:t>
      </w:r>
      <w:r w:rsidR="00917CB3">
        <w:t xml:space="preserve">výraznejšie </w:t>
      </w:r>
      <w:r>
        <w:t xml:space="preserve">zadlžené. </w:t>
      </w:r>
    </w:p>
    <w:p w14:paraId="050E97FB" w14:textId="37AC6CF3" w:rsidR="00FB3CA0" w:rsidRDefault="00FB3CA0" w:rsidP="00FB3CA0">
      <w:pPr>
        <w:spacing w:after="0"/>
      </w:pPr>
      <w:r>
        <w:rPr>
          <w:b/>
          <w:bCs/>
        </w:rPr>
        <w:t>Vzhľadom na odklady splátok podlieha odhad budúceho vývoja nesplácaných úverov výraznej neistote.</w:t>
      </w:r>
      <w:r>
        <w:t xml:space="preserve"> Odhady vychádzajúce </w:t>
      </w:r>
      <w:r w:rsidR="0068581E">
        <w:t>z </w:t>
      </w:r>
      <w:r>
        <w:t xml:space="preserve">aktuálne </w:t>
      </w:r>
      <w:r>
        <w:lastRenderedPageBreak/>
        <w:t xml:space="preserve">dostupných informácií však naznačujú, že nárast by mal byť </w:t>
      </w:r>
      <w:r w:rsidR="0068581E">
        <w:t>v </w:t>
      </w:r>
      <w:r>
        <w:t xml:space="preserve">porovnaní </w:t>
      </w:r>
      <w:r w:rsidR="0068581E">
        <w:t>s </w:t>
      </w:r>
      <w:r>
        <w:t xml:space="preserve">pôvodnými odhadmi miernejší. </w:t>
      </w:r>
    </w:p>
    <w:p w14:paraId="1BE922D2" w14:textId="50F8A970" w:rsidR="00FB3CA0" w:rsidRDefault="00FB3CA0" w:rsidP="00FB3CA0">
      <w:pPr>
        <w:spacing w:after="0"/>
      </w:pPr>
      <w:r>
        <w:t>Aj napriek podporným opatreniam zo strany štátu a postupnému zlepšovaniu finančnej pozície podnikov odhadujeme, že zlyhať by mohlo</w:t>
      </w:r>
      <w:r w:rsidR="00D6071F">
        <w:t xml:space="preserve"> ďalších</w:t>
      </w:r>
      <w:r>
        <w:t xml:space="preserve"> približne 3,</w:t>
      </w:r>
      <w:r w:rsidR="0068581E">
        <w:t>5 %</w:t>
      </w:r>
      <w:r>
        <w:t xml:space="preserve"> úverov podnikov (</w:t>
      </w:r>
      <w:r w:rsidR="0068581E">
        <w:t>z </w:t>
      </w:r>
      <w:r>
        <w:t>dôvodu ich nesolventnosti kvôli výraznému prepadu tržieb).</w:t>
      </w:r>
    </w:p>
    <w:p w14:paraId="59E99353" w14:textId="62007A56" w:rsidR="00FB3CA0" w:rsidRDefault="00FB3CA0" w:rsidP="00FB3CA0">
      <w:pPr>
        <w:spacing w:after="0"/>
      </w:pPr>
      <w:r>
        <w:t xml:space="preserve">Pomerne pozitívne vychádza odhad strát </w:t>
      </w:r>
      <w:r w:rsidR="0068581E">
        <w:t>v </w:t>
      </w:r>
      <w:proofErr w:type="spellStart"/>
      <w:r>
        <w:t>retailovom</w:t>
      </w:r>
      <w:proofErr w:type="spellEnd"/>
      <w:r>
        <w:t xml:space="preserve"> sektor</w:t>
      </w:r>
      <w:r w:rsidR="00BF5768">
        <w:t>e</w:t>
      </w:r>
      <w:r>
        <w:t xml:space="preserve"> na základe prieskumu medzi zadlženými domácnosťami. Len 1,</w:t>
      </w:r>
      <w:r w:rsidR="0068581E">
        <w:t>1 %</w:t>
      </w:r>
      <w:r>
        <w:t xml:space="preserve"> </w:t>
      </w:r>
      <w:r w:rsidR="0068581E">
        <w:t>z </w:t>
      </w:r>
      <w:r>
        <w:t xml:space="preserve">nich neskôr očakáva problémy so splácaním svojho úveru. Treba však pripomenúť, že pomerne veľký počet domácností zaznamenal pokles príjmov. Výsledky analýz ukazujú, že </w:t>
      </w:r>
      <w:r w:rsidR="0068581E">
        <w:t>v </w:t>
      </w:r>
      <w:r>
        <w:t xml:space="preserve"> auguste nepostačovali príjmy na pokrytie splátok a minimálnych životných nákladov </w:t>
      </w:r>
      <w:r w:rsidR="0068581E">
        <w:t>v 6 %</w:t>
      </w:r>
      <w:r>
        <w:t xml:space="preserve"> domácností. </w:t>
      </w:r>
    </w:p>
    <w:p w14:paraId="70C5CA77" w14:textId="0FBA8C1E" w:rsidR="00FB3CA0" w:rsidRDefault="00FB3CA0" w:rsidP="00FB3CA0">
      <w:pPr>
        <w:spacing w:after="0"/>
      </w:pPr>
      <w:r>
        <w:t xml:space="preserve">Spomínané možné straty, či už </w:t>
      </w:r>
      <w:r w:rsidR="0068581E">
        <w:t>z </w:t>
      </w:r>
      <w:r>
        <w:t>úverov podnikov alebo domácnost</w:t>
      </w:r>
      <w:r w:rsidR="006459D0">
        <w:t>í</w:t>
      </w:r>
      <w:r>
        <w:t xml:space="preserve">, by bankový sektor vzhľadom na vysokú úroveň kapitálovej primeranosti mal zvládnuť bez výraznejších problémov. Ďalší vývoj naďalej čelí zvýšenej neistote a rizikám opätovného zhoršenia situácie, najmä </w:t>
      </w:r>
      <w:r w:rsidR="0068581E">
        <w:t>v </w:t>
      </w:r>
      <w:r>
        <w:t xml:space="preserve">prípade, ak by aj druhá vlna pandémie priniesla výraznejšie ekonomické dôsledky.  </w:t>
      </w:r>
    </w:p>
    <w:p w14:paraId="4DBEAD47" w14:textId="16EE2DB0" w:rsidR="00FB3CA0" w:rsidRDefault="00FB3CA0" w:rsidP="00FB3CA0">
      <w:pPr>
        <w:spacing w:after="0"/>
      </w:pPr>
      <w:r>
        <w:rPr>
          <w:b/>
          <w:bCs/>
        </w:rPr>
        <w:t>Dôležitá bude koordinácia ukonč</w:t>
      </w:r>
      <w:r w:rsidR="001A116D">
        <w:rPr>
          <w:b/>
          <w:bCs/>
        </w:rPr>
        <w:t>ovania</w:t>
      </w:r>
      <w:r>
        <w:rPr>
          <w:b/>
          <w:bCs/>
        </w:rPr>
        <w:t xml:space="preserve"> podporných programov.</w:t>
      </w:r>
      <w:r>
        <w:t xml:space="preserve"> </w:t>
      </w:r>
      <w:r w:rsidR="0040692D">
        <w:t xml:space="preserve">Súčasné oživovanie </w:t>
      </w:r>
      <w:r w:rsidR="0068581E">
        <w:t>v </w:t>
      </w:r>
      <w:r w:rsidR="0040692D">
        <w:t xml:space="preserve">podnikovom sektore je podporované </w:t>
      </w:r>
      <w:r w:rsidR="00D271F8">
        <w:t xml:space="preserve">vybranými </w:t>
      </w:r>
      <w:r w:rsidR="0040692D">
        <w:t xml:space="preserve">štátnymi </w:t>
      </w:r>
      <w:r w:rsidR="00D6071F">
        <w:t xml:space="preserve">garančnými </w:t>
      </w:r>
      <w:r w:rsidR="0040692D">
        <w:t xml:space="preserve">schémami. Ich náhle ukončenie </w:t>
      </w:r>
      <w:r w:rsidR="0068581E">
        <w:t>v </w:t>
      </w:r>
      <w:r w:rsidR="0040692D">
        <w:t xml:space="preserve">tejto stále citlivej fáze oživovania môže mať veľký </w:t>
      </w:r>
      <w:r w:rsidR="00847172">
        <w:t>vplyv</w:t>
      </w:r>
      <w:r w:rsidR="0040692D">
        <w:t xml:space="preserve"> na podniky. Koordinácia krokov jednotlivých verejných inštitúcií pri ukončovaní jednotlivých podporných nástrojov je </w:t>
      </w:r>
      <w:r w:rsidR="0068581E">
        <w:t>z </w:t>
      </w:r>
      <w:r w:rsidR="0040692D">
        <w:t>tohto pohľadu kľúčová.</w:t>
      </w:r>
    </w:p>
    <w:p w14:paraId="270A6552" w14:textId="0B165E40" w:rsidR="00FB3CA0" w:rsidRDefault="00FB3CA0" w:rsidP="00FB3CA0">
      <w:pPr>
        <w:rPr>
          <w:rFonts w:ascii="Verdana" w:hAnsi="Verdana"/>
          <w:color w:val="0067AC" w:themeColor="accent1"/>
          <w:sz w:val="24"/>
          <w:szCs w:val="24"/>
        </w:rPr>
      </w:pPr>
      <w:r>
        <w:rPr>
          <w:rFonts w:ascii="Verdana" w:hAnsi="Verdana"/>
          <w:color w:val="0067AC" w:themeColor="accent1"/>
          <w:sz w:val="24"/>
          <w:szCs w:val="24"/>
        </w:rPr>
        <w:t>Bankový sektor je schopný krízu zvládnuť</w:t>
      </w:r>
      <w:r w:rsidR="006D23E0">
        <w:rPr>
          <w:rFonts w:ascii="Verdana" w:hAnsi="Verdana"/>
          <w:color w:val="0067AC" w:themeColor="accent1"/>
          <w:sz w:val="24"/>
          <w:szCs w:val="24"/>
        </w:rPr>
        <w:t>; prispelo k tomu aj zrušenie bankového odvodu</w:t>
      </w:r>
    </w:p>
    <w:p w14:paraId="54DDBD2D" w14:textId="7C217CE2" w:rsidR="00FB3CA0" w:rsidRDefault="00FB3CA0" w:rsidP="00FB3CA0">
      <w:pPr>
        <w:spacing w:after="0"/>
        <w:rPr>
          <w:szCs w:val="20"/>
        </w:rPr>
      </w:pPr>
      <w:r>
        <w:rPr>
          <w:b/>
          <w:bCs/>
        </w:rPr>
        <w:t xml:space="preserve">Hoci </w:t>
      </w:r>
      <w:proofErr w:type="spellStart"/>
      <w:r>
        <w:rPr>
          <w:b/>
          <w:bCs/>
        </w:rPr>
        <w:t>koronakrízu</w:t>
      </w:r>
      <w:proofErr w:type="spellEnd"/>
      <w:r>
        <w:rPr>
          <w:b/>
          <w:bCs/>
        </w:rPr>
        <w:t xml:space="preserve"> nebolo možné predvídať, bankový sektor bol na možné krízové obdobie pripravený.</w:t>
      </w:r>
      <w:r>
        <w:t xml:space="preserve"> Kapitálová primeranosť bánk </w:t>
      </w:r>
      <w:r w:rsidR="0068581E">
        <w:t>k </w:t>
      </w:r>
      <w:r>
        <w:t>júnu 2020 dosiahla úroveň 19,</w:t>
      </w:r>
      <w:r w:rsidR="0068581E">
        <w:t>5 %</w:t>
      </w:r>
      <w:r>
        <w:t xml:space="preserve">, čo bola takmer dvojnásobná hodnota </w:t>
      </w:r>
      <w:r w:rsidR="0068581E">
        <w:t>v </w:t>
      </w:r>
      <w:r>
        <w:t xml:space="preserve">porovnaní </w:t>
      </w:r>
      <w:r w:rsidR="0068581E">
        <w:t>s </w:t>
      </w:r>
      <w:r>
        <w:t>rokom 200</w:t>
      </w:r>
      <w:r w:rsidR="00917CB3">
        <w:t>8</w:t>
      </w:r>
      <w:r>
        <w:t xml:space="preserve">, keď vypukla globálna </w:t>
      </w:r>
      <w:r w:rsidR="00917CB3">
        <w:t xml:space="preserve">finančná </w:t>
      </w:r>
      <w:r>
        <w:t xml:space="preserve">kríza. Prispel </w:t>
      </w:r>
      <w:r w:rsidR="0068581E">
        <w:t>k </w:t>
      </w:r>
      <w:r>
        <w:t xml:space="preserve">tomu aj aktívny prístup NBS </w:t>
      </w:r>
      <w:r w:rsidR="0068581E">
        <w:t>k </w:t>
      </w:r>
      <w:r>
        <w:t xml:space="preserve">využívaniu </w:t>
      </w:r>
      <w:proofErr w:type="spellStart"/>
      <w:r>
        <w:t>makroprudenciálnych</w:t>
      </w:r>
      <w:proofErr w:type="spellEnd"/>
      <w:r>
        <w:t xml:space="preserve"> opatrení </w:t>
      </w:r>
      <w:r w:rsidR="0068581E">
        <w:t>v </w:t>
      </w:r>
      <w:r>
        <w:t>predchádzajúcich rokoch</w:t>
      </w:r>
      <w:r w:rsidR="00CE6AC9">
        <w:t>, najmä v oblasti limitov na poskytovanie úverov</w:t>
      </w:r>
      <w:r>
        <w:t xml:space="preserve">. Týmito opatreniami NBS nielen zmiernila riziká </w:t>
      </w:r>
      <w:r w:rsidR="0068581E">
        <w:t>z </w:t>
      </w:r>
      <w:r>
        <w:t xml:space="preserve">rýchlo rastúcej zadlženosti domácností, ale banky zároveň využili predchádzajúce dobré časy na to, aby </w:t>
      </w:r>
      <w:r w:rsidR="0068581E">
        <w:t>v </w:t>
      </w:r>
      <w:r>
        <w:t>horších časoch disponovali vyššou</w:t>
      </w:r>
      <w:r w:rsidR="00D6071F">
        <w:t xml:space="preserve"> kapitálovou</w:t>
      </w:r>
      <w:r>
        <w:t xml:space="preserve"> rezervou. Dôležitú úlohu zohralo aj to, že banky si ponechali </w:t>
      </w:r>
      <w:r w:rsidR="00D02085">
        <w:t xml:space="preserve">prakticky </w:t>
      </w:r>
      <w:r>
        <w:t xml:space="preserve">celý zisk </w:t>
      </w:r>
      <w:r w:rsidR="0068581E">
        <w:t>z </w:t>
      </w:r>
      <w:r>
        <w:t xml:space="preserve">roku 2019 na posilnenie svojej odolnosti. Toto rozhodnutie podporila aj NBS svojím odporúčaním </w:t>
      </w:r>
      <w:r w:rsidR="0068581E">
        <w:t>č. </w:t>
      </w:r>
      <w:r>
        <w:t xml:space="preserve">1/2020, ktorým odporúča najväčším bankám a poisťovniam nevyplácať dividendy aspoň do konca roka 2020. </w:t>
      </w:r>
    </w:p>
    <w:p w14:paraId="59AF3EA3" w14:textId="0E84E247" w:rsidR="00FB3CA0" w:rsidRDefault="00FB3CA0" w:rsidP="00FB3CA0">
      <w:pPr>
        <w:spacing w:after="0"/>
      </w:pPr>
      <w:proofErr w:type="spellStart"/>
      <w:r>
        <w:rPr>
          <w:b/>
          <w:bCs/>
        </w:rPr>
        <w:t>Koronakríza</w:t>
      </w:r>
      <w:proofErr w:type="spellEnd"/>
      <w:r>
        <w:rPr>
          <w:b/>
          <w:bCs/>
        </w:rPr>
        <w:t xml:space="preserve"> však prinesie výrazné straty </w:t>
      </w:r>
      <w:r w:rsidR="0068581E">
        <w:rPr>
          <w:b/>
          <w:bCs/>
        </w:rPr>
        <w:t>z </w:t>
      </w:r>
      <w:r>
        <w:rPr>
          <w:b/>
          <w:bCs/>
        </w:rPr>
        <w:t>tvorby opravných položiek na nesplácané úvery.</w:t>
      </w:r>
      <w:r>
        <w:t xml:space="preserve"> Hoci samotné zlyhané úvery zatiaľ výraznejšie nepribúdajú, banky už zvýšili tvorbu opravných položiek na nezlyhané úvery, ktoré vykazujú vyššie rizikové charakteristiky. Banky si tým vytvárajú vankúš na potenciálne </w:t>
      </w:r>
      <w:r>
        <w:lastRenderedPageBreak/>
        <w:t xml:space="preserve">straty </w:t>
      </w:r>
      <w:r w:rsidR="0068581E">
        <w:t>z </w:t>
      </w:r>
      <w:r>
        <w:t xml:space="preserve">úverov klientov, ktorí čelia zhoršeniu finančnej situácie </w:t>
      </w:r>
      <w:r w:rsidR="0068581E">
        <w:t>z </w:t>
      </w:r>
      <w:r>
        <w:t xml:space="preserve">dôvodu pandémie.  </w:t>
      </w:r>
    </w:p>
    <w:p w14:paraId="3302E482" w14:textId="34D4D388" w:rsidR="00FB3CA0" w:rsidRDefault="00FB3CA0" w:rsidP="00FB3CA0">
      <w:pPr>
        <w:spacing w:after="0"/>
      </w:pPr>
      <w:r>
        <w:rPr>
          <w:b/>
          <w:bCs/>
        </w:rPr>
        <w:t xml:space="preserve">Práve nárast nákladov na tvorbu opravných položiek mal, popri dvojnásobnom bankovom odvode za prvý polrok, hlavný podiel na výraznom prepade čistého zisku bánk (takmer </w:t>
      </w:r>
      <w:r w:rsidR="0068581E">
        <w:rPr>
          <w:b/>
          <w:bCs/>
        </w:rPr>
        <w:t>o </w:t>
      </w:r>
      <w:r>
        <w:rPr>
          <w:b/>
          <w:bCs/>
        </w:rPr>
        <w:t>dve tretiny).</w:t>
      </w:r>
      <w:r>
        <w:t xml:space="preserve"> Takmer všetky banky napriek tomu zatiaľ zostávajú </w:t>
      </w:r>
      <w:r w:rsidR="0068581E">
        <w:t>v </w:t>
      </w:r>
      <w:r>
        <w:t xml:space="preserve">zisku. Tento vývoj potvrdzuje, že neustále sa </w:t>
      </w:r>
      <w:r w:rsidR="00D6071F">
        <w:t>zmenšujúce</w:t>
      </w:r>
      <w:r>
        <w:t xml:space="preserve"> úrokové marže postupne vystavili ziskovosť bánk vysokej citlivosti na akýkoľvek negatívny vývoj.</w:t>
      </w:r>
    </w:p>
    <w:p w14:paraId="11051B48" w14:textId="5D941B4E" w:rsidR="00FB3CA0" w:rsidRDefault="00FB3CA0" w:rsidP="00FB3CA0">
      <w:pPr>
        <w:spacing w:after="0"/>
      </w:pPr>
      <w:r>
        <w:rPr>
          <w:b/>
          <w:bCs/>
        </w:rPr>
        <w:t xml:space="preserve">Vysoký tlak na ziskovosť bánk výrazným spôsobom zmierňuje zrušenie </w:t>
      </w:r>
      <w:r w:rsidR="007A6AAC">
        <w:rPr>
          <w:b/>
          <w:bCs/>
        </w:rPr>
        <w:t xml:space="preserve">platieb </w:t>
      </w:r>
      <w:r>
        <w:rPr>
          <w:b/>
          <w:bCs/>
        </w:rPr>
        <w:t>bankového odvodu od druhého polroka 2020.</w:t>
      </w:r>
      <w:r>
        <w:t xml:space="preserve"> Táto zmena podľa aktuálnych odhadov zmierňuje </w:t>
      </w:r>
      <w:r w:rsidR="00DB7227">
        <w:t>vplyv</w:t>
      </w:r>
      <w:r>
        <w:t xml:space="preserve"> </w:t>
      </w:r>
      <w:proofErr w:type="spellStart"/>
      <w:r>
        <w:t>koronakrízy</w:t>
      </w:r>
      <w:proofErr w:type="spellEnd"/>
      <w:r>
        <w:t xml:space="preserve"> na banky a znižuje pravdepodobnosť toho, že by bankový sektor ako celok skončil tento alebo budúci rok vo výraznejšej strate. </w:t>
      </w:r>
    </w:p>
    <w:p w14:paraId="38463C57" w14:textId="77777777" w:rsidR="00FB3CA0" w:rsidRDefault="00FB3CA0" w:rsidP="00FB3CA0">
      <w:pPr>
        <w:spacing w:after="0"/>
        <w:rPr>
          <w:rFonts w:ascii="Verdana" w:hAnsi="Verdana"/>
          <w:color w:val="0067AC" w:themeColor="accent1"/>
          <w:sz w:val="24"/>
          <w:szCs w:val="24"/>
        </w:rPr>
      </w:pPr>
      <w:r>
        <w:rPr>
          <w:rFonts w:ascii="Verdana" w:hAnsi="Verdana"/>
          <w:color w:val="0067AC" w:themeColor="accent1"/>
          <w:sz w:val="24"/>
          <w:szCs w:val="24"/>
        </w:rPr>
        <w:t>Dynamika úverovania podnikov ani domácností nebola zatiaľ krízou výraznejšie zasiahnutá</w:t>
      </w:r>
    </w:p>
    <w:p w14:paraId="7985AB9F" w14:textId="44DF6CB3" w:rsidR="00FB3CA0" w:rsidRDefault="00FB3CA0" w:rsidP="00FB3CA0">
      <w:pPr>
        <w:spacing w:after="0"/>
        <w:rPr>
          <w:szCs w:val="20"/>
        </w:rPr>
      </w:pPr>
      <w:r>
        <w:rPr>
          <w:b/>
          <w:bCs/>
        </w:rPr>
        <w:t>Rast úverov domácnostiam napriek miernemu spomaleniu (zo 7,</w:t>
      </w:r>
      <w:r w:rsidR="0068581E">
        <w:rPr>
          <w:b/>
          <w:bCs/>
        </w:rPr>
        <w:t>9 %</w:t>
      </w:r>
      <w:r>
        <w:rPr>
          <w:b/>
          <w:bCs/>
        </w:rPr>
        <w:t xml:space="preserve"> </w:t>
      </w:r>
      <w:r w:rsidR="0068581E">
        <w:rPr>
          <w:b/>
          <w:bCs/>
        </w:rPr>
        <w:t>v </w:t>
      </w:r>
      <w:r>
        <w:rPr>
          <w:b/>
          <w:bCs/>
        </w:rPr>
        <w:t>decembri 2019 na 6,</w:t>
      </w:r>
      <w:r w:rsidR="0068581E">
        <w:rPr>
          <w:b/>
          <w:bCs/>
        </w:rPr>
        <w:t>8 %</w:t>
      </w:r>
      <w:r>
        <w:rPr>
          <w:b/>
          <w:bCs/>
        </w:rPr>
        <w:t xml:space="preserve"> </w:t>
      </w:r>
      <w:r w:rsidR="0068581E">
        <w:rPr>
          <w:b/>
          <w:bCs/>
        </w:rPr>
        <w:t>v </w:t>
      </w:r>
      <w:r>
        <w:rPr>
          <w:b/>
          <w:bCs/>
        </w:rPr>
        <w:t xml:space="preserve">júli 2020) naďalej zostáva štvrtý najrýchlejší </w:t>
      </w:r>
      <w:r w:rsidR="0068581E">
        <w:rPr>
          <w:b/>
          <w:bCs/>
        </w:rPr>
        <w:t>v </w:t>
      </w:r>
      <w:r>
        <w:rPr>
          <w:b/>
          <w:bCs/>
        </w:rPr>
        <w:t>EÚ.</w:t>
      </w:r>
      <w:r>
        <w:t xml:space="preserve"> Hlavným faktorom bol pokles na trhu spotrebiteľských úverov, najmä </w:t>
      </w:r>
      <w:r w:rsidR="0068581E">
        <w:t>v </w:t>
      </w:r>
      <w:r>
        <w:t>prvých mesiacoch krízy. Na druhej strane, rast úverov na bývanie zostáva na vysokej úrovni 9,</w:t>
      </w:r>
      <w:r w:rsidR="0068581E">
        <w:t>4 %</w:t>
      </w:r>
      <w:r>
        <w:t>.</w:t>
      </w:r>
    </w:p>
    <w:p w14:paraId="1815E0AF" w14:textId="38843DF3" w:rsidR="00FB3CA0" w:rsidRDefault="00FB3CA0" w:rsidP="00FB3CA0">
      <w:pPr>
        <w:spacing w:after="0"/>
      </w:pPr>
      <w:r>
        <w:rPr>
          <w:b/>
          <w:bCs/>
        </w:rPr>
        <w:t>Úvery podnikom zaznamenali počas prvej vlny pandémie stabilný rast.</w:t>
      </w:r>
      <w:r>
        <w:t xml:space="preserve"> Na začiatku pandémie podniky najmä dočerpávali schválené úverové linky. Takmer polovicu rastu tvoril rast úverov </w:t>
      </w:r>
      <w:r w:rsidR="0068581E">
        <w:t>v </w:t>
      </w:r>
      <w:r>
        <w:t xml:space="preserve">priemysle. </w:t>
      </w:r>
      <w:r w:rsidR="0068581E">
        <w:t>V </w:t>
      </w:r>
      <w:r>
        <w:t xml:space="preserve">tomto období banky viac preferovali financovanie existujúcich klientov. </w:t>
      </w:r>
      <w:r w:rsidR="0068581E">
        <w:t>V </w:t>
      </w:r>
      <w:r>
        <w:t>júli úverová aktivita dokonca zrýchlila na 4,</w:t>
      </w:r>
      <w:r w:rsidR="0068581E">
        <w:t>7 %</w:t>
      </w:r>
      <w:r>
        <w:t xml:space="preserve">, </w:t>
      </w:r>
      <w:r w:rsidR="0068581E">
        <w:t>k </w:t>
      </w:r>
      <w:r>
        <w:t>čomu prispela najmä zlepšujúca sa ekonomická situácia.</w:t>
      </w:r>
    </w:p>
    <w:p w14:paraId="1A595F09" w14:textId="29C3544F" w:rsidR="00FB3CA0" w:rsidRDefault="00FB3CA0" w:rsidP="00FB3CA0">
      <w:pPr>
        <w:spacing w:after="0"/>
      </w:pPr>
      <w:r>
        <w:rPr>
          <w:b/>
          <w:bCs/>
        </w:rPr>
        <w:t xml:space="preserve">Hoci </w:t>
      </w:r>
      <w:r w:rsidR="0068581E">
        <w:rPr>
          <w:b/>
          <w:bCs/>
        </w:rPr>
        <w:t>z </w:t>
      </w:r>
      <w:r>
        <w:rPr>
          <w:b/>
          <w:bCs/>
        </w:rPr>
        <w:t xml:space="preserve">pohľadu sektora podnikov ako celku sa dynamika rastu udržala, dostupnosť financovania bola obmedzená </w:t>
      </w:r>
      <w:r w:rsidR="0068581E">
        <w:rPr>
          <w:b/>
          <w:bCs/>
        </w:rPr>
        <w:t>v </w:t>
      </w:r>
      <w:r>
        <w:rPr>
          <w:b/>
          <w:bCs/>
        </w:rPr>
        <w:t>prípade rizikovejších skupín podnikov.</w:t>
      </w:r>
      <w:r>
        <w:t xml:space="preserve"> Ide najmä </w:t>
      </w:r>
      <w:r w:rsidR="0068581E">
        <w:t>o </w:t>
      </w:r>
      <w:r>
        <w:t>malé a stredné podniky, hoci tento sektor zaznamenáva útlm už od konca rok</w:t>
      </w:r>
      <w:r w:rsidR="00F05005">
        <w:t>a</w:t>
      </w:r>
      <w:r>
        <w:t xml:space="preserve"> 2019. Zhoršený prístup </w:t>
      </w:r>
      <w:r w:rsidR="0068581E">
        <w:t>k </w:t>
      </w:r>
      <w:r>
        <w:t xml:space="preserve">financovaniu mohli mať aj podniky, ktoré predtým nemali úver. </w:t>
      </w:r>
    </w:p>
    <w:p w14:paraId="719F9E5B" w14:textId="1181077C" w:rsidR="00FB3CA0" w:rsidRDefault="00FB3CA0" w:rsidP="00FB3CA0">
      <w:pPr>
        <w:spacing w:after="0"/>
      </w:pPr>
      <w:r>
        <w:rPr>
          <w:b/>
          <w:bCs/>
        </w:rPr>
        <w:t>Hlavným faktorom dostupnosti financovania je neistota týkajúca sa ďalšieho vývoja a </w:t>
      </w:r>
      <w:r w:rsidR="0068581E">
        <w:rPr>
          <w:b/>
          <w:bCs/>
        </w:rPr>
        <w:t>s </w:t>
      </w:r>
      <w:r>
        <w:rPr>
          <w:b/>
          <w:bCs/>
        </w:rPr>
        <w:t>ňou spojená obozretnosť bánk.</w:t>
      </w:r>
      <w:r>
        <w:t xml:space="preserve"> Takmer všetky banky po vypuknutí pandémie sprísnili podmienky úverovania domácností aj podnikov. Toto sprísnenie však bolo relatívne mierne a týkalo sa skôr rizikovejších klientov, resp. špecifických podmienok úverovania. Koncom prvého polroka banky viaceré sprísnenia čiastočne zrušili</w:t>
      </w:r>
      <w:r w:rsidR="00D6071F">
        <w:t>.</w:t>
      </w:r>
    </w:p>
    <w:p w14:paraId="138AEAD8" w14:textId="476220FD" w:rsidR="00FB3CA0" w:rsidRDefault="00FB3CA0" w:rsidP="00FB3CA0">
      <w:pPr>
        <w:spacing w:after="0"/>
      </w:pPr>
      <w:r>
        <w:rPr>
          <w:b/>
          <w:bCs/>
        </w:rPr>
        <w:t xml:space="preserve">Kapitálové požiadavky ani požiadavky na likviditu </w:t>
      </w:r>
      <w:r w:rsidR="0068581E">
        <w:rPr>
          <w:b/>
          <w:bCs/>
        </w:rPr>
        <w:t>v </w:t>
      </w:r>
      <w:r>
        <w:rPr>
          <w:b/>
          <w:bCs/>
        </w:rPr>
        <w:t xml:space="preserve">súčasnosti nie sú prekážkou pokračovania úverovania. </w:t>
      </w:r>
      <w:r>
        <w:t xml:space="preserve">Voľný kapitál bánk od začiatku roka 2020 dokonca výrazne vzrástol, a to </w:t>
      </w:r>
      <w:r w:rsidR="00D6071F">
        <w:t xml:space="preserve">najmä </w:t>
      </w:r>
      <w:r>
        <w:t xml:space="preserve">vďaka ponechaniu si zisku </w:t>
      </w:r>
      <w:r w:rsidR="0068581E">
        <w:t>z </w:t>
      </w:r>
      <w:r>
        <w:t xml:space="preserve">roku 2019, uvoľneniu </w:t>
      </w:r>
      <w:proofErr w:type="spellStart"/>
      <w:r>
        <w:t>regulatórnych</w:t>
      </w:r>
      <w:proofErr w:type="spellEnd"/>
      <w:r>
        <w:t xml:space="preserve"> požiadaviek zo strany ECB a zníženiu </w:t>
      </w:r>
      <w:proofErr w:type="spellStart"/>
      <w:r>
        <w:t>proticyklického</w:t>
      </w:r>
      <w:proofErr w:type="spellEnd"/>
      <w:r>
        <w:t xml:space="preserve"> kapitálového vankúša zo strany NBS. Okrem toho bankový sektor disponuje dostatkom stabilných a zároveň lacných zdrojov financovania </w:t>
      </w:r>
      <w:r>
        <w:lastRenderedPageBreak/>
        <w:t>a</w:t>
      </w:r>
      <w:r w:rsidR="00B44258">
        <w:t> </w:t>
      </w:r>
      <w:r>
        <w:t xml:space="preserve"> likvidné aktíva sa zvýšili. NBS situáciu týkajúcu sa dostupnosti financovania pozorne monitoruje a </w:t>
      </w:r>
      <w:r w:rsidR="0068581E">
        <w:t>v </w:t>
      </w:r>
      <w:r>
        <w:t xml:space="preserve">prípade potreby je pripravená pristúpiť </w:t>
      </w:r>
      <w:r w:rsidR="0068581E">
        <w:t>k </w:t>
      </w:r>
      <w:r>
        <w:t xml:space="preserve">ďalšiemu zníženiu </w:t>
      </w:r>
      <w:proofErr w:type="spellStart"/>
      <w:r>
        <w:t>proticyklického</w:t>
      </w:r>
      <w:proofErr w:type="spellEnd"/>
      <w:r>
        <w:t xml:space="preserve"> kapitálového vankúša alebo </w:t>
      </w:r>
      <w:r w:rsidR="0068581E">
        <w:t>k </w:t>
      </w:r>
      <w:r>
        <w:t xml:space="preserve">úprave limitov pre úvery domácnostiam. </w:t>
      </w:r>
    </w:p>
    <w:p w14:paraId="282939BE" w14:textId="4CC0C3BC" w:rsidR="00FB3CA0" w:rsidRDefault="00FB3CA0" w:rsidP="00FB3CA0">
      <w:pPr>
        <w:spacing w:after="0"/>
      </w:pPr>
      <w:r>
        <w:rPr>
          <w:b/>
          <w:bCs/>
        </w:rPr>
        <w:t xml:space="preserve">Dostupnosť financovania </w:t>
      </w:r>
      <w:r w:rsidR="0068581E">
        <w:rPr>
          <w:b/>
          <w:bCs/>
        </w:rPr>
        <w:t>v </w:t>
      </w:r>
      <w:r>
        <w:rPr>
          <w:b/>
          <w:bCs/>
        </w:rPr>
        <w:t>doterajšom období nebola výrazne zhoršená ani napriek tomu, že štátn</w:t>
      </w:r>
      <w:r w:rsidR="00D6071F">
        <w:rPr>
          <w:b/>
          <w:bCs/>
        </w:rPr>
        <w:t>e</w:t>
      </w:r>
      <w:r>
        <w:rPr>
          <w:b/>
          <w:bCs/>
        </w:rPr>
        <w:t xml:space="preserve"> garančn</w:t>
      </w:r>
      <w:r w:rsidR="00D6071F">
        <w:rPr>
          <w:b/>
          <w:bCs/>
        </w:rPr>
        <w:t>é</w:t>
      </w:r>
      <w:r>
        <w:rPr>
          <w:b/>
          <w:bCs/>
        </w:rPr>
        <w:t xml:space="preserve"> schém</w:t>
      </w:r>
      <w:r w:rsidR="00D6071F">
        <w:rPr>
          <w:b/>
          <w:bCs/>
        </w:rPr>
        <w:t>y</w:t>
      </w:r>
      <w:r>
        <w:rPr>
          <w:b/>
          <w:bCs/>
        </w:rPr>
        <w:t xml:space="preserve"> </w:t>
      </w:r>
      <w:r w:rsidR="001A116D">
        <w:rPr>
          <w:b/>
          <w:bCs/>
        </w:rPr>
        <w:t>nabiehal</w:t>
      </w:r>
      <w:r w:rsidR="00D6071F">
        <w:rPr>
          <w:b/>
          <w:bCs/>
        </w:rPr>
        <w:t>i</w:t>
      </w:r>
      <w:r>
        <w:rPr>
          <w:b/>
          <w:bCs/>
        </w:rPr>
        <w:t xml:space="preserve"> len postupne a neskôr ako </w:t>
      </w:r>
      <w:r w:rsidR="0068581E">
        <w:rPr>
          <w:b/>
          <w:bCs/>
        </w:rPr>
        <w:t>v </w:t>
      </w:r>
      <w:r>
        <w:rPr>
          <w:b/>
          <w:bCs/>
        </w:rPr>
        <w:t>iných krajinách.</w:t>
      </w:r>
      <w:r>
        <w:t xml:space="preserve"> </w:t>
      </w:r>
      <w:r w:rsidR="0068581E">
        <w:t>K </w:t>
      </w:r>
      <w:r>
        <w:t>júlu 2020 tvorili úvery</w:t>
      </w:r>
      <w:r w:rsidR="00D6071F">
        <w:t xml:space="preserve"> z týchto schém</w:t>
      </w:r>
      <w:r>
        <w:t xml:space="preserve"> 1</w:t>
      </w:r>
      <w:r w:rsidR="0068581E">
        <w:t>4 %</w:t>
      </w:r>
      <w:r>
        <w:t xml:space="preserve"> nových úverov poskytnutý</w:t>
      </w:r>
      <w:r w:rsidR="00D94EE3">
        <w:t>ch</w:t>
      </w:r>
      <w:r>
        <w:t xml:space="preserve"> </w:t>
      </w:r>
      <w:proofErr w:type="spellStart"/>
      <w:r>
        <w:t>mikropodnikom</w:t>
      </w:r>
      <w:proofErr w:type="spellEnd"/>
      <w:r>
        <w:t xml:space="preserve"> a malým a stredným podnikom </w:t>
      </w:r>
      <w:r w:rsidR="0068581E">
        <w:t>v </w:t>
      </w:r>
      <w:r>
        <w:t>objeme 13</w:t>
      </w:r>
      <w:r w:rsidR="0068581E">
        <w:t>6 mil. €</w:t>
      </w:r>
      <w:r>
        <w:t xml:space="preserve">. Banky poskytovali úvery </w:t>
      </w:r>
      <w:r w:rsidR="00D6071F">
        <w:t>z garančných schém</w:t>
      </w:r>
      <w:r>
        <w:t xml:space="preserve"> predovšetkým klientom </w:t>
      </w:r>
      <w:r w:rsidR="0068581E">
        <w:t>s </w:t>
      </w:r>
      <w:r>
        <w:t xml:space="preserve">overenou platobnou disciplínou, ktoré nevykazovali rizikovejšie parametre </w:t>
      </w:r>
      <w:r w:rsidR="0068581E">
        <w:t>v </w:t>
      </w:r>
      <w:r>
        <w:t xml:space="preserve">porovnaní </w:t>
      </w:r>
      <w:r w:rsidR="0068581E">
        <w:t>s </w:t>
      </w:r>
      <w:r>
        <w:t>priemernými hodnotami. Nízka miera využívania garančn</w:t>
      </w:r>
      <w:r w:rsidR="00734F58">
        <w:t>ých</w:t>
      </w:r>
      <w:r>
        <w:t xml:space="preserve"> schém je spojená okrem administratívnej náročnosti aj </w:t>
      </w:r>
      <w:r w:rsidR="0068581E">
        <w:t>s </w:t>
      </w:r>
      <w:r>
        <w:t xml:space="preserve">tým, že stále nie sú jasné podmienky, za akých štát môže </w:t>
      </w:r>
      <w:r w:rsidR="00BC00C1">
        <w:t xml:space="preserve">vylúčiť úver </w:t>
      </w:r>
      <w:r w:rsidR="0068581E">
        <w:t>z </w:t>
      </w:r>
      <w:r w:rsidR="00BC00C1">
        <w:t>portfólia krytých úverov</w:t>
      </w:r>
      <w:r>
        <w:t xml:space="preserve">. Tento prvok neistoty zásadne vplýva na ochotu bánk využívať tento nástroj podpory. </w:t>
      </w:r>
    </w:p>
    <w:p w14:paraId="5098F97A" w14:textId="225B6A26" w:rsidR="00FB3CA0" w:rsidRDefault="00CE6AC9" w:rsidP="00FB3CA0">
      <w:pPr>
        <w:spacing w:after="0"/>
      </w:pPr>
      <w:r w:rsidRPr="00CE6AC9">
        <w:rPr>
          <w:b/>
          <w:bCs/>
        </w:rPr>
        <w:t xml:space="preserve">Vzhľadom na pretrvávajúce riziká ďalšieho zhoršenia situácie je potrebné, aby boli garančné schémy plne funkčné a pripravené na pokrytie prípadného ďalšieho zvýšenia potreby likvidity pre podnikový sektor. </w:t>
      </w:r>
      <w:r w:rsidR="00FB3CA0" w:rsidRPr="00CE6AC9">
        <w:rPr>
          <w:bCs/>
        </w:rPr>
        <w:t xml:space="preserve">Odhadujeme, že aj pri plnom využívaní podporných opatrení môže podnikový sektor </w:t>
      </w:r>
      <w:r w:rsidR="0068581E" w:rsidRPr="00CE6AC9">
        <w:rPr>
          <w:bCs/>
        </w:rPr>
        <w:t>v </w:t>
      </w:r>
      <w:r w:rsidR="00FB3CA0" w:rsidRPr="00CE6AC9">
        <w:rPr>
          <w:bCs/>
        </w:rPr>
        <w:t xml:space="preserve">dôsledku </w:t>
      </w:r>
      <w:proofErr w:type="spellStart"/>
      <w:r w:rsidR="00FB3CA0" w:rsidRPr="00CE6AC9">
        <w:rPr>
          <w:bCs/>
        </w:rPr>
        <w:t>koronakrízy</w:t>
      </w:r>
      <w:proofErr w:type="spellEnd"/>
      <w:r w:rsidR="00FB3CA0" w:rsidRPr="00CE6AC9">
        <w:rPr>
          <w:bCs/>
        </w:rPr>
        <w:t xml:space="preserve"> na konci roka 2020 čeliť potrebe dodatočnej likvidity </w:t>
      </w:r>
      <w:r w:rsidR="0068581E" w:rsidRPr="00CE6AC9">
        <w:rPr>
          <w:bCs/>
        </w:rPr>
        <w:t>v </w:t>
      </w:r>
      <w:r w:rsidR="00FB3CA0" w:rsidRPr="00CE6AC9">
        <w:rPr>
          <w:bCs/>
        </w:rPr>
        <w:t>objeme 0,6 až 1,</w:t>
      </w:r>
      <w:r w:rsidR="0068581E" w:rsidRPr="00CE6AC9">
        <w:rPr>
          <w:bCs/>
        </w:rPr>
        <w:t>0 mld. €</w:t>
      </w:r>
      <w:r w:rsidR="00FB3CA0" w:rsidRPr="00CE6AC9">
        <w:rPr>
          <w:bCs/>
        </w:rPr>
        <w:t>.</w:t>
      </w:r>
      <w:r w:rsidR="00FB3CA0">
        <w:t xml:space="preserve"> </w:t>
      </w:r>
    </w:p>
    <w:p w14:paraId="12DD7764" w14:textId="628857E9" w:rsidR="00FB3CA0" w:rsidRPr="00667E78" w:rsidRDefault="0068581E" w:rsidP="00FB3CA0">
      <w:pPr>
        <w:spacing w:after="0"/>
        <w:rPr>
          <w:rFonts w:ascii="Verdana" w:hAnsi="Verdana"/>
          <w:color w:val="0067AC" w:themeColor="accent1"/>
          <w:sz w:val="24"/>
          <w:szCs w:val="24"/>
        </w:rPr>
      </w:pPr>
      <w:r>
        <w:rPr>
          <w:rFonts w:ascii="Verdana" w:hAnsi="Verdana"/>
          <w:color w:val="0067AC" w:themeColor="accent1"/>
          <w:sz w:val="24"/>
          <w:szCs w:val="24"/>
        </w:rPr>
        <w:t>V </w:t>
      </w:r>
      <w:r w:rsidR="00FB3CA0" w:rsidRPr="00667E78">
        <w:rPr>
          <w:rFonts w:ascii="Verdana" w:hAnsi="Verdana"/>
          <w:color w:val="0067AC" w:themeColor="accent1"/>
          <w:sz w:val="24"/>
          <w:szCs w:val="24"/>
        </w:rPr>
        <w:t xml:space="preserve">sektore poisťovní kleslo poistné, </w:t>
      </w:r>
      <w:r w:rsidR="0040692D">
        <w:rPr>
          <w:rFonts w:ascii="Verdana" w:hAnsi="Verdana"/>
          <w:color w:val="0067AC" w:themeColor="accent1"/>
          <w:sz w:val="24"/>
          <w:szCs w:val="24"/>
        </w:rPr>
        <w:t xml:space="preserve">naopak ziskovosť </w:t>
      </w:r>
      <w:r w:rsidR="00FB3CA0" w:rsidRPr="00667E78">
        <w:rPr>
          <w:rFonts w:ascii="Verdana" w:hAnsi="Verdana"/>
          <w:color w:val="0067AC" w:themeColor="accent1"/>
          <w:sz w:val="24"/>
          <w:szCs w:val="24"/>
        </w:rPr>
        <w:t xml:space="preserve">vzrástla </w:t>
      </w:r>
    </w:p>
    <w:p w14:paraId="5539E3FC" w14:textId="5433660C" w:rsidR="00FB3CA0" w:rsidRDefault="0068581E" w:rsidP="00FB3CA0">
      <w:pPr>
        <w:spacing w:after="0"/>
        <w:rPr>
          <w:szCs w:val="20"/>
        </w:rPr>
      </w:pPr>
      <w:r>
        <w:rPr>
          <w:b/>
          <w:bCs/>
        </w:rPr>
        <w:t>V </w:t>
      </w:r>
      <w:r w:rsidR="00FB3CA0" w:rsidRPr="00667E78">
        <w:rPr>
          <w:b/>
          <w:bCs/>
        </w:rPr>
        <w:t xml:space="preserve">sektore poisťovní sa </w:t>
      </w:r>
      <w:proofErr w:type="spellStart"/>
      <w:r w:rsidR="00FB3CA0" w:rsidRPr="00667E78">
        <w:rPr>
          <w:b/>
          <w:bCs/>
        </w:rPr>
        <w:t>koronakríza</w:t>
      </w:r>
      <w:proofErr w:type="spellEnd"/>
      <w:r w:rsidR="00FB3CA0" w:rsidRPr="00667E78">
        <w:rPr>
          <w:b/>
          <w:bCs/>
        </w:rPr>
        <w:t xml:space="preserve"> prejavila najmä poklesom predpísaného poistného </w:t>
      </w:r>
      <w:r>
        <w:rPr>
          <w:b/>
          <w:bCs/>
        </w:rPr>
        <w:t>v </w:t>
      </w:r>
      <w:r w:rsidR="00FB3CA0" w:rsidRPr="00667E78">
        <w:rPr>
          <w:b/>
          <w:bCs/>
        </w:rPr>
        <w:t>životnom poistení, poklesom finančného výsledku a znížením nákladov na poistné plnenia</w:t>
      </w:r>
      <w:r w:rsidR="00C214EF">
        <w:rPr>
          <w:b/>
          <w:bCs/>
        </w:rPr>
        <w:t xml:space="preserve"> tak </w:t>
      </w:r>
      <w:r>
        <w:rPr>
          <w:b/>
          <w:bCs/>
        </w:rPr>
        <w:t>v </w:t>
      </w:r>
      <w:r w:rsidR="00C214EF">
        <w:rPr>
          <w:b/>
          <w:bCs/>
        </w:rPr>
        <w:t>životnom poistení, ako aj</w:t>
      </w:r>
      <w:r w:rsidR="00FB3CA0" w:rsidRPr="00667E78">
        <w:rPr>
          <w:b/>
          <w:bCs/>
        </w:rPr>
        <w:t xml:space="preserve"> </w:t>
      </w:r>
      <w:r>
        <w:rPr>
          <w:b/>
          <w:bCs/>
        </w:rPr>
        <w:t>v </w:t>
      </w:r>
      <w:r w:rsidR="00FB3CA0" w:rsidRPr="00667E78">
        <w:rPr>
          <w:b/>
          <w:bCs/>
        </w:rPr>
        <w:t xml:space="preserve">poistení áut. </w:t>
      </w:r>
      <w:r>
        <w:t>K </w:t>
      </w:r>
      <w:r w:rsidR="00FB3CA0" w:rsidRPr="00667E78">
        <w:t xml:space="preserve"> poslednému menovanému prispelo najmä dočasné zníženie cestovnej aktivity </w:t>
      </w:r>
      <w:r>
        <w:t>v </w:t>
      </w:r>
      <w:r w:rsidR="00FB3CA0" w:rsidRPr="00667E78">
        <w:t>jarných mesiacoch a súvisiace zníženie</w:t>
      </w:r>
      <w:r w:rsidR="004366EB" w:rsidRPr="00667E78">
        <w:t xml:space="preserve"> </w:t>
      </w:r>
      <w:proofErr w:type="spellStart"/>
      <w:r w:rsidR="00FB3CA0" w:rsidRPr="00667E78">
        <w:t>škodovosti</w:t>
      </w:r>
      <w:proofErr w:type="spellEnd"/>
      <w:r w:rsidR="00FB3CA0" w:rsidRPr="00667E78">
        <w:t xml:space="preserve">. Odvetvie poistenia áut sa tak po viacerých rokoch preklopilo do ziskových hodnôt. Na druhej strane, doteraz sa nematerializovali ďalšie riziká potenciálne spojené </w:t>
      </w:r>
      <w:r>
        <w:t>s </w:t>
      </w:r>
      <w:r w:rsidR="00FB3CA0" w:rsidRPr="00667E78">
        <w:t xml:space="preserve">pandémiou, najmä riziko možného zníženia investičných ratingov a riziko výrazného zvýšenia </w:t>
      </w:r>
      <w:proofErr w:type="spellStart"/>
      <w:r w:rsidR="00FB3CA0" w:rsidRPr="00667E78">
        <w:t>škodovosti</w:t>
      </w:r>
      <w:proofErr w:type="spellEnd"/>
      <w:r w:rsidR="00FB3CA0" w:rsidRPr="00667E78">
        <w:t xml:space="preserve"> </w:t>
      </w:r>
      <w:r>
        <w:t>v </w:t>
      </w:r>
      <w:r w:rsidR="00FB3CA0" w:rsidRPr="00667E78">
        <w:t xml:space="preserve">poistení zabezpečenia príjmu či poistení úveru. </w:t>
      </w:r>
      <w:r w:rsidR="00C214EF">
        <w:t>P</w:t>
      </w:r>
      <w:r w:rsidR="00FB3CA0" w:rsidRPr="00667E78">
        <w:t>riemerná hodnota ROE dosiahla 14,</w:t>
      </w:r>
      <w:r>
        <w:t>3 %</w:t>
      </w:r>
      <w:r w:rsidR="00FB3CA0" w:rsidRPr="00667E78">
        <w:t xml:space="preserve">. </w:t>
      </w:r>
    </w:p>
    <w:p w14:paraId="05525A92" w14:textId="77777777" w:rsidR="00FB3CA0" w:rsidRDefault="00FB3CA0" w:rsidP="00FB3CA0">
      <w:pPr>
        <w:spacing w:after="0"/>
        <w:rPr>
          <w:rFonts w:ascii="Verdana" w:hAnsi="Verdana"/>
          <w:color w:val="0067AC" w:themeColor="accent1"/>
          <w:sz w:val="24"/>
          <w:szCs w:val="24"/>
        </w:rPr>
      </w:pPr>
      <w:proofErr w:type="spellStart"/>
      <w:r>
        <w:rPr>
          <w:rFonts w:ascii="Verdana" w:hAnsi="Verdana"/>
          <w:color w:val="0067AC" w:themeColor="accent1"/>
          <w:sz w:val="24"/>
          <w:szCs w:val="24"/>
        </w:rPr>
        <w:t>Koronakríza</w:t>
      </w:r>
      <w:proofErr w:type="spellEnd"/>
      <w:r>
        <w:rPr>
          <w:rFonts w:ascii="Verdana" w:hAnsi="Verdana"/>
          <w:color w:val="0067AC" w:themeColor="accent1"/>
          <w:sz w:val="24"/>
          <w:szCs w:val="24"/>
        </w:rPr>
        <w:t xml:space="preserve"> sa podpísala aj pod straty vo fondoch dôchodkového sporenia a kolektívneho investovania</w:t>
      </w:r>
    </w:p>
    <w:p w14:paraId="43693F2C" w14:textId="08A641C5" w:rsidR="00FB3CA0" w:rsidRDefault="00D30D02" w:rsidP="00FB3CA0">
      <w:pPr>
        <w:spacing w:after="0"/>
        <w:rPr>
          <w:szCs w:val="20"/>
        </w:rPr>
      </w:pPr>
      <w:r>
        <w:rPr>
          <w:b/>
          <w:bCs/>
        </w:rPr>
        <w:t xml:space="preserve">Mimoriadne </w:t>
      </w:r>
      <w:proofErr w:type="spellStart"/>
      <w:r>
        <w:rPr>
          <w:b/>
          <w:bCs/>
        </w:rPr>
        <w:t>volatilné</w:t>
      </w:r>
      <w:proofErr w:type="spellEnd"/>
      <w:r>
        <w:rPr>
          <w:b/>
          <w:bCs/>
        </w:rPr>
        <w:t xml:space="preserve"> obdobie zaznamenala v</w:t>
      </w:r>
      <w:r w:rsidR="00FB3CA0">
        <w:rPr>
          <w:b/>
          <w:bCs/>
        </w:rPr>
        <w:t>ýkonnosť dôchodkových a podielových fondov.</w:t>
      </w:r>
      <w:r w:rsidR="00FB3CA0">
        <w:t xml:space="preserve"> </w:t>
      </w:r>
      <w:proofErr w:type="spellStart"/>
      <w:r w:rsidR="00FB3CA0">
        <w:t>Koronakríza</w:t>
      </w:r>
      <w:proofErr w:type="spellEnd"/>
      <w:r w:rsidR="00FB3CA0">
        <w:t xml:space="preserve"> spôsobila výrazný prepad globálnych finančných trhov. Neskôr došlo </w:t>
      </w:r>
      <w:r w:rsidR="0068581E">
        <w:t>k </w:t>
      </w:r>
      <w:r w:rsidR="00FB3CA0">
        <w:t xml:space="preserve">čiastočnej kompenzácii týchto strát. Väčšina fondov </w:t>
      </w:r>
      <w:r w:rsidR="0068581E">
        <w:t>k </w:t>
      </w:r>
      <w:r w:rsidR="00FB3CA0">
        <w:t xml:space="preserve">júnu zaznamenala zápornú medziročnú výkonnosť (podielové fondy a fondy DDS </w:t>
      </w:r>
      <w:r w:rsidR="0068581E">
        <w:t>v </w:t>
      </w:r>
      <w:r w:rsidR="00FB3CA0">
        <w:t>priemere -</w:t>
      </w:r>
      <w:r w:rsidR="0068581E">
        <w:t>3 %</w:t>
      </w:r>
      <w:r w:rsidR="00FB3CA0">
        <w:t>, fondy DSS -</w:t>
      </w:r>
      <w:r w:rsidR="0068581E">
        <w:t>2 %</w:t>
      </w:r>
      <w:r w:rsidR="00FB3CA0">
        <w:t xml:space="preserve">). Najviac boli zasiahnuté fondy </w:t>
      </w:r>
      <w:r w:rsidR="0068581E">
        <w:t>s </w:t>
      </w:r>
      <w:r w:rsidR="00FB3CA0">
        <w:t xml:space="preserve">výraznejším podielom akciovej zložky. Napriek tomu, že straty niektorých fondov boli krátko po vypuknutí </w:t>
      </w:r>
      <w:proofErr w:type="spellStart"/>
      <w:r w:rsidR="00FB3CA0">
        <w:t>koronakrízy</w:t>
      </w:r>
      <w:proofErr w:type="spellEnd"/>
      <w:r w:rsidR="00FB3CA0">
        <w:t xml:space="preserve"> pomerne významné, výbery podielov </w:t>
      </w:r>
      <w:r w:rsidR="0068581E">
        <w:t>z </w:t>
      </w:r>
      <w:r w:rsidR="00FB3CA0">
        <w:t xml:space="preserve">podielových fondov boli </w:t>
      </w:r>
      <w:r w:rsidR="0068581E">
        <w:t>v </w:t>
      </w:r>
      <w:r w:rsidR="00FB3CA0">
        <w:t xml:space="preserve">porovnaní </w:t>
      </w:r>
      <w:r w:rsidR="0068581E">
        <w:t>s </w:t>
      </w:r>
      <w:r w:rsidR="00FB3CA0">
        <w:t xml:space="preserve">trhovými turbulenciami </w:t>
      </w:r>
      <w:r w:rsidR="0068581E">
        <w:t>v </w:t>
      </w:r>
      <w:r w:rsidR="00FB3CA0">
        <w:t>r.</w:t>
      </w:r>
      <w:r w:rsidR="00DB3742">
        <w:t> </w:t>
      </w:r>
      <w:r w:rsidR="00FB3CA0">
        <w:t xml:space="preserve"> 2008 výrazne nižšie. </w:t>
      </w:r>
    </w:p>
    <w:p w14:paraId="37A9544D" w14:textId="3C4D9DCE" w:rsidR="00FB3CA0" w:rsidRDefault="00FB3CA0" w:rsidP="00FB3CA0">
      <w:pPr>
        <w:spacing w:after="0"/>
      </w:pPr>
      <w:r>
        <w:rPr>
          <w:b/>
          <w:bCs/>
        </w:rPr>
        <w:lastRenderedPageBreak/>
        <w:t>Prvý polrok 2020 zároveň priniesol čiastočnú zmenu štruktúry portfólia fondov.</w:t>
      </w:r>
      <w:r>
        <w:t xml:space="preserve"> Pokles hodnoty akcií na finančných trhoch sa podpísal pod zníženie podielu akciovej zložky, ktoré bolo </w:t>
      </w:r>
      <w:r w:rsidR="0068581E">
        <w:t>v </w:t>
      </w:r>
      <w:r>
        <w:t xml:space="preserve">sektore fondov DDS zvýraznené aj odpredajom akciových titulov. Naopak, podielové fondy zaznamenali zvýšený záujem </w:t>
      </w:r>
      <w:r w:rsidR="0068581E">
        <w:t>o </w:t>
      </w:r>
      <w:r>
        <w:t xml:space="preserve">investície do akcií, a to aj </w:t>
      </w:r>
      <w:r w:rsidR="0068581E">
        <w:t>v </w:t>
      </w:r>
      <w:r>
        <w:t xml:space="preserve">čase turbulencií na akciových trhoch. </w:t>
      </w:r>
      <w:r w:rsidR="0068581E">
        <w:t>O </w:t>
      </w:r>
      <w:r>
        <w:t xml:space="preserve">rastové fondy bol zvýšený záujem aj </w:t>
      </w:r>
      <w:r w:rsidR="0068581E">
        <w:t>v </w:t>
      </w:r>
      <w:r>
        <w:t xml:space="preserve">sektore DDS. </w:t>
      </w:r>
      <w:r w:rsidR="0068581E">
        <w:t>V </w:t>
      </w:r>
      <w:r>
        <w:t xml:space="preserve">štruktúre portfólia zároveň rástol podiel dlhopisovej zložky portfólia, pričom okrem štátnych dlhopisov išlo aj </w:t>
      </w:r>
      <w:r w:rsidR="0068581E">
        <w:t>o </w:t>
      </w:r>
      <w:r>
        <w:t xml:space="preserve">dlhopisy podnikov a finančných spoločností. </w:t>
      </w:r>
    </w:p>
    <w:p w14:paraId="4F8C197F" w14:textId="4D7E8526" w:rsidR="00EC40C0" w:rsidRPr="00C70E80" w:rsidRDefault="00EC40C0" w:rsidP="005738CD"/>
    <w:p w14:paraId="2A49DC19" w14:textId="77777777" w:rsidR="00AD2534" w:rsidRPr="00C70E80" w:rsidRDefault="00AD2534" w:rsidP="006D4843">
      <w:pPr>
        <w:spacing w:line="0" w:lineRule="auto"/>
        <w:jc w:val="left"/>
      </w:pPr>
      <w:r w:rsidRPr="00C70E80">
        <w:br w:type="page"/>
      </w:r>
    </w:p>
    <w:p w14:paraId="1BB03600" w14:textId="5A883931" w:rsidR="00CD4FF2" w:rsidRPr="00C70E80" w:rsidRDefault="007A0DCF" w:rsidP="006D4843">
      <w:pPr>
        <w:pStyle w:val="Heading1"/>
      </w:pPr>
      <w:bookmarkStart w:id="7" w:name="_Toc43204204"/>
      <w:bookmarkStart w:id="8" w:name="_Toc52285629"/>
      <w:r w:rsidRPr="00C70E80">
        <w:lastRenderedPageBreak/>
        <w:t>Bankový sektor</w:t>
      </w:r>
      <w:bookmarkEnd w:id="7"/>
      <w:bookmarkEnd w:id="8"/>
    </w:p>
    <w:p w14:paraId="709A3892" w14:textId="350369EF" w:rsidR="007E6B8A" w:rsidRDefault="007A0DCF" w:rsidP="007A1EB1">
      <w:pPr>
        <w:pStyle w:val="Heading2"/>
      </w:pPr>
      <w:bookmarkStart w:id="9" w:name="_Toc43204205"/>
      <w:bookmarkStart w:id="10" w:name="_Toc52285630"/>
      <w:r w:rsidRPr="00C70E80">
        <w:t xml:space="preserve">Trendy a riziká </w:t>
      </w:r>
      <w:r w:rsidR="0068581E">
        <w:t>v </w:t>
      </w:r>
      <w:r w:rsidRPr="00C70E80">
        <w:t>sektore domácností</w:t>
      </w:r>
      <w:bookmarkEnd w:id="9"/>
      <w:bookmarkEnd w:id="10"/>
    </w:p>
    <w:p w14:paraId="3786102D" w14:textId="77777777" w:rsidR="007F3F37" w:rsidRDefault="007F3F37" w:rsidP="007F3F37">
      <w:pPr>
        <w:rPr>
          <w:rStyle w:val="ModrnadpisChar"/>
        </w:rPr>
      </w:pPr>
      <w:proofErr w:type="spellStart"/>
      <w:r w:rsidRPr="00231389">
        <w:rPr>
          <w:rStyle w:val="ModrnadpisChar"/>
        </w:rPr>
        <w:t>Koronakríza</w:t>
      </w:r>
      <w:proofErr w:type="spellEnd"/>
      <w:r w:rsidRPr="00231389">
        <w:rPr>
          <w:rStyle w:val="ModrnadpisChar"/>
        </w:rPr>
        <w:t xml:space="preserve"> sa podpísala pod spomalenie rastu úverov domácnostiam</w:t>
      </w:r>
    </w:p>
    <w:p w14:paraId="4CCB449D" w14:textId="63E15764" w:rsidR="007F3F37" w:rsidRDefault="007F3F37" w:rsidP="007F3F37">
      <w:r w:rsidRPr="00231389">
        <w:rPr>
          <w:b/>
          <w:bCs/>
        </w:rPr>
        <w:t>Rast úverov domácnostiam spomalil zo 7,</w:t>
      </w:r>
      <w:r w:rsidR="0068581E">
        <w:rPr>
          <w:b/>
          <w:bCs/>
        </w:rPr>
        <w:t>9 %</w:t>
      </w:r>
      <w:r w:rsidRPr="00231389">
        <w:rPr>
          <w:b/>
          <w:bCs/>
        </w:rPr>
        <w:t xml:space="preserve"> </w:t>
      </w:r>
      <w:r w:rsidR="0068581E">
        <w:rPr>
          <w:b/>
          <w:bCs/>
        </w:rPr>
        <w:t>v </w:t>
      </w:r>
      <w:r w:rsidRPr="00231389">
        <w:rPr>
          <w:b/>
          <w:bCs/>
        </w:rPr>
        <w:t>decembri 2019 na 6,</w:t>
      </w:r>
      <w:r w:rsidR="0068581E">
        <w:rPr>
          <w:b/>
          <w:bCs/>
        </w:rPr>
        <w:t>8 %</w:t>
      </w:r>
      <w:r w:rsidRPr="00231389">
        <w:rPr>
          <w:b/>
          <w:bCs/>
        </w:rPr>
        <w:t xml:space="preserve"> </w:t>
      </w:r>
      <w:r w:rsidR="0068581E">
        <w:rPr>
          <w:b/>
          <w:bCs/>
        </w:rPr>
        <w:t>v </w:t>
      </w:r>
      <w:r w:rsidRPr="00231389">
        <w:rPr>
          <w:b/>
          <w:bCs/>
        </w:rPr>
        <w:t>júli 2020.</w:t>
      </w:r>
      <w:r>
        <w:t xml:space="preserve"> </w:t>
      </w:r>
      <w:r w:rsidR="0068581E">
        <w:t>V </w:t>
      </w:r>
      <w:r>
        <w:t xml:space="preserve">tomto období </w:t>
      </w:r>
      <w:r w:rsidR="0068581E">
        <w:t>v </w:t>
      </w:r>
      <w:r>
        <w:t>pribudlo 1,</w:t>
      </w:r>
      <w:r w:rsidR="0068581E">
        <w:t>3 mld. €</w:t>
      </w:r>
      <w:r>
        <w:t xml:space="preserve"> úverov domácnostiam, čo je </w:t>
      </w:r>
      <w:r w:rsidR="0068581E">
        <w:t>o </w:t>
      </w:r>
      <w:r>
        <w:t>2</w:t>
      </w:r>
      <w:r w:rsidR="0068581E">
        <w:t>0 %</w:t>
      </w:r>
      <w:r>
        <w:t xml:space="preserve"> menej ako </w:t>
      </w:r>
      <w:r w:rsidR="0068581E">
        <w:t>v </w:t>
      </w:r>
      <w:r>
        <w:t>rovnakom období predchádzajúceho roka</w:t>
      </w:r>
      <w:r w:rsidRPr="008F40AB">
        <w:t>.</w:t>
      </w:r>
      <w:r>
        <w:rPr>
          <w:b/>
          <w:bCs/>
        </w:rPr>
        <w:t xml:space="preserve"> </w:t>
      </w:r>
      <w:r w:rsidR="004A0BF2">
        <w:t>Aj keď</w:t>
      </w:r>
      <w:r>
        <w:t xml:space="preserve"> </w:t>
      </w:r>
      <w:proofErr w:type="spellStart"/>
      <w:r>
        <w:t>koronakríza</w:t>
      </w:r>
      <w:proofErr w:type="spellEnd"/>
      <w:r>
        <w:t xml:space="preserve"> zasiahla všetky európske krajiny, Slovensko si stále udržalo štvrtý najrýchlejší rast úverov domácnostiam </w:t>
      </w:r>
      <w:r w:rsidR="0068581E">
        <w:t>v </w:t>
      </w:r>
      <w:r>
        <w:t>EÚ.</w:t>
      </w:r>
    </w:p>
    <w:p w14:paraId="2D1429DB" w14:textId="5B553E5D" w:rsidR="007F3F37" w:rsidRDefault="007F3F37" w:rsidP="007F3F37">
      <w:r>
        <w:rPr>
          <w:b/>
          <w:bCs/>
        </w:rPr>
        <w:t>Miera s</w:t>
      </w:r>
      <w:r w:rsidRPr="00BB68F2">
        <w:rPr>
          <w:b/>
          <w:bCs/>
        </w:rPr>
        <w:t>pomaleni</w:t>
      </w:r>
      <w:r>
        <w:rPr>
          <w:b/>
          <w:bCs/>
        </w:rPr>
        <w:t>a</w:t>
      </w:r>
      <w:r w:rsidRPr="00BB68F2">
        <w:rPr>
          <w:b/>
          <w:bCs/>
        </w:rPr>
        <w:t xml:space="preserve"> rastu úverov len čiastočne odr</w:t>
      </w:r>
      <w:r>
        <w:rPr>
          <w:b/>
          <w:bCs/>
        </w:rPr>
        <w:t>ážala negatívny</w:t>
      </w:r>
      <w:r w:rsidRPr="00BB68F2">
        <w:rPr>
          <w:b/>
          <w:bCs/>
        </w:rPr>
        <w:t xml:space="preserve"> vývoj </w:t>
      </w:r>
      <w:r w:rsidR="0068581E">
        <w:rPr>
          <w:b/>
          <w:bCs/>
        </w:rPr>
        <w:t>v </w:t>
      </w:r>
      <w:r w:rsidRPr="00BB68F2">
        <w:rPr>
          <w:b/>
          <w:bCs/>
        </w:rPr>
        <w:t>ekonomike</w:t>
      </w:r>
      <w:r w:rsidRPr="00BB68F2">
        <w:t>. Situácia na trhu práce sa zhorš</w:t>
      </w:r>
      <w:r>
        <w:t>ovala</w:t>
      </w:r>
      <w:r w:rsidRPr="00BB68F2">
        <w:t xml:space="preserve"> tak </w:t>
      </w:r>
      <w:r w:rsidR="0068581E">
        <w:t>v </w:t>
      </w:r>
      <w:r w:rsidRPr="00BB68F2">
        <w:t xml:space="preserve">miere nezamestnanosti, ako aj </w:t>
      </w:r>
      <w:r w:rsidR="008F2196">
        <w:t xml:space="preserve">v </w:t>
      </w:r>
      <w:r>
        <w:t xml:space="preserve">mzdách. Prvotné negatívne prognózy dosahu pandémie sa však už postupne zmierňujú. </w:t>
      </w:r>
      <w:r w:rsidR="0068581E">
        <w:t>K </w:t>
      </w:r>
      <w:r>
        <w:t xml:space="preserve">relatívne stabilnej situácii na úverovom trhu prispievali aj viaceré štátne opatrenia, či už odklady splátok úverov, podpora zachovania zamestnanosti alebo rozšírenie rozličných sociálnych dávok na väčšie skupiny obyvateľstva. </w:t>
      </w:r>
    </w:p>
    <w:p w14:paraId="799682D5" w14:textId="19937E29" w:rsidR="007F3F37" w:rsidRDefault="007F3F37" w:rsidP="007F3F37">
      <w:r w:rsidRPr="00BB68F2">
        <w:t>Na t</w:t>
      </w:r>
      <w:r>
        <w:t>r</w:t>
      </w:r>
      <w:r w:rsidRPr="00BB68F2">
        <w:t xml:space="preserve">hu úverov </w:t>
      </w:r>
      <w:r>
        <w:t xml:space="preserve">domácnostiam </w:t>
      </w:r>
      <w:r w:rsidRPr="00BB68F2">
        <w:t xml:space="preserve">sa </w:t>
      </w:r>
      <w:r>
        <w:t xml:space="preserve">prvotný šok </w:t>
      </w:r>
      <w:r w:rsidR="0068581E">
        <w:t>z </w:t>
      </w:r>
      <w:r>
        <w:t xml:space="preserve">pandémie prejavil najmä nárazovým </w:t>
      </w:r>
      <w:r w:rsidRPr="00BB68F2">
        <w:t>znížením spotrebného financovania</w:t>
      </w:r>
      <w:r>
        <w:t xml:space="preserve">, ktoré sa však postupne zmierňovalo. </w:t>
      </w:r>
      <w:r w:rsidRPr="00513595">
        <w:t xml:space="preserve">Naopak, zmeny vo financovaní bývania boli </w:t>
      </w:r>
      <w:r>
        <w:t>menej výrazné</w:t>
      </w:r>
      <w:r w:rsidR="00734F58">
        <w:t xml:space="preserve"> aj vďaka tomu, že vplyv </w:t>
      </w:r>
      <w:proofErr w:type="spellStart"/>
      <w:r w:rsidR="00734F58">
        <w:t>koronakrízy</w:t>
      </w:r>
      <w:proofErr w:type="spellEnd"/>
      <w:r w:rsidR="00734F58">
        <w:t xml:space="preserve"> sa na realitnom trhu zatiaľ neprejavil.</w:t>
      </w:r>
    </w:p>
    <w:p w14:paraId="1E262223" w14:textId="0E5416DC" w:rsidR="007F3F37" w:rsidRDefault="007F3F37" w:rsidP="007F3F37">
      <w:r w:rsidRPr="00517187">
        <w:rPr>
          <w:b/>
          <w:bCs/>
        </w:rPr>
        <w:t>D</w:t>
      </w:r>
      <w:r>
        <w:rPr>
          <w:b/>
          <w:bCs/>
        </w:rPr>
        <w:t>osah</w:t>
      </w:r>
      <w:r w:rsidRPr="00517187">
        <w:rPr>
          <w:b/>
          <w:bCs/>
        </w:rPr>
        <w:t xml:space="preserve"> </w:t>
      </w:r>
      <w:proofErr w:type="spellStart"/>
      <w:r w:rsidRPr="00517187">
        <w:rPr>
          <w:b/>
          <w:bCs/>
        </w:rPr>
        <w:t>koronakrízy</w:t>
      </w:r>
      <w:proofErr w:type="spellEnd"/>
      <w:r w:rsidRPr="00517187">
        <w:rPr>
          <w:b/>
          <w:bCs/>
        </w:rPr>
        <w:t xml:space="preserve"> na </w:t>
      </w:r>
      <w:r>
        <w:rPr>
          <w:b/>
          <w:bCs/>
        </w:rPr>
        <w:t>trh</w:t>
      </w:r>
      <w:r w:rsidRPr="00517187">
        <w:rPr>
          <w:b/>
          <w:bCs/>
        </w:rPr>
        <w:t xml:space="preserve"> nehnuteľností je nejasný</w:t>
      </w:r>
      <w:r>
        <w:rPr>
          <w:b/>
          <w:bCs/>
        </w:rPr>
        <w:t xml:space="preserve">, </w:t>
      </w:r>
      <w:r w:rsidR="0068581E">
        <w:rPr>
          <w:b/>
          <w:bCs/>
        </w:rPr>
        <w:t>s </w:t>
      </w:r>
      <w:r>
        <w:rPr>
          <w:b/>
          <w:bCs/>
        </w:rPr>
        <w:t>náznakmi zmien vývoja</w:t>
      </w:r>
      <w:r w:rsidRPr="00517187">
        <w:rPr>
          <w:b/>
          <w:bCs/>
        </w:rPr>
        <w:t>.</w:t>
      </w:r>
      <w:r>
        <w:t xml:space="preserve"> </w:t>
      </w:r>
      <w:r w:rsidRPr="00517187">
        <w:t xml:space="preserve">Medziročné tempo rastu cien </w:t>
      </w:r>
      <w:r>
        <w:t xml:space="preserve">bytov na Slovensku </w:t>
      </w:r>
      <w:r w:rsidR="0068581E">
        <w:t>v </w:t>
      </w:r>
      <w:r w:rsidRPr="00517187">
        <w:t>€</w:t>
      </w:r>
      <w:r>
        <w:t>/</w:t>
      </w:r>
      <w:r w:rsidRPr="00517187">
        <w:t>m</w:t>
      </w:r>
      <w:r w:rsidRPr="00517187">
        <w:rPr>
          <w:vertAlign w:val="superscript"/>
        </w:rPr>
        <w:t>2</w:t>
      </w:r>
      <w:r w:rsidRPr="00517187">
        <w:t xml:space="preserve"> spomalilo</w:t>
      </w:r>
      <w:r>
        <w:t xml:space="preserve"> len mierne na 9,</w:t>
      </w:r>
      <w:r w:rsidR="0068581E">
        <w:t>6 %</w:t>
      </w:r>
      <w:r>
        <w:t xml:space="preserve"> </w:t>
      </w:r>
      <w:r w:rsidR="0068581E">
        <w:t>k </w:t>
      </w:r>
      <w:r>
        <w:t>júlu 2020. Vo viacerých regiónoch je ale možné vidieť</w:t>
      </w:r>
      <w:r w:rsidR="00667E78">
        <w:t xml:space="preserve"> vyšší</w:t>
      </w:r>
      <w:r>
        <w:t xml:space="preserve"> dopyt po menších bytoch</w:t>
      </w:r>
      <w:r w:rsidRPr="00513595">
        <w:t>,</w:t>
      </w:r>
      <w:r>
        <w:t xml:space="preserve"> čo môže znamenať kompenzáciu </w:t>
      </w:r>
      <w:r w:rsidRPr="00513595">
        <w:t>rast</w:t>
      </w:r>
      <w:r>
        <w:t>u</w:t>
      </w:r>
      <w:r w:rsidRPr="00513595">
        <w:t xml:space="preserve"> c</w:t>
      </w:r>
      <w:r>
        <w:t xml:space="preserve">ien </w:t>
      </w:r>
      <w:r w:rsidRPr="00513595">
        <w:t>za m</w:t>
      </w:r>
      <w:r w:rsidRPr="00513595">
        <w:rPr>
          <w:vertAlign w:val="superscript"/>
        </w:rPr>
        <w:t>2</w:t>
      </w:r>
      <w:r>
        <w:t>.</w:t>
      </w:r>
      <w:r w:rsidRPr="00513595">
        <w:t xml:space="preserve"> </w:t>
      </w:r>
      <w:r>
        <w:t xml:space="preserve">Napríklad </w:t>
      </w:r>
      <w:r w:rsidR="0068581E">
        <w:t>v </w:t>
      </w:r>
      <w:r>
        <w:t xml:space="preserve">Bratislave, Žiline a Trnave sa </w:t>
      </w:r>
      <w:r w:rsidR="0068581E">
        <w:t>v </w:t>
      </w:r>
      <w:r>
        <w:t xml:space="preserve">období jún až august 2020 predávali až </w:t>
      </w:r>
      <w:r w:rsidR="0068581E">
        <w:t>o </w:t>
      </w:r>
      <w:r>
        <w:t>1</w:t>
      </w:r>
      <w:r w:rsidR="0068581E">
        <w:t>0 %</w:t>
      </w:r>
      <w:r w:rsidR="00667E78">
        <w:t xml:space="preserve"> viac</w:t>
      </w:r>
      <w:r>
        <w:t xml:space="preserve"> menšie byty než </w:t>
      </w:r>
      <w:r w:rsidR="0068581E">
        <w:t>v </w:t>
      </w:r>
      <w:r>
        <w:t xml:space="preserve">rovnakom období roka 2019. </w:t>
      </w:r>
      <w:r w:rsidR="0068581E">
        <w:t>V </w:t>
      </w:r>
      <w:r>
        <w:t>prvých dvoch menovaných mestách dokonca stagnovala aj celková kúpna cena za byt.</w:t>
      </w:r>
    </w:p>
    <w:p w14:paraId="37F85CD3" w14:textId="4A4C292A" w:rsidR="007F3F37" w:rsidRDefault="00045122" w:rsidP="007F3F37">
      <w:r w:rsidRPr="005A3FC9">
        <w:rPr>
          <w:b/>
          <w:bCs/>
        </w:rPr>
        <w:t>Vo viacerých regiónoch je možné pozorovať</w:t>
      </w:r>
      <w:r w:rsidR="00CA269E">
        <w:rPr>
          <w:b/>
          <w:bCs/>
        </w:rPr>
        <w:t xml:space="preserve"> náznaky</w:t>
      </w:r>
      <w:r w:rsidRPr="005A3FC9">
        <w:rPr>
          <w:b/>
          <w:bCs/>
        </w:rPr>
        <w:t xml:space="preserve"> </w:t>
      </w:r>
      <w:r w:rsidR="00CA269E">
        <w:rPr>
          <w:b/>
          <w:bCs/>
        </w:rPr>
        <w:t xml:space="preserve">zníženia dopytu a intenzívnejšej ponuky bytov. </w:t>
      </w:r>
      <w:r w:rsidR="00CA269E" w:rsidRPr="00CA269E">
        <w:t>Počet predajov bytov sa medzi obdobiami január až máj 2020 a jún až august 2020 znížil približne</w:t>
      </w:r>
      <w:r w:rsidR="00CA269E">
        <w:t xml:space="preserve"> </w:t>
      </w:r>
      <w:r w:rsidR="0068581E">
        <w:t>o </w:t>
      </w:r>
      <w:r w:rsidR="00CA269E">
        <w:t xml:space="preserve">jednu štvrtinu, počet inzerátov </w:t>
      </w:r>
      <w:r w:rsidR="0068581E">
        <w:t>v </w:t>
      </w:r>
      <w:r w:rsidR="00CA269E">
        <w:t xml:space="preserve">ponuke naopak </w:t>
      </w:r>
      <w:r w:rsidR="0068581E">
        <w:t>v </w:t>
      </w:r>
      <w:r w:rsidR="00CA269E">
        <w:t xml:space="preserve">tomto období narástol </w:t>
      </w:r>
      <w:r w:rsidR="0068581E">
        <w:t>o </w:t>
      </w:r>
      <w:r w:rsidR="00CA269E">
        <w:t xml:space="preserve">viac ako jednu tretinu. </w:t>
      </w:r>
      <w:r w:rsidR="00215D5F">
        <w:t xml:space="preserve">Aj keď tieto dva trendy sa </w:t>
      </w:r>
      <w:r w:rsidR="00CA269E">
        <w:t xml:space="preserve">navzájom </w:t>
      </w:r>
      <w:r w:rsidR="00215D5F">
        <w:t xml:space="preserve">čiastočne vysvetľujú, počet bytov, </w:t>
      </w:r>
      <w:r w:rsidR="0068581E">
        <w:t>o </w:t>
      </w:r>
      <w:r w:rsidR="00215D5F">
        <w:t>ktoré narástla ponuka</w:t>
      </w:r>
      <w:r w:rsidR="005734B6">
        <w:t>,</w:t>
      </w:r>
      <w:r w:rsidR="00215D5F">
        <w:t xml:space="preserve"> je </w:t>
      </w:r>
      <w:r w:rsidR="00CA269E">
        <w:t>rádovo</w:t>
      </w:r>
      <w:r w:rsidR="00215D5F">
        <w:t xml:space="preserve"> väčší, než </w:t>
      </w:r>
      <w:r w:rsidR="00CA269E">
        <w:t>úbytok ich predaja</w:t>
      </w:r>
      <w:r w:rsidR="00215D5F">
        <w:t xml:space="preserve">. </w:t>
      </w:r>
      <w:r w:rsidR="0068581E">
        <w:t>V </w:t>
      </w:r>
      <w:r w:rsidR="002E384C">
        <w:t xml:space="preserve">prípade rodinných domov sa počet predajov zachoval, no tiež došlo </w:t>
      </w:r>
      <w:r w:rsidR="0068581E">
        <w:t>k </w:t>
      </w:r>
      <w:r w:rsidR="002E384C">
        <w:t xml:space="preserve">miernemu nárastu ponuky. </w:t>
      </w:r>
    </w:p>
    <w:p w14:paraId="06A76014" w14:textId="77777777" w:rsidR="007F3F37" w:rsidRPr="008D691A" w:rsidRDefault="007F3F37" w:rsidP="007F3F37">
      <w:pPr>
        <w:pStyle w:val="Modrnadpis"/>
      </w:pPr>
      <w:r w:rsidRPr="00231389">
        <w:t>Úvery na bývanie boli zatiaľ zasiahnuté len mierne</w:t>
      </w:r>
    </w:p>
    <w:p w14:paraId="5E1D8D92" w14:textId="238CE80D" w:rsidR="007F3F37" w:rsidRDefault="007F3F37" w:rsidP="007F3F37">
      <w:r w:rsidRPr="00231389">
        <w:rPr>
          <w:b/>
          <w:bCs/>
        </w:rPr>
        <w:t>Počas prvých siedm</w:t>
      </w:r>
      <w:r w:rsidR="005734B6">
        <w:rPr>
          <w:b/>
          <w:bCs/>
        </w:rPr>
        <w:t>i</w:t>
      </w:r>
      <w:r w:rsidRPr="00231389">
        <w:rPr>
          <w:b/>
          <w:bCs/>
        </w:rPr>
        <w:t xml:space="preserve">ch mesiacov roka 2020 sa medziročné tempo rastu </w:t>
      </w:r>
      <w:r>
        <w:rPr>
          <w:b/>
          <w:bCs/>
        </w:rPr>
        <w:t xml:space="preserve">úverov na bývanie </w:t>
      </w:r>
      <w:r w:rsidRPr="00231389">
        <w:rPr>
          <w:b/>
          <w:bCs/>
        </w:rPr>
        <w:t xml:space="preserve">spomalilo </w:t>
      </w:r>
      <w:r w:rsidR="0068581E">
        <w:rPr>
          <w:b/>
          <w:bCs/>
        </w:rPr>
        <w:t>z </w:t>
      </w:r>
      <w:r w:rsidRPr="00231389">
        <w:rPr>
          <w:b/>
          <w:bCs/>
        </w:rPr>
        <w:t>10,</w:t>
      </w:r>
      <w:r w:rsidR="0068581E">
        <w:rPr>
          <w:b/>
          <w:bCs/>
        </w:rPr>
        <w:t>0 %</w:t>
      </w:r>
      <w:r w:rsidRPr="00231389">
        <w:rPr>
          <w:b/>
          <w:bCs/>
        </w:rPr>
        <w:t xml:space="preserve"> na 9,</w:t>
      </w:r>
      <w:r w:rsidR="0068581E">
        <w:rPr>
          <w:b/>
          <w:bCs/>
        </w:rPr>
        <w:t>4 %</w:t>
      </w:r>
      <w:r w:rsidRPr="00231389">
        <w:rPr>
          <w:b/>
          <w:bCs/>
        </w:rPr>
        <w:t>.</w:t>
      </w:r>
      <w:r>
        <w:t xml:space="preserve"> </w:t>
      </w:r>
      <w:r w:rsidR="0068581E">
        <w:t>V </w:t>
      </w:r>
      <w:r>
        <w:t xml:space="preserve">tomto období pribudlo </w:t>
      </w:r>
      <w:r w:rsidR="0068581E">
        <w:t>v </w:t>
      </w:r>
      <w:r>
        <w:t>sektore 1,</w:t>
      </w:r>
      <w:r w:rsidR="0068581E">
        <w:t>7 mld. €</w:t>
      </w:r>
      <w:r>
        <w:t xml:space="preserve">, čo je rovnako ako </w:t>
      </w:r>
      <w:r w:rsidR="0068581E">
        <w:t>v </w:t>
      </w:r>
      <w:r>
        <w:t>roku 2019.</w:t>
      </w:r>
    </w:p>
    <w:p w14:paraId="2ECCFD9F" w14:textId="45A1109A" w:rsidR="007F3F37" w:rsidRDefault="007F3F37" w:rsidP="007F3F37">
      <w:r>
        <w:lastRenderedPageBreak/>
        <w:t xml:space="preserve">Prvé mesiace roka 2020 boli </w:t>
      </w:r>
      <w:r w:rsidR="0068581E">
        <w:t>v </w:t>
      </w:r>
      <w:r>
        <w:t xml:space="preserve">raste úverov na bývanie pomerne silné, keď dobiehal vplyv dvoch určujúcich faktorov. Prvým bol pokles úrokových sadzieb </w:t>
      </w:r>
      <w:r w:rsidR="0068581E">
        <w:t>z </w:t>
      </w:r>
      <w:r>
        <w:t xml:space="preserve">jesene 2019, ktorý prispel tak </w:t>
      </w:r>
      <w:r w:rsidR="0068581E">
        <w:t>k </w:t>
      </w:r>
      <w:r>
        <w:t xml:space="preserve">samotnému dopytu po úveroch, ako aj </w:t>
      </w:r>
      <w:r w:rsidR="0068581E">
        <w:t>k </w:t>
      </w:r>
      <w:r>
        <w:t xml:space="preserve">možnosti zvýšenia celkovej zadlženosti pri zachovaní výšky splátok. Druhým faktorom bol záujem </w:t>
      </w:r>
      <w:r w:rsidR="0068581E">
        <w:t>o </w:t>
      </w:r>
      <w:r>
        <w:t>uzatvoreni</w:t>
      </w:r>
      <w:r w:rsidR="00616BA7">
        <w:t>e</w:t>
      </w:r>
      <w:r>
        <w:t xml:space="preserve"> zmlúv podľa voľnejších podmienok pre ukazovateľ schopnosti splácať. Od začiatku roka 2020 sa tento ukazovateľ postupne začal sprísňovať. </w:t>
      </w:r>
    </w:p>
    <w:p w14:paraId="04D0EC14" w14:textId="03478AD1" w:rsidR="00667E78" w:rsidRDefault="007F3F37" w:rsidP="00667E78">
      <w:proofErr w:type="spellStart"/>
      <w:r w:rsidRPr="008D691A">
        <w:rPr>
          <w:b/>
          <w:bCs/>
        </w:rPr>
        <w:t>Koronakríza</w:t>
      </w:r>
      <w:proofErr w:type="spellEnd"/>
      <w:r w:rsidRPr="008D691A">
        <w:rPr>
          <w:b/>
          <w:bCs/>
        </w:rPr>
        <w:t xml:space="preserve"> zasia</w:t>
      </w:r>
      <w:r>
        <w:rPr>
          <w:b/>
          <w:bCs/>
        </w:rPr>
        <w:t>h</w:t>
      </w:r>
      <w:r w:rsidRPr="008D691A">
        <w:rPr>
          <w:b/>
          <w:bCs/>
        </w:rPr>
        <w:t xml:space="preserve">la úvery na bývanie najmä </w:t>
      </w:r>
      <w:r w:rsidR="0068581E">
        <w:rPr>
          <w:b/>
          <w:bCs/>
        </w:rPr>
        <w:t>v </w:t>
      </w:r>
      <w:r w:rsidRPr="008D691A">
        <w:rPr>
          <w:b/>
          <w:bCs/>
        </w:rPr>
        <w:t xml:space="preserve">apríli a máji. </w:t>
      </w:r>
      <w:r>
        <w:t xml:space="preserve">Hoci tradične ide </w:t>
      </w:r>
      <w:r w:rsidR="0068581E">
        <w:t>o </w:t>
      </w:r>
      <w:r>
        <w:t xml:space="preserve">relatívne silné mesiace, </w:t>
      </w:r>
      <w:r w:rsidR="0068581E">
        <w:t>v </w:t>
      </w:r>
      <w:r>
        <w:t xml:space="preserve">roku 2020 sa mesačný prírastok stavu úverov spomalil </w:t>
      </w:r>
      <w:r w:rsidR="0068581E">
        <w:t>o </w:t>
      </w:r>
      <w:r>
        <w:t>1</w:t>
      </w:r>
      <w:r w:rsidR="0068581E">
        <w:t>5 %</w:t>
      </w:r>
      <w:r>
        <w:t>, resp. 3</w:t>
      </w:r>
      <w:r w:rsidR="0068581E">
        <w:t>0 %</w:t>
      </w:r>
      <w:r>
        <w:t xml:space="preserve"> </w:t>
      </w:r>
      <w:r w:rsidR="0068581E">
        <w:t>v </w:t>
      </w:r>
      <w:r>
        <w:t xml:space="preserve">porovnaní </w:t>
      </w:r>
      <w:r w:rsidR="0068581E">
        <w:t>s </w:t>
      </w:r>
      <w:r>
        <w:t xml:space="preserve">priemerom predchádzajúcich troch rokov. Následne, </w:t>
      </w:r>
      <w:r w:rsidR="0068581E">
        <w:t>v </w:t>
      </w:r>
      <w:r>
        <w:t xml:space="preserve">júni a júli, bolo možné pozorovať korekciu smerom nahor, ktorá však zatiaľ nestačila na vyrovnanie výpadku </w:t>
      </w:r>
      <w:r w:rsidR="0068581E">
        <w:t>z </w:t>
      </w:r>
      <w:r>
        <w:t xml:space="preserve">jarných mesiacov. Na druhej strane, je prirodzené, že postupné oživovanie úverovej aktivity na trhu sa neprejaví nárastom úverov hneď </w:t>
      </w:r>
      <w:r w:rsidR="0068581E">
        <w:t>v </w:t>
      </w:r>
      <w:r>
        <w:t xml:space="preserve">danom mesiaci, ale až </w:t>
      </w:r>
      <w:r w:rsidR="0068581E">
        <w:t>s </w:t>
      </w:r>
      <w:r>
        <w:t>miernym oneskorením</w:t>
      </w:r>
      <w:r w:rsidR="00136101">
        <w:t>,</w:t>
      </w:r>
      <w:r>
        <w:t xml:space="preserve"> a to kvôli istému trvaniu procesov poskytnutia úverov. Preto pre posúdenie miery utlmenia či oživovania trhu úverov budú dôležité aj nasledujúce mesiace.</w:t>
      </w:r>
      <w:r w:rsidR="00667E78" w:rsidRPr="00667E78">
        <w:t xml:space="preserve"> </w:t>
      </w:r>
    </w:p>
    <w:p w14:paraId="5B9C1AFD" w14:textId="74BCCD59" w:rsidR="00667E78" w:rsidRDefault="00667E78" w:rsidP="00667E78">
      <w:r w:rsidRPr="00456AEC">
        <w:t xml:space="preserve">Výsledný </w:t>
      </w:r>
      <w:r>
        <w:t xml:space="preserve">prírastok stavu úverov </w:t>
      </w:r>
      <w:r w:rsidR="0068581E">
        <w:t>v </w:t>
      </w:r>
      <w:r>
        <w:t xml:space="preserve">druhom štvrťroku 2020 bol </w:t>
      </w:r>
      <w:r w:rsidR="0068581E">
        <w:t>o </w:t>
      </w:r>
      <w:r>
        <w:t>2</w:t>
      </w:r>
      <w:r w:rsidR="0068581E">
        <w:t>5 %</w:t>
      </w:r>
      <w:r>
        <w:t xml:space="preserve"> nižší než </w:t>
      </w:r>
      <w:r w:rsidR="0068581E">
        <w:t>v </w:t>
      </w:r>
      <w:r>
        <w:t xml:space="preserve">predchádzajúcom roku. Pre porovnanie, objem čisto nových úverov </w:t>
      </w:r>
      <w:r w:rsidR="0068581E">
        <w:t>v </w:t>
      </w:r>
      <w:r>
        <w:t xml:space="preserve">danom štvrťroku medziročne poklesol </w:t>
      </w:r>
      <w:r w:rsidR="0068581E">
        <w:t>o 9 %</w:t>
      </w:r>
      <w:r>
        <w:t xml:space="preserve">, objem refinancovania </w:t>
      </w:r>
      <w:r w:rsidR="0068581E">
        <w:t>s </w:t>
      </w:r>
      <w:r>
        <w:t xml:space="preserve">navýšením </w:t>
      </w:r>
      <w:r w:rsidR="0068581E">
        <w:t>o </w:t>
      </w:r>
      <w:r>
        <w:t>1</w:t>
      </w:r>
      <w:r w:rsidR="0068581E">
        <w:t>1 %</w:t>
      </w:r>
      <w:r>
        <w:rPr>
          <w:rStyle w:val="FootnoteReference"/>
        </w:rPr>
        <w:footnoteReference w:id="1"/>
      </w:r>
      <w:r>
        <w:t xml:space="preserve">. </w:t>
      </w:r>
    </w:p>
    <w:p w14:paraId="3E6DEB52" w14:textId="7BD39955" w:rsidR="007F3F37" w:rsidRDefault="007F3F37" w:rsidP="007A1EB1">
      <w:pPr>
        <w:pStyle w:val="Nadpisgrafu"/>
      </w:pPr>
      <w:r w:rsidRPr="002264FC">
        <w:t>Graf</w:t>
      </w:r>
      <w:r>
        <w:t xml:space="preserve"> </w:t>
      </w:r>
      <w:fldSimple w:instr=" SEQ Graf \* ARABIC ">
        <w:r w:rsidR="00A02A40">
          <w:rPr>
            <w:noProof/>
          </w:rPr>
          <w:t>1</w:t>
        </w:r>
      </w:fldSimple>
      <w:r>
        <w:t xml:space="preserve"> Jarné mesiace boli najviac poznačené </w:t>
      </w:r>
      <w:proofErr w:type="spellStart"/>
      <w:r>
        <w:t>koronakrízou</w:t>
      </w:r>
      <w:proofErr w:type="spellEnd"/>
    </w:p>
    <w:p w14:paraId="19E9815B" w14:textId="77777777" w:rsidR="007F3F37" w:rsidRPr="002264FC" w:rsidRDefault="007F3F37" w:rsidP="007A1EB1">
      <w:pPr>
        <w:pStyle w:val="Podnadpisgrafu"/>
      </w:pPr>
      <w:r>
        <w:t>Medzimesačný prírastok úverov na bývanie (mil. EUR)</w:t>
      </w:r>
    </w:p>
    <w:p w14:paraId="2E144E5C" w14:textId="77777777" w:rsidR="007F3F37" w:rsidRDefault="007F3F37" w:rsidP="007F3F37">
      <w:pPr>
        <w:pStyle w:val="Podgrafom"/>
      </w:pPr>
      <w:r>
        <w:rPr>
          <w:noProof/>
        </w:rPr>
        <w:drawing>
          <wp:inline distT="0" distB="0" distL="0" distR="0" wp14:anchorId="78F8EBAF" wp14:editId="789446B9">
            <wp:extent cx="4639945" cy="2329732"/>
            <wp:effectExtent l="0" t="0" r="8255" b="0"/>
            <wp:docPr id="6" name="Chart 6">
              <a:extLst xmlns:a="http://schemas.openxmlformats.org/drawingml/2006/main">
                <a:ext uri="{FF2B5EF4-FFF2-40B4-BE49-F238E27FC236}">
                  <a16:creationId xmlns:a16="http://schemas.microsoft.com/office/drawing/2014/main" id="{93E101BC-3799-4EFE-93F7-FAA7EB24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t xml:space="preserve"> </w:t>
      </w:r>
    </w:p>
    <w:p w14:paraId="14B3325C" w14:textId="77777777" w:rsidR="00BB3CB7" w:rsidRDefault="00BB3CB7" w:rsidP="007F3F37">
      <w:pPr>
        <w:pStyle w:val="Podgrafom"/>
      </w:pPr>
    </w:p>
    <w:p w14:paraId="5C0EF224" w14:textId="481BBA5E" w:rsidR="007F3F37" w:rsidRPr="00191251" w:rsidRDefault="007F3F37" w:rsidP="007F3F37">
      <w:pPr>
        <w:pStyle w:val="Podgrafom"/>
      </w:pPr>
      <w:r>
        <w:t>Zdroj: NBS</w:t>
      </w:r>
    </w:p>
    <w:p w14:paraId="446C3D4C" w14:textId="77777777" w:rsidR="007F3F37" w:rsidRDefault="007F3F37" w:rsidP="007F3F37">
      <w:pPr>
        <w:pStyle w:val="Podgrafom"/>
        <w:rPr>
          <w:b/>
          <w:bCs/>
        </w:rPr>
      </w:pPr>
    </w:p>
    <w:p w14:paraId="321BAEA6" w14:textId="5B64071C" w:rsidR="007F3F37" w:rsidRDefault="007F3F37" w:rsidP="007F3F37">
      <w:r w:rsidRPr="00667E78">
        <w:rPr>
          <w:b/>
          <w:bCs/>
        </w:rPr>
        <w:t>Odklady splátok sa do konca júna týkali takmer 53</w:t>
      </w:r>
      <w:r w:rsidR="003B714A">
        <w:rPr>
          <w:b/>
          <w:bCs/>
        </w:rPr>
        <w:t>-</w:t>
      </w:r>
      <w:r w:rsidRPr="00667E78">
        <w:rPr>
          <w:b/>
          <w:bCs/>
        </w:rPr>
        <w:t>tisíc úverov na bývanie, čo reprezentovalo vyše 1</w:t>
      </w:r>
      <w:r w:rsidR="0068581E">
        <w:rPr>
          <w:b/>
          <w:bCs/>
        </w:rPr>
        <w:t>0 %</w:t>
      </w:r>
      <w:r w:rsidRPr="00667E78">
        <w:rPr>
          <w:b/>
          <w:bCs/>
        </w:rPr>
        <w:t xml:space="preserve"> objemu úverov na bývanie.</w:t>
      </w:r>
      <w:r>
        <w:t xml:space="preserve"> Priemerný podiel odkladu splátok úverov </w:t>
      </w:r>
      <w:r w:rsidR="0068581E">
        <w:t>v </w:t>
      </w:r>
      <w:r>
        <w:t xml:space="preserve">eurozóne (na bývanie aj spotrebiteľských) dosahoval </w:t>
      </w:r>
      <w:r>
        <w:lastRenderedPageBreak/>
        <w:t xml:space="preserve">približne </w:t>
      </w:r>
      <w:r w:rsidR="0068581E">
        <w:t>7 %</w:t>
      </w:r>
      <w:r>
        <w:t xml:space="preserve">. Príspevok odkladu splátok </w:t>
      </w:r>
      <w:r w:rsidR="0068581E">
        <w:t>k </w:t>
      </w:r>
      <w:r>
        <w:t>medziročnému rastu úverov na bývanie predstavoval 0,1 až 0,</w:t>
      </w:r>
      <w:r w:rsidR="0068581E">
        <w:t>2 p. b.</w:t>
      </w:r>
    </w:p>
    <w:p w14:paraId="6B07D757" w14:textId="7787B1C0" w:rsidR="007F3F37" w:rsidRDefault="007F3F37" w:rsidP="007F3F37">
      <w:r>
        <w:rPr>
          <w:b/>
          <w:bCs/>
        </w:rPr>
        <w:t xml:space="preserve">Za spomalením produkcie okrem oslabeného dopytu </w:t>
      </w:r>
      <w:r w:rsidR="0068581E">
        <w:rPr>
          <w:b/>
          <w:bCs/>
        </w:rPr>
        <w:t>v </w:t>
      </w:r>
      <w:r>
        <w:rPr>
          <w:b/>
          <w:bCs/>
        </w:rPr>
        <w:t>ekonomicky neistých časoch bolo aj s</w:t>
      </w:r>
      <w:r w:rsidRPr="00231389">
        <w:rPr>
          <w:b/>
          <w:bCs/>
        </w:rPr>
        <w:t>prísňovanie</w:t>
      </w:r>
      <w:r>
        <w:rPr>
          <w:b/>
          <w:bCs/>
        </w:rPr>
        <w:t xml:space="preserve"> úverových</w:t>
      </w:r>
      <w:r w:rsidRPr="00231389">
        <w:rPr>
          <w:b/>
          <w:bCs/>
        </w:rPr>
        <w:t xml:space="preserve"> štandardov</w:t>
      </w:r>
      <w:r>
        <w:rPr>
          <w:b/>
          <w:bCs/>
        </w:rPr>
        <w:t xml:space="preserve"> zo strany bánk. </w:t>
      </w:r>
      <w:r w:rsidRPr="00C475A0">
        <w:t>To sa týkalo predovšetkým obmedzenia výšky poskytovaných úverov, výšky akceptovaného príjmu alebo jeho zdroja a zníženia celkovej tolerancie rizika.</w:t>
      </w:r>
      <w:r>
        <w:t xml:space="preserve"> Medzi najviac zasiahnuté skupiny patrili</w:t>
      </w:r>
      <w:r w:rsidR="00CA1468">
        <w:t xml:space="preserve"> klienti </w:t>
      </w:r>
      <w:r w:rsidR="0068581E">
        <w:t>z </w:t>
      </w:r>
      <w:r>
        <w:t xml:space="preserve">dotknutých hospodárskych odvetví, SZČO a klienti </w:t>
      </w:r>
      <w:r w:rsidR="0068581E">
        <w:t>s </w:t>
      </w:r>
      <w:r>
        <w:t>príjmom zo zahraničia</w:t>
      </w:r>
      <w:r>
        <w:rPr>
          <w:rStyle w:val="FootnoteReference"/>
        </w:rPr>
        <w:footnoteReference w:id="2"/>
      </w:r>
      <w:r>
        <w:t xml:space="preserve">. Tieto kroky komerčných bánk boli dokonca razantnejšie než prebiehajúce sprísňovanie ukazovateľa schopnosti splácať podľa opatrení NBS. Podobne aj výnimka na úvery </w:t>
      </w:r>
      <w:r w:rsidR="0068581E">
        <w:t>s </w:t>
      </w:r>
      <w:r>
        <w:t>LTV medzi 8</w:t>
      </w:r>
      <w:r w:rsidR="0068581E">
        <w:t>0 %</w:t>
      </w:r>
      <w:r>
        <w:t xml:space="preserve"> a</w:t>
      </w:r>
      <w:r w:rsidR="00E9469F">
        <w:t> </w:t>
      </w:r>
      <w:r>
        <w:t>9</w:t>
      </w:r>
      <w:r w:rsidR="0068581E">
        <w:t>0 %</w:t>
      </w:r>
      <w:r>
        <w:t xml:space="preserve"> bola využívaná len na polovičnej kapacite, t. j. 1</w:t>
      </w:r>
      <w:r w:rsidR="0068581E">
        <w:t>0 %</w:t>
      </w:r>
      <w:r>
        <w:t xml:space="preserve"> produkcie úverov. Podiel sprostredkovania úverov prostredníctvom externých agentov stúpol </w:t>
      </w:r>
      <w:r w:rsidR="0068581E">
        <w:t>o </w:t>
      </w:r>
      <w:r>
        <w:t xml:space="preserve">približne </w:t>
      </w:r>
      <w:r w:rsidR="0068581E">
        <w:t>4 p. b.</w:t>
      </w:r>
      <w:r>
        <w:t xml:space="preserve"> na 6</w:t>
      </w:r>
      <w:r w:rsidR="0068581E">
        <w:t>6 %</w:t>
      </w:r>
      <w:r>
        <w:t>.</w:t>
      </w:r>
    </w:p>
    <w:p w14:paraId="26DD17EC" w14:textId="1BC0E731" w:rsidR="007F3F37" w:rsidRDefault="007F3F37" w:rsidP="007F3F37">
      <w:r w:rsidRPr="00740058">
        <w:rPr>
          <w:b/>
          <w:bCs/>
        </w:rPr>
        <w:t>Pandémia mala</w:t>
      </w:r>
      <w:r>
        <w:rPr>
          <w:b/>
          <w:bCs/>
        </w:rPr>
        <w:t xml:space="preserve"> heterogénny </w:t>
      </w:r>
      <w:r w:rsidR="00464CD7">
        <w:rPr>
          <w:b/>
          <w:bCs/>
        </w:rPr>
        <w:t>vplyv</w:t>
      </w:r>
      <w:r>
        <w:rPr>
          <w:b/>
          <w:bCs/>
        </w:rPr>
        <w:t xml:space="preserve"> na úverovanie </w:t>
      </w:r>
      <w:r w:rsidR="0068581E">
        <w:rPr>
          <w:b/>
          <w:bCs/>
        </w:rPr>
        <w:t>v </w:t>
      </w:r>
      <w:r>
        <w:rPr>
          <w:b/>
          <w:bCs/>
        </w:rPr>
        <w:t>jednotlivých bankách</w:t>
      </w:r>
      <w:r w:rsidRPr="00740058">
        <w:rPr>
          <w:b/>
          <w:bCs/>
        </w:rPr>
        <w:t>.</w:t>
      </w:r>
      <w:r>
        <w:t xml:space="preserve"> Približne polovica </w:t>
      </w:r>
      <w:r w:rsidR="0068581E">
        <w:t>z </w:t>
      </w:r>
      <w:r>
        <w:t xml:space="preserve">bánk zaznamenala </w:t>
      </w:r>
      <w:r w:rsidR="0068581E">
        <w:t>v </w:t>
      </w:r>
      <w:r>
        <w:t xml:space="preserve">druhom štvrťroku 2020 výrazné spomalenie rastu portfólia </w:t>
      </w:r>
      <w:r w:rsidR="0068581E">
        <w:t>v </w:t>
      </w:r>
      <w:r>
        <w:t xml:space="preserve">porovnaní </w:t>
      </w:r>
      <w:r w:rsidR="0068581E">
        <w:t>s </w:t>
      </w:r>
      <w:r>
        <w:t xml:space="preserve">predchádzajúcimi dvoma rokmi </w:t>
      </w:r>
      <w:r w:rsidR="0068581E">
        <w:t>v </w:t>
      </w:r>
      <w:r>
        <w:t xml:space="preserve">niektorých prípadoch vedúce až </w:t>
      </w:r>
      <w:r w:rsidR="0068581E">
        <w:t>k </w:t>
      </w:r>
      <w:r>
        <w:t xml:space="preserve">jeho poklesu. Naopak, </w:t>
      </w:r>
      <w:r w:rsidR="0068581E">
        <w:t>v </w:t>
      </w:r>
      <w:r>
        <w:t xml:space="preserve">niektorých bankách rast markantne zrýchlil. Za týmito rozdielmi možno vidieť najmä rozdiely </w:t>
      </w:r>
      <w:r w:rsidR="0068581E">
        <w:t>v </w:t>
      </w:r>
      <w:r>
        <w:t xml:space="preserve">miere a načasovaní sprísňovania úverových štandardov po vypuknutí pandémie COVID-19. </w:t>
      </w:r>
    </w:p>
    <w:p w14:paraId="2B105021" w14:textId="2BE86ABC" w:rsidR="00667E78" w:rsidRDefault="007F3F37" w:rsidP="00667E78">
      <w:r w:rsidRPr="00C61BBC">
        <w:rPr>
          <w:b/>
          <w:bCs/>
        </w:rPr>
        <w:t>Zastavenie poklesu úrokových sadzieb sa môže prejaviť aj na realitnom trhu.</w:t>
      </w:r>
      <w:r>
        <w:t xml:space="preserve"> </w:t>
      </w:r>
      <w:r w:rsidR="00667E78" w:rsidRPr="00667E78">
        <w:t xml:space="preserve">Priemerné úrokové sadzby poskytnutých úverov na bývanie sa po poklese </w:t>
      </w:r>
      <w:r w:rsidR="0068581E">
        <w:t>z </w:t>
      </w:r>
      <w:r w:rsidR="00667E78" w:rsidRPr="00667E78">
        <w:t>jesene 2019 stabilizovali</w:t>
      </w:r>
      <w:r w:rsidR="00667E78">
        <w:t xml:space="preserve"> na úrovni 1,</w:t>
      </w:r>
      <w:r w:rsidR="0068581E">
        <w:t>1 %</w:t>
      </w:r>
      <w:r w:rsidR="00667E78">
        <w:t>, od apríla 2020 mierne stúpli na 1,</w:t>
      </w:r>
      <w:r w:rsidR="0068581E">
        <w:t>2 %</w:t>
      </w:r>
      <w:r w:rsidR="00667E78">
        <w:t xml:space="preserve">. </w:t>
      </w:r>
      <w:r w:rsidR="0068581E">
        <w:t>V </w:t>
      </w:r>
      <w:r w:rsidR="00667E78">
        <w:t xml:space="preserve">porovnaní </w:t>
      </w:r>
      <w:r w:rsidR="0013003D">
        <w:t>e</w:t>
      </w:r>
      <w:r w:rsidR="00667E78">
        <w:t xml:space="preserve">urópskych krajín postúpilo Slovensko na tretiu najnižšiu priečku </w:t>
      </w:r>
      <w:r w:rsidR="0068581E">
        <w:t>v </w:t>
      </w:r>
      <w:r w:rsidR="00667E78">
        <w:t xml:space="preserve">EÚ, po Fínsku a Portugalsku. </w:t>
      </w:r>
    </w:p>
    <w:p w14:paraId="3FC9DA4E" w14:textId="32AF1A03" w:rsidR="007F3F37" w:rsidRDefault="0068581E" w:rsidP="007F3F37">
      <w:r>
        <w:t>V </w:t>
      </w:r>
      <w:r w:rsidR="007F3F37">
        <w:t xml:space="preserve">posledných rokoch znižovanie ceny úverov umožňovalo pri rovnakých splátkach čerpať väčšie objemy dlhov. Aj vďaka tomu klienti mohli financovať stále vyššie ceny bývania. Koniec poklesu úrokových sadzieb by </w:t>
      </w:r>
      <w:r w:rsidR="00667E78">
        <w:t xml:space="preserve">tak mohol prispieť ku korekcii cien nehnuteľností. </w:t>
      </w:r>
    </w:p>
    <w:p w14:paraId="3DC8B9C7" w14:textId="77777777" w:rsidR="007F3F37" w:rsidRDefault="007F3F37" w:rsidP="007F3F37">
      <w:pPr>
        <w:pStyle w:val="Modrnadpis"/>
      </w:pPr>
      <w:r>
        <w:t>Pandémia podstatne formovala vývoj spotrebiteľských úverov</w:t>
      </w:r>
    </w:p>
    <w:p w14:paraId="588BE028" w14:textId="00C94AAA" w:rsidR="007F3F37" w:rsidRDefault="007F3F37" w:rsidP="007F3F37">
      <w:r w:rsidRPr="00FB4F18">
        <w:rPr>
          <w:b/>
          <w:bCs/>
        </w:rPr>
        <w:t xml:space="preserve">Po roku 2019, ktorý pre spotrebiteľské úvery znamenal stagnáciu, došlo </w:t>
      </w:r>
      <w:r w:rsidR="0068581E">
        <w:rPr>
          <w:b/>
          <w:bCs/>
        </w:rPr>
        <w:t>v </w:t>
      </w:r>
      <w:r w:rsidRPr="00FB4F18">
        <w:rPr>
          <w:b/>
          <w:bCs/>
        </w:rPr>
        <w:t xml:space="preserve">roku 2020 </w:t>
      </w:r>
      <w:r w:rsidR="0068581E">
        <w:rPr>
          <w:b/>
          <w:bCs/>
        </w:rPr>
        <w:t>k </w:t>
      </w:r>
      <w:r w:rsidRPr="00FB4F18">
        <w:rPr>
          <w:b/>
          <w:bCs/>
        </w:rPr>
        <w:t xml:space="preserve">historicky </w:t>
      </w:r>
      <w:r>
        <w:rPr>
          <w:b/>
          <w:bCs/>
        </w:rPr>
        <w:t>najväčšiemu</w:t>
      </w:r>
      <w:r w:rsidRPr="00FB4F18">
        <w:rPr>
          <w:b/>
          <w:bCs/>
        </w:rPr>
        <w:t xml:space="preserve"> </w:t>
      </w:r>
      <w:r>
        <w:rPr>
          <w:b/>
          <w:bCs/>
        </w:rPr>
        <w:t>poklesu</w:t>
      </w:r>
      <w:r w:rsidRPr="00FB4F18">
        <w:rPr>
          <w:b/>
          <w:bCs/>
        </w:rPr>
        <w:t xml:space="preserve"> portfólia</w:t>
      </w:r>
      <w:r>
        <w:rPr>
          <w:b/>
          <w:bCs/>
        </w:rPr>
        <w:t xml:space="preserve"> </w:t>
      </w:r>
      <w:r w:rsidR="0068581E">
        <w:rPr>
          <w:b/>
          <w:bCs/>
        </w:rPr>
        <w:t>v </w:t>
      </w:r>
      <w:r>
        <w:rPr>
          <w:b/>
          <w:bCs/>
        </w:rPr>
        <w:t>slovenskom finančnom sektore</w:t>
      </w:r>
      <w:r w:rsidRPr="00FB4F18">
        <w:rPr>
          <w:b/>
          <w:bCs/>
        </w:rPr>
        <w:t>.</w:t>
      </w:r>
      <w:r>
        <w:t xml:space="preserve"> Najvážnejší prepad bol pozorovaný </w:t>
      </w:r>
      <w:r w:rsidR="0068581E">
        <w:t>v </w:t>
      </w:r>
      <w:r>
        <w:t xml:space="preserve">marci a apríli, po nich už nasledovali miernejšie mesiace, ale mesačné prírastky portfólia zostali záporné. Celkovo sa portfólio spotrebiteľských úverov </w:t>
      </w:r>
      <w:r w:rsidR="0068581E">
        <w:t>k </w:t>
      </w:r>
      <w:r>
        <w:t xml:space="preserve">júlu 2020 medziročne zmenšilo </w:t>
      </w:r>
      <w:r w:rsidR="0068581E">
        <w:t>o </w:t>
      </w:r>
      <w:r>
        <w:t>viac ako 4,</w:t>
      </w:r>
      <w:r w:rsidR="0068581E">
        <w:t>7 %</w:t>
      </w:r>
      <w:r>
        <w:t xml:space="preserve">. Keby nedošlo </w:t>
      </w:r>
      <w:r w:rsidR="0068581E">
        <w:t>k </w:t>
      </w:r>
      <w:r>
        <w:t>odkladu splátok, ktorý sa týkal vyše 65</w:t>
      </w:r>
      <w:r w:rsidR="0007576C">
        <w:t>-</w:t>
      </w:r>
      <w:r>
        <w:t>tisíc úverov, resp. 1</w:t>
      </w:r>
      <w:r w:rsidR="0068581E">
        <w:t>4 %</w:t>
      </w:r>
      <w:r>
        <w:t xml:space="preserve"> objemu úverov, úbytok spotrebiteľských úverov by bol väčší ešte </w:t>
      </w:r>
      <w:r w:rsidR="0068581E">
        <w:t>o </w:t>
      </w:r>
      <w:r>
        <w:t>ďalších približne 0,</w:t>
      </w:r>
      <w:r w:rsidR="0068581E">
        <w:t>8 p. b.</w:t>
      </w:r>
      <w:r>
        <w:t xml:space="preserve"> Pre porovnanie, keby došlo </w:t>
      </w:r>
      <w:r w:rsidR="0068581E">
        <w:t>k </w:t>
      </w:r>
      <w:r>
        <w:t xml:space="preserve">úplnému zastaveniu poskytovania spotrebiteľských úverov, bežné splácanie úverov by za </w:t>
      </w:r>
      <w:r>
        <w:lastRenderedPageBreak/>
        <w:t xml:space="preserve">rovnaké obdobie viedlo </w:t>
      </w:r>
      <w:r w:rsidR="0068581E">
        <w:t>k </w:t>
      </w:r>
      <w:r>
        <w:t xml:space="preserve">poklesu portfólia približne </w:t>
      </w:r>
      <w:r w:rsidR="0068581E">
        <w:t>o 6 %</w:t>
      </w:r>
      <w:r>
        <w:rPr>
          <w:rStyle w:val="FootnoteReference"/>
        </w:rPr>
        <w:footnoteReference w:id="3"/>
      </w:r>
      <w:r>
        <w:t xml:space="preserve">. Podobne ako klasické spotrebiteľské úvery, aj portfóliá bankových kreditných kariet a prečerpaní bežných účtov zaznamenali za prvých 7 mesiacov roka 2020 pokles objemu portfólia, a to </w:t>
      </w:r>
      <w:r w:rsidR="0068581E">
        <w:t>o </w:t>
      </w:r>
      <w:r>
        <w:t>1</w:t>
      </w:r>
      <w:r w:rsidR="0068581E">
        <w:t>0 %</w:t>
      </w:r>
      <w:r>
        <w:t xml:space="preserve">, resp. </w:t>
      </w:r>
      <w:r w:rsidR="0068581E">
        <w:t>7 %</w:t>
      </w:r>
      <w:r>
        <w:t xml:space="preserve">. </w:t>
      </w:r>
    </w:p>
    <w:p w14:paraId="092348B5" w14:textId="304E99B6" w:rsidR="007F3F37" w:rsidRDefault="007F3F37" w:rsidP="007F3F37">
      <w:r w:rsidRPr="00FF0726">
        <w:rPr>
          <w:b/>
          <w:bCs/>
        </w:rPr>
        <w:t>Hlavn</w:t>
      </w:r>
      <w:r w:rsidR="00746B0A">
        <w:rPr>
          <w:b/>
          <w:bCs/>
        </w:rPr>
        <w:t>ou</w:t>
      </w:r>
      <w:r w:rsidRPr="00FF0726">
        <w:rPr>
          <w:b/>
          <w:bCs/>
        </w:rPr>
        <w:t xml:space="preserve"> príčin</w:t>
      </w:r>
      <w:r w:rsidR="00746B0A">
        <w:rPr>
          <w:b/>
          <w:bCs/>
        </w:rPr>
        <w:t>ou</w:t>
      </w:r>
      <w:r w:rsidRPr="00FF0726">
        <w:rPr>
          <w:b/>
          <w:bCs/>
        </w:rPr>
        <w:t xml:space="preserve"> poklesu spotrebiteľských úverov bol pokles záujmu </w:t>
      </w:r>
      <w:r w:rsidR="0068581E">
        <w:rPr>
          <w:b/>
          <w:bCs/>
        </w:rPr>
        <w:t>o </w:t>
      </w:r>
      <w:r w:rsidRPr="00FF0726">
        <w:rPr>
          <w:b/>
          <w:bCs/>
        </w:rPr>
        <w:t>spotrebu.</w:t>
      </w:r>
      <w:r>
        <w:t xml:space="preserve"> Karanténne opatrenia vytvorili </w:t>
      </w:r>
      <w:r w:rsidR="00746B0A">
        <w:t xml:space="preserve">objektívne </w:t>
      </w:r>
      <w:r>
        <w:t xml:space="preserve">prekážky pre spotrebu domácností. </w:t>
      </w:r>
      <w:r w:rsidR="00746B0A">
        <w:t xml:space="preserve">Spotreba bola tiež výrazne zasiahnutá ekonomickým prepadom a vysokou mierou neistoty ohľadom budúceho vývoja. Vyššia neistota sa prejavila aj na opatrnejšom prístupe bánk pri poskytovaní nových spotrebiteľských úverov. Zároveň </w:t>
      </w:r>
      <w:r w:rsidR="0068581E">
        <w:t>v </w:t>
      </w:r>
      <w:r w:rsidR="00746B0A">
        <w:t>priebehu prvého polroka 2020 postupne nabiehali opatrenia NBS obmedzujúce ukazovateľ schopnosti splácať na 6</w:t>
      </w:r>
      <w:r w:rsidR="0068581E">
        <w:t>0 %</w:t>
      </w:r>
      <w:r w:rsidR="00746B0A">
        <w:t xml:space="preserve"> (</w:t>
      </w:r>
      <w:r w:rsidR="0068581E">
        <w:t>s </w:t>
      </w:r>
      <w:r w:rsidR="00746B0A">
        <w:t xml:space="preserve">výnimkami). </w:t>
      </w:r>
      <w:r>
        <w:t>Keďže sprísnenie sa týkalo celkového dlhu domácnost</w:t>
      </w:r>
      <w:r w:rsidR="00D02085">
        <w:t>i</w:t>
      </w:r>
      <w:r>
        <w:t xml:space="preserve">, </w:t>
      </w:r>
      <w:r w:rsidR="0068581E">
        <w:t>v </w:t>
      </w:r>
      <w:r>
        <w:t xml:space="preserve">prípade dosiahnutia hornej hranice </w:t>
      </w:r>
      <w:r w:rsidR="00746B0A">
        <w:t>domácnost</w:t>
      </w:r>
      <w:r w:rsidR="00094BBC">
        <w:t>i</w:t>
      </w:r>
      <w:r w:rsidR="00746B0A">
        <w:t xml:space="preserve"> väčšinou</w:t>
      </w:r>
      <w:r>
        <w:t xml:space="preserve"> uprednostni</w:t>
      </w:r>
      <w:r w:rsidR="00746B0A">
        <w:t xml:space="preserve">li </w:t>
      </w:r>
      <w:r>
        <w:t>zníženie spotrebného financovania pred prípadným znižovaním financovania bývania.</w:t>
      </w:r>
    </w:p>
    <w:p w14:paraId="29A909FE" w14:textId="069B6755" w:rsidR="007F3F37" w:rsidRDefault="007F3F37" w:rsidP="007A1EB1">
      <w:pPr>
        <w:pStyle w:val="Nadpisgrafu"/>
      </w:pPr>
      <w:r w:rsidRPr="002264FC">
        <w:t>Graf</w:t>
      </w:r>
      <w:r>
        <w:t xml:space="preserve"> </w:t>
      </w:r>
      <w:fldSimple w:instr=" SEQ Graf \* ARABIC ">
        <w:r w:rsidR="00A02A40">
          <w:rPr>
            <w:noProof/>
          </w:rPr>
          <w:t>2</w:t>
        </w:r>
      </w:fldSimple>
      <w:r>
        <w:t xml:space="preserve"> Spotreb</w:t>
      </w:r>
      <w:r w:rsidR="004A6CEB">
        <w:t>né</w:t>
      </w:r>
      <w:r>
        <w:t xml:space="preserve"> financovanie </w:t>
      </w:r>
      <w:r w:rsidR="0068581E">
        <w:t>v </w:t>
      </w:r>
      <w:r>
        <w:t>znamení poklesu</w:t>
      </w:r>
    </w:p>
    <w:p w14:paraId="54F11EA1" w14:textId="77777777" w:rsidR="007F3F37" w:rsidRPr="007A1EB1" w:rsidRDefault="007F3F37" w:rsidP="007A1EB1">
      <w:pPr>
        <w:pStyle w:val="Podnadpisgrafu"/>
      </w:pPr>
      <w:r w:rsidRPr="007A1EB1">
        <w:t>Medzimesačný prírastok bankových spotrebiteľských úverov (mil. EUR)</w:t>
      </w:r>
    </w:p>
    <w:p w14:paraId="4130D9A9" w14:textId="77777777" w:rsidR="007F3F37" w:rsidRDefault="007F3F37" w:rsidP="007F3F37">
      <w:pPr>
        <w:pStyle w:val="Podgrafom"/>
      </w:pPr>
      <w:r>
        <w:rPr>
          <w:noProof/>
        </w:rPr>
        <w:drawing>
          <wp:inline distT="0" distB="0" distL="0" distR="0" wp14:anchorId="12529006" wp14:editId="56D8420A">
            <wp:extent cx="4572000" cy="2627194"/>
            <wp:effectExtent l="0" t="0" r="0" b="1905"/>
            <wp:docPr id="2" name="Chart 2">
              <a:extLst xmlns:a="http://schemas.openxmlformats.org/drawingml/2006/main">
                <a:ext uri="{FF2B5EF4-FFF2-40B4-BE49-F238E27FC236}">
                  <a16:creationId xmlns:a16="http://schemas.microsoft.com/office/drawing/2014/main" id="{B9373970-B569-4DEB-BF3C-9BA27F2B1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1AF3B3" w14:textId="77777777" w:rsidR="007F3F37" w:rsidRDefault="007F3F37" w:rsidP="007F3F37">
      <w:pPr>
        <w:pStyle w:val="Podgrafom"/>
      </w:pPr>
      <w:r>
        <w:t>Zdroj: NBS</w:t>
      </w:r>
    </w:p>
    <w:p w14:paraId="4703E28F" w14:textId="22304422" w:rsidR="007F3F37" w:rsidRDefault="007F3F37" w:rsidP="007F3F37">
      <w:pPr>
        <w:pStyle w:val="Podgrafom"/>
      </w:pPr>
      <w:r>
        <w:t xml:space="preserve">Poznámka: Údaje sú očistené </w:t>
      </w:r>
      <w:r w:rsidR="0068581E">
        <w:t>o </w:t>
      </w:r>
      <w:r>
        <w:t xml:space="preserve">vplyv včlenenia nebankovej spoločnosti do banky </w:t>
      </w:r>
      <w:r w:rsidR="0068581E">
        <w:t>v </w:t>
      </w:r>
      <w:r>
        <w:t>roku 2018.</w:t>
      </w:r>
    </w:p>
    <w:p w14:paraId="7B175B31" w14:textId="77777777" w:rsidR="007F3F37" w:rsidRDefault="007F3F37" w:rsidP="007F3F37">
      <w:pPr>
        <w:pStyle w:val="Podgrafom"/>
      </w:pPr>
    </w:p>
    <w:p w14:paraId="4A125F6F" w14:textId="37B98429" w:rsidR="007F3F37" w:rsidRDefault="007F3F37" w:rsidP="007F3F37">
      <w:r w:rsidRPr="00B76712">
        <w:rPr>
          <w:b/>
          <w:bCs/>
        </w:rPr>
        <w:t xml:space="preserve">Aj nebankové spotrebiteľské úvery zaznamenali </w:t>
      </w:r>
      <w:r w:rsidR="0068581E">
        <w:rPr>
          <w:b/>
          <w:bCs/>
        </w:rPr>
        <w:t>v </w:t>
      </w:r>
      <w:r w:rsidRPr="00B76712">
        <w:rPr>
          <w:b/>
          <w:bCs/>
        </w:rPr>
        <w:t>dôsledku pandémie negatívny vývoj</w:t>
      </w:r>
      <w:r>
        <w:rPr>
          <w:b/>
          <w:bCs/>
        </w:rPr>
        <w:t xml:space="preserve"> </w:t>
      </w:r>
      <w:r w:rsidRPr="00C475A0">
        <w:rPr>
          <w:b/>
          <w:bCs/>
        </w:rPr>
        <w:t xml:space="preserve">a za prvý polrok 2020 poklesol ich objem </w:t>
      </w:r>
      <w:r w:rsidR="0068581E">
        <w:rPr>
          <w:b/>
          <w:bCs/>
        </w:rPr>
        <w:t>o </w:t>
      </w:r>
      <w:r w:rsidRPr="00C475A0">
        <w:rPr>
          <w:b/>
          <w:bCs/>
        </w:rPr>
        <w:t xml:space="preserve">takmer </w:t>
      </w:r>
      <w:r w:rsidR="0068581E">
        <w:rPr>
          <w:b/>
          <w:bCs/>
        </w:rPr>
        <w:t>6 %</w:t>
      </w:r>
      <w:r w:rsidRPr="00C475A0">
        <w:rPr>
          <w:b/>
          <w:bCs/>
        </w:rPr>
        <w:t>.</w:t>
      </w:r>
      <w:r>
        <w:t xml:space="preserve"> Príčinou bolo najmä spomalenie produkcie nových úverov </w:t>
      </w:r>
      <w:r w:rsidR="0068581E">
        <w:t>o </w:t>
      </w:r>
      <w:r>
        <w:t>2</w:t>
      </w:r>
      <w:r w:rsidR="0068581E">
        <w:t>7 %</w:t>
      </w:r>
      <w:r>
        <w:t xml:space="preserve"> </w:t>
      </w:r>
      <w:r w:rsidR="0068581E">
        <w:t>v </w:t>
      </w:r>
      <w:r>
        <w:t xml:space="preserve">porovnaní </w:t>
      </w:r>
      <w:r w:rsidR="0068581E">
        <w:t>s </w:t>
      </w:r>
      <w:r>
        <w:t xml:space="preserve">rovnakým obdobím roka 2019. Pokles bol rovnomerný vo všetkých splatnostiach úverov, </w:t>
      </w:r>
      <w:r w:rsidR="0068581E">
        <w:t>s </w:t>
      </w:r>
      <w:r>
        <w:t xml:space="preserve">výnimkou objemovo najmenšej kategórie úverov do 6 mesiacov, kde sa nová produkcia </w:t>
      </w:r>
      <w:r w:rsidR="0068581E">
        <w:t>v </w:t>
      </w:r>
      <w:r>
        <w:t>sledovanom období úplne zastavila. Celkový podiel nebankového sektora na spotrebnom financovaní sa udržal na úrovni 1</w:t>
      </w:r>
      <w:r w:rsidR="0068581E">
        <w:t>5 %</w:t>
      </w:r>
      <w:r>
        <w:t xml:space="preserve">. </w:t>
      </w:r>
    </w:p>
    <w:p w14:paraId="3DE4103F" w14:textId="76BD3E02" w:rsidR="007F3F37" w:rsidRDefault="007F3F37" w:rsidP="007F3F37">
      <w:r w:rsidRPr="002C5115">
        <w:rPr>
          <w:b/>
          <w:bCs/>
        </w:rPr>
        <w:lastRenderedPageBreak/>
        <w:t>Priemerné úrokové sadzby nových bankových spotrebiteľských úverov stúpli na 8,</w:t>
      </w:r>
      <w:r w:rsidR="0068581E">
        <w:rPr>
          <w:b/>
          <w:bCs/>
        </w:rPr>
        <w:t>5 %</w:t>
      </w:r>
      <w:r w:rsidRPr="002C5115">
        <w:rPr>
          <w:b/>
          <w:bCs/>
        </w:rPr>
        <w:t xml:space="preserve">. </w:t>
      </w:r>
      <w:r>
        <w:t xml:space="preserve">Túto hodnotu dosahovali naposledy </w:t>
      </w:r>
      <w:r w:rsidR="0068581E">
        <w:t>v </w:t>
      </w:r>
      <w:r>
        <w:t>polovici roka 2018, pričom od začiatku roka 2019 až do obdobia pandémie si udržovali stabilnú úroveň okolo 8,</w:t>
      </w:r>
      <w:r w:rsidR="0068581E">
        <w:t>0 %</w:t>
      </w:r>
      <w:r>
        <w:t>. Nárast na hodnotu 8,</w:t>
      </w:r>
      <w:r w:rsidR="0068581E">
        <w:t>5 %</w:t>
      </w:r>
      <w:r>
        <w:t xml:space="preserve"> však možno pripísať najmä posledným dvom sledovaným mesiaco</w:t>
      </w:r>
      <w:r w:rsidR="00B35127">
        <w:t>m</w:t>
      </w:r>
      <w:r>
        <w:t xml:space="preserve">, teda júnu a júlu 2020. Priemerné úrokové sadzby na nové úvery tak stúpli nad úroveň priemerných úrokových sadzieb existujúcich úverov. Naďalej išlo </w:t>
      </w:r>
      <w:r w:rsidR="0068581E">
        <w:t>o </w:t>
      </w:r>
      <w:r>
        <w:t xml:space="preserve">piatu najvyššiu úroveň </w:t>
      </w:r>
      <w:r w:rsidR="0068581E">
        <w:t>v </w:t>
      </w:r>
      <w:r>
        <w:t>eurozóne.</w:t>
      </w:r>
    </w:p>
    <w:p w14:paraId="71502271" w14:textId="6536D938" w:rsidR="007F3F37" w:rsidRDefault="007F3F37" w:rsidP="007F3F37">
      <w:pPr>
        <w:pStyle w:val="Modrnadpis"/>
      </w:pPr>
      <w:r w:rsidRPr="00457459">
        <w:t>Kreditná kvalita</w:t>
      </w:r>
      <w:r>
        <w:t xml:space="preserve"> úverového portfólia </w:t>
      </w:r>
      <w:r w:rsidR="0068581E">
        <w:t>s </w:t>
      </w:r>
      <w:r>
        <w:t>nejasnými indikátormi</w:t>
      </w:r>
    </w:p>
    <w:p w14:paraId="210286C5" w14:textId="50AB8D69" w:rsidR="007F3F37" w:rsidRPr="00457459" w:rsidRDefault="007F3F37" w:rsidP="007F3F37">
      <w:r w:rsidRPr="00A628F9">
        <w:rPr>
          <w:b/>
          <w:bCs/>
        </w:rPr>
        <w:t xml:space="preserve">Ukazovatele kreditnej kvality úverov boli </w:t>
      </w:r>
      <w:r w:rsidR="0068581E">
        <w:rPr>
          <w:b/>
          <w:bCs/>
        </w:rPr>
        <w:t>v </w:t>
      </w:r>
      <w:r w:rsidRPr="00A628F9">
        <w:rPr>
          <w:b/>
          <w:bCs/>
        </w:rPr>
        <w:t>doterajších mesiacoch roka 2020 skreslené odkladom splátok.</w:t>
      </w:r>
      <w:r>
        <w:t xml:space="preserve"> Vzhľadom na to je potrebné klasické indikátory interpretovať so zvýšenou opatrnosťou.</w:t>
      </w:r>
      <w:r w:rsidR="003B2261">
        <w:t xml:space="preserve"> </w:t>
      </w:r>
      <w:r>
        <w:t>Podiel úverov na bývanie, ktoré banky evidujú ako zlyhané</w:t>
      </w:r>
      <w:r w:rsidR="00716DAF">
        <w:t>,</w:t>
      </w:r>
      <w:r>
        <w:t xml:space="preserve"> sa počas celého doterajšieho priebehu roka 2020 udržoval na 1,</w:t>
      </w:r>
      <w:r w:rsidR="0068581E">
        <w:t>7 %</w:t>
      </w:r>
      <w:r>
        <w:t xml:space="preserve">, </w:t>
      </w:r>
      <w:r w:rsidR="0068581E">
        <w:t>v </w:t>
      </w:r>
      <w:r>
        <w:t>júli poklesol na 1,</w:t>
      </w:r>
      <w:r w:rsidR="0068581E">
        <w:t>6 %</w:t>
      </w:r>
      <w:r>
        <w:t>. Čistá miera zlyhania si zachovala hodnotu 0,</w:t>
      </w:r>
      <w:r w:rsidR="0068581E">
        <w:t>3 %</w:t>
      </w:r>
      <w:r>
        <w:t>.</w:t>
      </w:r>
      <w:r w:rsidR="003B2261">
        <w:t xml:space="preserve"> </w:t>
      </w:r>
      <w:r>
        <w:t xml:space="preserve">Podiel evidovaných zlyhaných spotrebiteľských úverov od decembra 2019 do júla 2020 vzrástol </w:t>
      </w:r>
      <w:r w:rsidR="0068581E">
        <w:t>z </w:t>
      </w:r>
      <w:r>
        <w:t>8,</w:t>
      </w:r>
      <w:r w:rsidR="0068581E">
        <w:t>4 %</w:t>
      </w:r>
      <w:r>
        <w:t xml:space="preserve"> na 8,</w:t>
      </w:r>
      <w:r w:rsidR="0068581E">
        <w:t>7 %</w:t>
      </w:r>
      <w:r>
        <w:t xml:space="preserve">. Ich čistá miera zlyhania naopak poklesla </w:t>
      </w:r>
      <w:r w:rsidR="0068581E">
        <w:t>z </w:t>
      </w:r>
      <w:r>
        <w:t>2,</w:t>
      </w:r>
      <w:r w:rsidR="0068581E">
        <w:t>4 %</w:t>
      </w:r>
      <w:r>
        <w:t xml:space="preserve"> na 2,</w:t>
      </w:r>
      <w:r w:rsidR="0068581E">
        <w:t>3 %</w:t>
      </w:r>
      <w:r>
        <w:t xml:space="preserve">. </w:t>
      </w:r>
    </w:p>
    <w:p w14:paraId="4C0F8850" w14:textId="0477C16D" w:rsidR="00225672" w:rsidRDefault="00611D9C" w:rsidP="00225672">
      <w:pPr>
        <w:pStyle w:val="Modrnadpis"/>
      </w:pPr>
      <w:r>
        <w:t>Vplyv</w:t>
      </w:r>
      <w:r w:rsidR="00225672">
        <w:t xml:space="preserve"> </w:t>
      </w:r>
      <w:proofErr w:type="spellStart"/>
      <w:r w:rsidR="00225672">
        <w:t>koronakrízy</w:t>
      </w:r>
      <w:proofErr w:type="spellEnd"/>
      <w:r w:rsidR="00225672">
        <w:t xml:space="preserve"> na zadlžené domácnosti a vplyv odkladu splátok na zmiernenie tohto rizika</w:t>
      </w:r>
    </w:p>
    <w:p w14:paraId="0AED4D38" w14:textId="42E29222" w:rsidR="00225672" w:rsidRDefault="00225672" w:rsidP="00225672">
      <w:pPr>
        <w:spacing w:after="0"/>
        <w:rPr>
          <w:b/>
          <w:bCs/>
        </w:rPr>
      </w:pPr>
      <w:proofErr w:type="spellStart"/>
      <w:r w:rsidRPr="00177600">
        <w:rPr>
          <w:b/>
          <w:bCs/>
        </w:rPr>
        <w:t>Koronakríza</w:t>
      </w:r>
      <w:proofErr w:type="spellEnd"/>
      <w:r w:rsidRPr="00177600">
        <w:rPr>
          <w:b/>
          <w:bCs/>
        </w:rPr>
        <w:t xml:space="preserve"> negatívne zasiahla aj finančnú situáciu domácností splácajúcich úvery.</w:t>
      </w:r>
      <w:r>
        <w:rPr>
          <w:b/>
          <w:bCs/>
        </w:rPr>
        <w:t xml:space="preserve"> </w:t>
      </w:r>
      <w:r>
        <w:t xml:space="preserve">Domácnosti však majú zároveň možnosť dočasne zmierniť </w:t>
      </w:r>
      <w:r w:rsidR="00611D9C">
        <w:t>vplyvy</w:t>
      </w:r>
      <w:r>
        <w:t xml:space="preserve"> zhoršenia svojej finančnej situácie prostredníctvom odkladu splátok.</w:t>
      </w:r>
      <w:r>
        <w:rPr>
          <w:rStyle w:val="FootnoteReference"/>
        </w:rPr>
        <w:footnoteReference w:id="4"/>
      </w:r>
      <w:r>
        <w:t xml:space="preserve"> Odklad splátok</w:t>
      </w:r>
      <w:r w:rsidR="005514B1">
        <w:t xml:space="preserve"> </w:t>
      </w:r>
      <w:r>
        <w:t xml:space="preserve">pomáha domácnostiam </w:t>
      </w:r>
      <w:r w:rsidR="0068581E">
        <w:t>v </w:t>
      </w:r>
      <w:r w:rsidR="005514B1">
        <w:t>prípade výpadku príjmov.</w:t>
      </w:r>
      <w:r w:rsidRPr="005828F7">
        <w:t xml:space="preserve"> </w:t>
      </w:r>
      <w:r w:rsidR="005514B1">
        <w:t>N</w:t>
      </w:r>
      <w:r w:rsidRPr="005828F7">
        <w:t>a druhej strane existuje riziko, že dlžníci môžu stratiť návyk splácať a požiadavku na opätovné splácanie budú vnímať ako zvýšenú záťaž</w:t>
      </w:r>
      <w:r w:rsidR="00642227">
        <w:t>, prípadne že výpadok príjmov bude trvať dlhšie</w:t>
      </w:r>
      <w:r>
        <w:t>.</w:t>
      </w:r>
      <w:r w:rsidRPr="005828F7">
        <w:t xml:space="preserve"> </w:t>
      </w:r>
      <w:r>
        <w:t xml:space="preserve">Navyše </w:t>
      </w:r>
      <w:r w:rsidRPr="005828F7">
        <w:t xml:space="preserve">sa bankám počas obdobia </w:t>
      </w:r>
      <w:r w:rsidR="00642227">
        <w:t xml:space="preserve">odložených splátok </w:t>
      </w:r>
      <w:r w:rsidRPr="005828F7">
        <w:t>ťažšie vyhodnocuje skutočná schopnosť dlžníkov splácať svoje záväzky. Preto je dôležité analyz</w:t>
      </w:r>
      <w:r>
        <w:t xml:space="preserve">ovať aká časť domácností čelí reálnym problémom splácať úvery a aké veľké je riziko, že niektoré domácnosti po skončení </w:t>
      </w:r>
      <w:proofErr w:type="spellStart"/>
      <w:r>
        <w:t>koronakrízy</w:t>
      </w:r>
      <w:proofErr w:type="spellEnd"/>
      <w:r>
        <w:t xml:space="preserve"> </w:t>
      </w:r>
      <w:r w:rsidR="00642227">
        <w:t xml:space="preserve">sa </w:t>
      </w:r>
      <w:r>
        <w:t xml:space="preserve">nebudú schopné vrátiť </w:t>
      </w:r>
      <w:r w:rsidR="0068581E">
        <w:t>k </w:t>
      </w:r>
      <w:r>
        <w:t xml:space="preserve">splácaniu svojich úverov. </w:t>
      </w:r>
      <w:r w:rsidR="0068581E">
        <w:t>S </w:t>
      </w:r>
      <w:r>
        <w:t xml:space="preserve">týmto cieľom bol medzi zadlženými domácnosťami uskutočnený prieskum </w:t>
      </w:r>
      <w:r w:rsidR="0068581E">
        <w:t>o </w:t>
      </w:r>
      <w:r w:rsidR="00611D9C">
        <w:t>vplyve</w:t>
      </w:r>
      <w:r>
        <w:t xml:space="preserve"> </w:t>
      </w:r>
      <w:proofErr w:type="spellStart"/>
      <w:r>
        <w:t>koronakrízy</w:t>
      </w:r>
      <w:proofErr w:type="spellEnd"/>
      <w:r>
        <w:t xml:space="preserve"> na ich finančnú situáciu.</w:t>
      </w:r>
      <w:r>
        <w:rPr>
          <w:rStyle w:val="FootnoteReference"/>
        </w:rPr>
        <w:footnoteReference w:id="5"/>
      </w:r>
      <w:r>
        <w:t xml:space="preserve"> Výsledky prvého kola prieskumu detailne popisuje Cesnak a kol. (2020)</w:t>
      </w:r>
      <w:r>
        <w:rPr>
          <w:rStyle w:val="FootnoteReference"/>
        </w:rPr>
        <w:footnoteReference w:id="6"/>
      </w:r>
      <w:r>
        <w:t>. Hlavné výsledk</w:t>
      </w:r>
      <w:r w:rsidR="006F3EE3">
        <w:t>y</w:t>
      </w:r>
      <w:r>
        <w:t xml:space="preserve"> druhého kola </w:t>
      </w:r>
      <w:r w:rsidRPr="002F50D0">
        <w:t xml:space="preserve">prieskumu sú zhrnuté </w:t>
      </w:r>
      <w:r w:rsidR="0068581E">
        <w:t>v </w:t>
      </w:r>
      <w:r w:rsidRPr="002F50D0">
        <w:t xml:space="preserve">Analytickom komentári NBS </w:t>
      </w:r>
      <w:r w:rsidR="002F50D0" w:rsidRPr="002F50D0">
        <w:t>Prieskum zadlžených domácností – výsledky druhej vlny</w:t>
      </w:r>
      <w:r w:rsidRPr="002F50D0">
        <w:t>.</w:t>
      </w:r>
    </w:p>
    <w:p w14:paraId="4CB8085A" w14:textId="2C21ECFC" w:rsidR="00225672" w:rsidRDefault="00225672" w:rsidP="00225672">
      <w:pPr>
        <w:spacing w:after="0"/>
      </w:pPr>
      <w:bookmarkStart w:id="13" w:name="_Hlk49233437"/>
      <w:r>
        <w:rPr>
          <w:b/>
          <w:bCs/>
        </w:rPr>
        <w:lastRenderedPageBreak/>
        <w:t>Podľa júlového prieskumu zaznamenal</w:t>
      </w:r>
      <w:r w:rsidR="005514B1">
        <w:rPr>
          <w:b/>
          <w:bCs/>
        </w:rPr>
        <w:t>a</w:t>
      </w:r>
      <w:r>
        <w:rPr>
          <w:b/>
          <w:bCs/>
        </w:rPr>
        <w:t xml:space="preserve"> až polovica zadlžených domácností kvôli </w:t>
      </w:r>
      <w:proofErr w:type="spellStart"/>
      <w:r>
        <w:rPr>
          <w:b/>
          <w:bCs/>
        </w:rPr>
        <w:t>koronakríze</w:t>
      </w:r>
      <w:proofErr w:type="spellEnd"/>
      <w:r>
        <w:rPr>
          <w:b/>
          <w:bCs/>
        </w:rPr>
        <w:t xml:space="preserve"> pokles príjmu</w:t>
      </w:r>
      <w:r w:rsidR="002F50D0">
        <w:rPr>
          <w:b/>
          <w:bCs/>
        </w:rPr>
        <w:t xml:space="preserve">. </w:t>
      </w:r>
      <w:r w:rsidR="0068581E">
        <w:rPr>
          <w:b/>
          <w:bCs/>
        </w:rPr>
        <w:t>V </w:t>
      </w:r>
      <w:r w:rsidR="002F50D0">
        <w:rPr>
          <w:b/>
          <w:bCs/>
        </w:rPr>
        <w:t>6</w:t>
      </w:r>
      <w:r w:rsidR="0068581E">
        <w:rPr>
          <w:b/>
          <w:bCs/>
        </w:rPr>
        <w:t>0 %</w:t>
      </w:r>
      <w:r w:rsidR="002F50D0">
        <w:rPr>
          <w:b/>
          <w:bCs/>
        </w:rPr>
        <w:t xml:space="preserve"> domácností sa aspoň jednému členovi zhoršil jeho pracovný status</w:t>
      </w:r>
      <w:r>
        <w:rPr>
          <w:b/>
          <w:bCs/>
        </w:rPr>
        <w:t xml:space="preserve">. </w:t>
      </w:r>
      <w:r>
        <w:t>Živnostníci a podnikatelia boli vystaven</w:t>
      </w:r>
      <w:r w:rsidR="00A03F61">
        <w:t>í</w:t>
      </w:r>
      <w:r>
        <w:t xml:space="preserve"> ešte horšiemu </w:t>
      </w:r>
      <w:r w:rsidR="00611D9C">
        <w:t>vplyvu</w:t>
      </w:r>
      <w:r>
        <w:t xml:space="preserve"> – pokles príjmov zaznamenalo až 6</w:t>
      </w:r>
      <w:r w:rsidR="0068581E">
        <w:t>8 %</w:t>
      </w:r>
      <w:r>
        <w:t xml:space="preserve"> </w:t>
      </w:r>
      <w:r w:rsidR="0068581E">
        <w:t>z </w:t>
      </w:r>
      <w:r>
        <w:t xml:space="preserve">nich. </w:t>
      </w:r>
      <w:r w:rsidRPr="008C6D43">
        <w:t xml:space="preserve">Priemerný pokles mesačných príjmov </w:t>
      </w:r>
      <w:r>
        <w:t>zadlžených domácností</w:t>
      </w:r>
      <w:r w:rsidR="006732FC">
        <w:t>, ktorým klesol príjem,</w:t>
      </w:r>
      <w:r>
        <w:t xml:space="preserve"> predstavoval takmer</w:t>
      </w:r>
      <w:r w:rsidRPr="008C6D43">
        <w:t xml:space="preserve"> </w:t>
      </w:r>
      <w:r w:rsidR="006732FC">
        <w:t>400</w:t>
      </w:r>
      <w:r w:rsidRPr="008C6D43">
        <w:t xml:space="preserve"> </w:t>
      </w:r>
      <w:r>
        <w:t xml:space="preserve">€. Takmer </w:t>
      </w:r>
      <w:r w:rsidR="0068581E">
        <w:t>v 9 %</w:t>
      </w:r>
      <w:r>
        <w:t xml:space="preserve"> domácností jeden </w:t>
      </w:r>
      <w:r w:rsidR="0068581E">
        <w:t>z </w:t>
      </w:r>
      <w:r>
        <w:t xml:space="preserve">členov prišiel </w:t>
      </w:r>
      <w:r w:rsidR="0068581E">
        <w:t>o </w:t>
      </w:r>
      <w:r>
        <w:t xml:space="preserve">prácu alebo bol nútený ukončiť alebo pozastaviť podnikanie. Takmer každá štvrtá domácnosť reagovala na pokles príjmu šetrením na strane výdavkov. Znížením výdavkov kompenzovali </w:t>
      </w:r>
      <w:r w:rsidR="0068581E">
        <w:t>v </w:t>
      </w:r>
      <w:r>
        <w:t xml:space="preserve">priemere približne štvrtinu výpadku príjmu. </w:t>
      </w:r>
    </w:p>
    <w:bookmarkEnd w:id="13"/>
    <w:p w14:paraId="4B254893" w14:textId="239F3FD8" w:rsidR="00225672" w:rsidRDefault="006732FC" w:rsidP="001A7970">
      <w:r>
        <w:rPr>
          <w:b/>
          <w:bCs/>
        </w:rPr>
        <w:t>Podľa výsledkov augustového prieskumu</w:t>
      </w:r>
      <w:r w:rsidR="00225672">
        <w:rPr>
          <w:b/>
          <w:bCs/>
        </w:rPr>
        <w:t xml:space="preserve"> sa však časti domácností príjmy obnovili opäť na predkrízovú úroveň. </w:t>
      </w:r>
      <w:r w:rsidR="0068581E">
        <w:t>Z </w:t>
      </w:r>
      <w:r w:rsidR="00225672" w:rsidRPr="00023A9B">
        <w:t xml:space="preserve">domácností, ktorých príjmy </w:t>
      </w:r>
      <w:r>
        <w:t>do</w:t>
      </w:r>
      <w:r w:rsidR="00225672" w:rsidRPr="00023A9B">
        <w:t> júl</w:t>
      </w:r>
      <w:r>
        <w:t>a</w:t>
      </w:r>
      <w:r w:rsidR="00225672" w:rsidRPr="00023A9B">
        <w:t xml:space="preserve"> zaostávali za predkrízov</w:t>
      </w:r>
      <w:r>
        <w:t>ou</w:t>
      </w:r>
      <w:r w:rsidR="00225672" w:rsidRPr="00023A9B">
        <w:t xml:space="preserve"> úrovň</w:t>
      </w:r>
      <w:r>
        <w:t>ou</w:t>
      </w:r>
      <w:r w:rsidR="00225672" w:rsidRPr="00023A9B">
        <w:t xml:space="preserve"> (polovica zadlžených domácností)</w:t>
      </w:r>
      <w:r w:rsidR="00225672">
        <w:t>,</w:t>
      </w:r>
      <w:r w:rsidR="00225672" w:rsidRPr="00023A9B">
        <w:t xml:space="preserve"> sa </w:t>
      </w:r>
      <w:r>
        <w:t xml:space="preserve">do </w:t>
      </w:r>
      <w:r w:rsidR="00225672" w:rsidRPr="00023A9B">
        <w:t>augusta</w:t>
      </w:r>
      <w:r w:rsidR="005514B1">
        <w:t xml:space="preserve"> vrátilo</w:t>
      </w:r>
      <w:r w:rsidR="00225672" w:rsidRPr="00023A9B">
        <w:t xml:space="preserve"> aspoň na predkrízovú úroveň </w:t>
      </w:r>
      <w:r w:rsidR="00225672">
        <w:t>4</w:t>
      </w:r>
      <w:r w:rsidR="0068581E">
        <w:t>0 %</w:t>
      </w:r>
      <w:r w:rsidR="00225672" w:rsidRPr="00023A9B">
        <w:t>.</w:t>
      </w:r>
      <w:r w:rsidR="00225672">
        <w:t xml:space="preserve"> Naopak, takmer štvrtina </w:t>
      </w:r>
      <w:r w:rsidR="0068581E">
        <w:t>z </w:t>
      </w:r>
      <w:r w:rsidR="0007004E">
        <w:t>domácností, ktorých príjmy do júla zaostávali za predkrízovou úrovňou,</w:t>
      </w:r>
      <w:r w:rsidR="00225672">
        <w:t xml:space="preserve"> zaznamenala </w:t>
      </w:r>
      <w:r w:rsidR="0007004E">
        <w:t xml:space="preserve">podľa augustového prieskumu </w:t>
      </w:r>
      <w:r w:rsidR="00225672">
        <w:t xml:space="preserve">ďalší pokles príjmov. </w:t>
      </w:r>
    </w:p>
    <w:p w14:paraId="1E8EE7E3" w14:textId="77777777" w:rsidR="000576BD" w:rsidRDefault="000576BD" w:rsidP="00225672">
      <w:pPr>
        <w:spacing w:after="0"/>
      </w:pPr>
    </w:p>
    <w:p w14:paraId="635038CA" w14:textId="1068DECA" w:rsidR="00225672" w:rsidRPr="00225672" w:rsidRDefault="00225672" w:rsidP="007A1EB1">
      <w:pPr>
        <w:pStyle w:val="Nadpisgrafu"/>
      </w:pPr>
      <w:r w:rsidRPr="00225672">
        <w:t xml:space="preserve">Schéma </w:t>
      </w:r>
      <w:fldSimple w:instr=" SEQ Schéma \* ARABIC ">
        <w:r w:rsidR="00A02A40">
          <w:rPr>
            <w:noProof/>
          </w:rPr>
          <w:t>1</w:t>
        </w:r>
      </w:fldSimple>
      <w:r w:rsidRPr="00225672">
        <w:t xml:space="preserve"> </w:t>
      </w:r>
      <w:r w:rsidR="000576BD">
        <w:t>Podľa augustového prieskumu</w:t>
      </w:r>
      <w:r w:rsidRPr="00225672">
        <w:t xml:space="preserve"> sa príjmy časti domácností obnovili na predkrízovú úroveň</w:t>
      </w:r>
    </w:p>
    <w:p w14:paraId="179F7786" w14:textId="1548886C" w:rsidR="00225672" w:rsidRDefault="004254C2" w:rsidP="004254C2">
      <w:r>
        <w:rPr>
          <w:noProof/>
        </w:rPr>
        <w:drawing>
          <wp:inline distT="0" distB="0" distL="0" distR="0" wp14:anchorId="1AA6459E" wp14:editId="71AFF466">
            <wp:extent cx="4679950" cy="22180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9950" cy="2218055"/>
                    </a:xfrm>
                    <a:prstGeom prst="rect">
                      <a:avLst/>
                    </a:prstGeom>
                  </pic:spPr>
                </pic:pic>
              </a:graphicData>
            </a:graphic>
          </wp:inline>
        </w:drawing>
      </w:r>
    </w:p>
    <w:p w14:paraId="66AEE530" w14:textId="77777777" w:rsidR="00225672" w:rsidRDefault="00225672" w:rsidP="004254C2">
      <w:pPr>
        <w:pStyle w:val="Podgrafom"/>
      </w:pPr>
      <w:r>
        <w:t>Zdroj: NBS (júlový a augustový prieskum medzi zadlženými domácnosťami)</w:t>
      </w:r>
    </w:p>
    <w:p w14:paraId="5E9B5886" w14:textId="3B5F8ED1" w:rsidR="00225672" w:rsidRDefault="00225672" w:rsidP="004254C2">
      <w:pPr>
        <w:pStyle w:val="Podgrafom"/>
      </w:pPr>
      <w:r>
        <w:t>Poznámk</w:t>
      </w:r>
      <w:r w:rsidR="004E31D0">
        <w:t>a</w:t>
      </w:r>
      <w:r>
        <w:t>: Percentá zobrazujú podiel na celkovom počte zadlžených domácností</w:t>
      </w:r>
      <w:r w:rsidR="006732FC">
        <w:t xml:space="preserve"> a vychádzajú </w:t>
      </w:r>
      <w:r w:rsidR="0068581E">
        <w:t>z </w:t>
      </w:r>
      <w:r w:rsidR="006732FC">
        <w:t xml:space="preserve">odpovede na otázku </w:t>
      </w:r>
      <w:r w:rsidR="0068581E">
        <w:t>o </w:t>
      </w:r>
      <w:r w:rsidR="006732FC">
        <w:t xml:space="preserve">koľko sa domácnosti zmenil príjem </w:t>
      </w:r>
      <w:r w:rsidR="0068581E">
        <w:t>v </w:t>
      </w:r>
      <w:r w:rsidR="006732FC">
        <w:t xml:space="preserve">porovnaní </w:t>
      </w:r>
      <w:r w:rsidR="0068581E">
        <w:t>s </w:t>
      </w:r>
      <w:r w:rsidR="006732FC">
        <w:t>predkrízovým obdobím</w:t>
      </w:r>
      <w:r>
        <w:t xml:space="preserve">. Zmena počas augusta bola vypočítaná na </w:t>
      </w:r>
      <w:r w:rsidR="006732FC">
        <w:t xml:space="preserve">časti </w:t>
      </w:r>
      <w:r>
        <w:t>vzork</w:t>
      </w:r>
      <w:r w:rsidR="006732FC">
        <w:t xml:space="preserve">y </w:t>
      </w:r>
      <w:r w:rsidR="0068581E">
        <w:t>v </w:t>
      </w:r>
      <w:r w:rsidR="006732FC">
        <w:t>počte</w:t>
      </w:r>
      <w:r>
        <w:t xml:space="preserve"> 653 respondentov, ktorá bola spoločná pre júlové aj augustové kolo prieskumu, </w:t>
      </w:r>
      <w:r w:rsidR="0068581E">
        <w:t>s </w:t>
      </w:r>
      <w:r>
        <w:t xml:space="preserve">váhami zodpovedajúcimi júlovému prieskumu. </w:t>
      </w:r>
      <w:r w:rsidR="006732FC">
        <w:t xml:space="preserve">Keďže ide iba </w:t>
      </w:r>
      <w:r w:rsidR="0068581E">
        <w:t>o </w:t>
      </w:r>
      <w:r w:rsidR="006732FC">
        <w:t>časť vzorky, táto vzorka nemusí mať priradené správne panelové váhy</w:t>
      </w:r>
      <w:r>
        <w:t xml:space="preserve"> </w:t>
      </w:r>
      <w:r w:rsidR="006732FC">
        <w:t>a</w:t>
      </w:r>
      <w:r w:rsidR="006478C0">
        <w:t> uvedené údaje</w:t>
      </w:r>
      <w:r w:rsidR="006732FC">
        <w:t xml:space="preserve"> preto treba interpretovať obozretne. </w:t>
      </w:r>
    </w:p>
    <w:p w14:paraId="089FF0B6" w14:textId="77777777" w:rsidR="00225672" w:rsidRDefault="00225672" w:rsidP="00225672">
      <w:pPr>
        <w:pStyle w:val="Podgrafom"/>
      </w:pPr>
    </w:p>
    <w:p w14:paraId="7AE23C66" w14:textId="33EF895E" w:rsidR="00225672" w:rsidRDefault="0068581E" w:rsidP="001A7970">
      <w:r>
        <w:rPr>
          <w:b/>
          <w:bCs/>
        </w:rPr>
        <w:t>O </w:t>
      </w:r>
      <w:r w:rsidR="00225672" w:rsidRPr="001A32C0">
        <w:rPr>
          <w:b/>
          <w:bCs/>
        </w:rPr>
        <w:t>odklad požiadalo 5,</w:t>
      </w:r>
      <w:r>
        <w:rPr>
          <w:b/>
          <w:bCs/>
        </w:rPr>
        <w:t>4 %</w:t>
      </w:r>
      <w:r w:rsidR="00225672" w:rsidRPr="001A32C0">
        <w:rPr>
          <w:b/>
          <w:bCs/>
        </w:rPr>
        <w:t xml:space="preserve"> zadlžených domácností, čo prestavuje približne 40</w:t>
      </w:r>
      <w:r w:rsidR="004E31D0">
        <w:rPr>
          <w:b/>
          <w:bCs/>
        </w:rPr>
        <w:t xml:space="preserve">-tisíc </w:t>
      </w:r>
      <w:r w:rsidR="00225672" w:rsidRPr="001A32C0">
        <w:rPr>
          <w:b/>
          <w:bCs/>
        </w:rPr>
        <w:t xml:space="preserve">domácností. </w:t>
      </w:r>
      <w:r w:rsidR="00225672" w:rsidRPr="0083024C">
        <w:t>Väčšina preferovala maximálnu dĺžku odkladu (9</w:t>
      </w:r>
      <w:r w:rsidR="004E31D0">
        <w:t> </w:t>
      </w:r>
      <w:r w:rsidR="00225672" w:rsidRPr="0083024C">
        <w:t xml:space="preserve"> mesiacov). Ďalš</w:t>
      </w:r>
      <w:r w:rsidR="00225672">
        <w:t xml:space="preserve">ie </w:t>
      </w:r>
      <w:r w:rsidR="00225672" w:rsidRPr="0083024C">
        <w:t>domácnost</w:t>
      </w:r>
      <w:r w:rsidR="005514B1">
        <w:t>i</w:t>
      </w:r>
      <w:r w:rsidR="00225672" w:rsidRPr="0083024C">
        <w:t xml:space="preserve"> kvôli </w:t>
      </w:r>
      <w:proofErr w:type="spellStart"/>
      <w:r w:rsidR="00225672" w:rsidRPr="0083024C">
        <w:t>koronakríze</w:t>
      </w:r>
      <w:proofErr w:type="spellEnd"/>
      <w:r w:rsidR="00225672" w:rsidRPr="0083024C">
        <w:t xml:space="preserve"> požiadali </w:t>
      </w:r>
      <w:r>
        <w:t>o </w:t>
      </w:r>
      <w:r w:rsidR="00225672" w:rsidRPr="0083024C">
        <w:t xml:space="preserve">iné zmeny </w:t>
      </w:r>
      <w:r>
        <w:t>v </w:t>
      </w:r>
      <w:r w:rsidR="00225672" w:rsidRPr="0083024C">
        <w:t xml:space="preserve">oblasti svojich úverov </w:t>
      </w:r>
      <w:r w:rsidR="00225672">
        <w:t>(n</w:t>
      </w:r>
      <w:r w:rsidR="00225672" w:rsidRPr="0083024C">
        <w:t xml:space="preserve">apr. zníženie splátky alebo </w:t>
      </w:r>
      <w:proofErr w:type="spellStart"/>
      <w:r w:rsidR="00225672" w:rsidRPr="0083024C">
        <w:t>prefinancovanie</w:t>
      </w:r>
      <w:proofErr w:type="spellEnd"/>
      <w:r w:rsidR="00225672" w:rsidRPr="0083024C">
        <w:t xml:space="preserve"> prostredníctvom nového úveru</w:t>
      </w:r>
      <w:r w:rsidR="00225672">
        <w:t xml:space="preserve">), alebo si plánujú vybaviť nejaké zmeny </w:t>
      </w:r>
      <w:r>
        <w:t>v </w:t>
      </w:r>
      <w:r w:rsidR="00225672">
        <w:t>budúcnosti</w:t>
      </w:r>
      <w:r w:rsidR="00225672" w:rsidRPr="0083024C">
        <w:t>.</w:t>
      </w:r>
      <w:r w:rsidR="00225672">
        <w:t xml:space="preserve"> Podrobnejšie údaje </w:t>
      </w:r>
      <w:r w:rsidR="00225672" w:rsidRPr="004A6CEB">
        <w:t xml:space="preserve">uvádza </w:t>
      </w:r>
      <w:r w:rsidR="004A6CEB" w:rsidRPr="004A6CEB">
        <w:fldChar w:fldCharType="begin"/>
      </w:r>
      <w:r w:rsidR="004A6CEB" w:rsidRPr="004A6CEB">
        <w:instrText xml:space="preserve"> REF _Ref51323146 \h  \* MERGEFORMAT </w:instrText>
      </w:r>
      <w:r w:rsidR="004A6CEB" w:rsidRPr="004A6CEB">
        <w:fldChar w:fldCharType="separate"/>
      </w:r>
      <w:r w:rsidR="00A02A40" w:rsidRPr="00A02A40">
        <w:t xml:space="preserve">Tabuľka </w:t>
      </w:r>
      <w:r w:rsidR="00A02A40" w:rsidRPr="00A02A40">
        <w:rPr>
          <w:noProof/>
        </w:rPr>
        <w:t>1</w:t>
      </w:r>
      <w:r w:rsidR="004A6CEB" w:rsidRPr="004A6CEB">
        <w:fldChar w:fldCharType="end"/>
      </w:r>
      <w:r w:rsidR="00225672" w:rsidRPr="004A6CEB">
        <w:t>.</w:t>
      </w:r>
      <w:r w:rsidR="00225672">
        <w:t xml:space="preserve"> </w:t>
      </w:r>
    </w:p>
    <w:tbl>
      <w:tblPr>
        <w:tblW w:w="7371" w:type="dxa"/>
        <w:tblInd w:w="-15" w:type="dxa"/>
        <w:tblLayout w:type="fixed"/>
        <w:tblCellMar>
          <w:left w:w="70" w:type="dxa"/>
          <w:right w:w="70" w:type="dxa"/>
        </w:tblCellMar>
        <w:tblLook w:val="04A0" w:firstRow="1" w:lastRow="0" w:firstColumn="1" w:lastColumn="0" w:noHBand="0" w:noVBand="1"/>
      </w:tblPr>
      <w:tblGrid>
        <w:gridCol w:w="4395"/>
        <w:gridCol w:w="1701"/>
        <w:gridCol w:w="1275"/>
      </w:tblGrid>
      <w:tr w:rsidR="00225672" w:rsidRPr="004C4FE3" w14:paraId="11344E56" w14:textId="77777777" w:rsidTr="00E538F3">
        <w:trPr>
          <w:trHeight w:val="681"/>
        </w:trPr>
        <w:tc>
          <w:tcPr>
            <w:tcW w:w="7371" w:type="dxa"/>
            <w:gridSpan w:val="3"/>
            <w:tcBorders>
              <w:top w:val="single" w:sz="12" w:space="0" w:color="0067AC"/>
              <w:left w:val="single" w:sz="12" w:space="0" w:color="0067AC"/>
              <w:bottom w:val="single" w:sz="12" w:space="0" w:color="4472C4"/>
              <w:right w:val="single" w:sz="12" w:space="0" w:color="0067AC"/>
            </w:tcBorders>
            <w:shd w:val="clear" w:color="auto" w:fill="0067AC"/>
            <w:noWrap/>
            <w:vAlign w:val="center"/>
          </w:tcPr>
          <w:p w14:paraId="698E3FD9" w14:textId="2D4F24EC" w:rsidR="00225672" w:rsidRPr="00910BCF" w:rsidRDefault="00225672" w:rsidP="00E538F3">
            <w:pPr>
              <w:pStyle w:val="Nadpistabuky"/>
              <w:keepNext/>
              <w:spacing w:before="0"/>
              <w:jc w:val="left"/>
              <w:rPr>
                <w:b/>
                <w:bCs/>
              </w:rPr>
            </w:pPr>
            <w:bookmarkStart w:id="14" w:name="_Ref51323146"/>
            <w:r w:rsidRPr="00910BCF">
              <w:rPr>
                <w:b/>
                <w:bCs/>
              </w:rPr>
              <w:lastRenderedPageBreak/>
              <w:t xml:space="preserve">Tabuľka </w:t>
            </w:r>
            <w:r w:rsidRPr="00910BCF">
              <w:rPr>
                <w:b/>
                <w:bCs/>
              </w:rPr>
              <w:fldChar w:fldCharType="begin"/>
            </w:r>
            <w:r w:rsidRPr="00910BCF">
              <w:rPr>
                <w:b/>
                <w:bCs/>
              </w:rPr>
              <w:instrText xml:space="preserve"> SEQ Tabuľka \* ARABIC </w:instrText>
            </w:r>
            <w:r w:rsidRPr="00910BCF">
              <w:rPr>
                <w:b/>
                <w:bCs/>
              </w:rPr>
              <w:fldChar w:fldCharType="separate"/>
            </w:r>
            <w:r w:rsidR="00A02A40">
              <w:rPr>
                <w:b/>
                <w:bCs/>
                <w:noProof/>
              </w:rPr>
              <w:t>1</w:t>
            </w:r>
            <w:r w:rsidRPr="00910BCF">
              <w:rPr>
                <w:b/>
                <w:bCs/>
                <w:noProof/>
              </w:rPr>
              <w:fldChar w:fldCharType="end"/>
            </w:r>
            <w:bookmarkEnd w:id="14"/>
            <w:r w:rsidRPr="00910BCF">
              <w:rPr>
                <w:b/>
                <w:bCs/>
              </w:rPr>
              <w:t xml:space="preserve"> </w:t>
            </w:r>
            <w:r>
              <w:rPr>
                <w:b/>
                <w:bCs/>
              </w:rPr>
              <w:t xml:space="preserve">Domácnosti, ktoré kvôli </w:t>
            </w:r>
            <w:proofErr w:type="spellStart"/>
            <w:r>
              <w:rPr>
                <w:b/>
                <w:bCs/>
              </w:rPr>
              <w:t>koronakríze</w:t>
            </w:r>
            <w:proofErr w:type="spellEnd"/>
            <w:r>
              <w:rPr>
                <w:b/>
                <w:bCs/>
              </w:rPr>
              <w:t xml:space="preserve"> upravili alebo plánujú upraviť svoje úverové podmienky</w:t>
            </w:r>
          </w:p>
        </w:tc>
      </w:tr>
      <w:tr w:rsidR="00225672" w:rsidRPr="00300D25" w14:paraId="3E184D7B" w14:textId="77777777" w:rsidTr="00F757BB">
        <w:trPr>
          <w:trHeight w:val="238"/>
        </w:trPr>
        <w:tc>
          <w:tcPr>
            <w:tcW w:w="4395" w:type="dxa"/>
            <w:tcBorders>
              <w:top w:val="single" w:sz="12" w:space="0" w:color="0067AC"/>
              <w:left w:val="single" w:sz="12" w:space="0" w:color="0067AC"/>
              <w:bottom w:val="single" w:sz="12" w:space="0" w:color="0067AC"/>
              <w:right w:val="single" w:sz="12" w:space="0" w:color="0067AC"/>
            </w:tcBorders>
            <w:shd w:val="clear" w:color="auto" w:fill="auto"/>
            <w:noWrap/>
            <w:vAlign w:val="center"/>
          </w:tcPr>
          <w:p w14:paraId="1EADFF4D" w14:textId="77777777" w:rsidR="00225672" w:rsidRDefault="00225672" w:rsidP="00F757BB">
            <w:pPr>
              <w:keepNext/>
              <w:spacing w:after="0" w:line="240" w:lineRule="auto"/>
              <w:jc w:val="center"/>
              <w:rPr>
                <w:rFonts w:eastAsia="Times New Roman"/>
                <w:color w:val="0067AC"/>
              </w:rPr>
            </w:pPr>
          </w:p>
        </w:tc>
        <w:tc>
          <w:tcPr>
            <w:tcW w:w="1701" w:type="dxa"/>
            <w:tcBorders>
              <w:top w:val="single" w:sz="12" w:space="0" w:color="0067AC"/>
              <w:left w:val="single" w:sz="12" w:space="0" w:color="0067AC"/>
              <w:bottom w:val="single" w:sz="12" w:space="0" w:color="0067AC"/>
              <w:right w:val="single" w:sz="12" w:space="0" w:color="0067AC"/>
            </w:tcBorders>
            <w:shd w:val="clear" w:color="auto" w:fill="auto"/>
            <w:vAlign w:val="center"/>
          </w:tcPr>
          <w:p w14:paraId="14280072" w14:textId="77777777" w:rsidR="00225672" w:rsidRDefault="00225672" w:rsidP="00F757BB">
            <w:pPr>
              <w:keepNext/>
              <w:spacing w:after="0" w:line="240" w:lineRule="auto"/>
              <w:jc w:val="center"/>
              <w:rPr>
                <w:rFonts w:eastAsia="Times New Roman"/>
                <w:color w:val="0067AC"/>
              </w:rPr>
            </w:pPr>
            <w:r>
              <w:rPr>
                <w:rFonts w:eastAsia="Times New Roman"/>
                <w:color w:val="0067AC"/>
              </w:rPr>
              <w:t>Podiel na zadlžených domácnostiach</w:t>
            </w:r>
          </w:p>
        </w:tc>
        <w:tc>
          <w:tcPr>
            <w:tcW w:w="1275" w:type="dxa"/>
            <w:tcBorders>
              <w:top w:val="single" w:sz="12" w:space="0" w:color="0067AC"/>
              <w:left w:val="single" w:sz="12" w:space="0" w:color="0067AC"/>
              <w:bottom w:val="single" w:sz="12" w:space="0" w:color="0067AC"/>
              <w:right w:val="single" w:sz="12" w:space="0" w:color="0067AC"/>
            </w:tcBorders>
            <w:shd w:val="clear" w:color="auto" w:fill="auto"/>
            <w:vAlign w:val="center"/>
          </w:tcPr>
          <w:p w14:paraId="5DA5D63A" w14:textId="77777777" w:rsidR="00225672" w:rsidRDefault="00225672" w:rsidP="00F757BB">
            <w:pPr>
              <w:keepNext/>
              <w:spacing w:after="0" w:line="240" w:lineRule="auto"/>
              <w:jc w:val="center"/>
              <w:rPr>
                <w:rFonts w:eastAsia="Times New Roman"/>
                <w:color w:val="0067AC"/>
              </w:rPr>
            </w:pPr>
            <w:r>
              <w:rPr>
                <w:rFonts w:eastAsia="Times New Roman"/>
                <w:color w:val="0067AC"/>
              </w:rPr>
              <w:t>Počet</w:t>
            </w:r>
          </w:p>
        </w:tc>
      </w:tr>
      <w:tr w:rsidR="00225672" w:rsidRPr="00300D25" w14:paraId="1570E56F" w14:textId="77777777" w:rsidTr="00F757BB">
        <w:trPr>
          <w:trHeight w:val="238"/>
        </w:trPr>
        <w:tc>
          <w:tcPr>
            <w:tcW w:w="4395"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hideMark/>
          </w:tcPr>
          <w:p w14:paraId="45613C6D" w14:textId="77777777" w:rsidR="00225672" w:rsidRPr="00481E67" w:rsidRDefault="00225672" w:rsidP="00F757BB">
            <w:pPr>
              <w:keepNext/>
              <w:spacing w:after="0" w:line="240" w:lineRule="auto"/>
              <w:rPr>
                <w:rFonts w:eastAsia="Times New Roman"/>
                <w:color w:val="0067AC" w:themeColor="accent1"/>
              </w:rPr>
            </w:pPr>
            <w:r>
              <w:rPr>
                <w:color w:val="0067AC" w:themeColor="accent1"/>
              </w:rPr>
              <w:t xml:space="preserve">Domácnosti, ktoré si vybavili odklad splátok </w:t>
            </w:r>
          </w:p>
        </w:tc>
        <w:tc>
          <w:tcPr>
            <w:tcW w:w="1701"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tcPr>
          <w:p w14:paraId="3E580C25" w14:textId="5B4025A1" w:rsidR="00225672" w:rsidRPr="008B737F" w:rsidRDefault="00225672" w:rsidP="00F757BB">
            <w:pPr>
              <w:keepNext/>
              <w:spacing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5,</w:t>
            </w:r>
            <w:r w:rsidR="0068581E">
              <w:rPr>
                <w:rFonts w:eastAsia="Times New Roman"/>
                <w:color w:val="0067AC" w:themeColor="accent1"/>
                <w:sz w:val="18"/>
                <w:szCs w:val="18"/>
              </w:rPr>
              <w:t>4 %</w:t>
            </w:r>
          </w:p>
        </w:tc>
        <w:tc>
          <w:tcPr>
            <w:tcW w:w="1275" w:type="dxa"/>
            <w:tcBorders>
              <w:top w:val="single" w:sz="12" w:space="0" w:color="0067AC"/>
              <w:left w:val="single" w:sz="12" w:space="0" w:color="0067AC"/>
              <w:bottom w:val="nil"/>
              <w:right w:val="single" w:sz="12" w:space="0" w:color="0067AC"/>
            </w:tcBorders>
            <w:shd w:val="clear" w:color="auto" w:fill="BBE3FF" w:themeFill="accent1" w:themeFillTint="33"/>
            <w:vAlign w:val="center"/>
          </w:tcPr>
          <w:p w14:paraId="52D6CC85" w14:textId="77777777" w:rsidR="00225672" w:rsidRPr="008B737F" w:rsidRDefault="00225672" w:rsidP="00F757BB">
            <w:pPr>
              <w:keepNext/>
              <w:spacing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40 000</w:t>
            </w:r>
          </w:p>
        </w:tc>
      </w:tr>
      <w:tr w:rsidR="00225672" w:rsidRPr="00300D25" w14:paraId="56F8F8A0" w14:textId="77777777" w:rsidTr="00F757BB">
        <w:trPr>
          <w:trHeight w:val="238"/>
        </w:trPr>
        <w:tc>
          <w:tcPr>
            <w:tcW w:w="4395" w:type="dxa"/>
            <w:tcBorders>
              <w:top w:val="nil"/>
              <w:left w:val="single" w:sz="12" w:space="0" w:color="0067AC"/>
              <w:bottom w:val="nil"/>
              <w:right w:val="single" w:sz="12" w:space="0" w:color="0067AC"/>
            </w:tcBorders>
            <w:shd w:val="clear" w:color="auto" w:fill="FFFFFF" w:themeFill="background1"/>
            <w:noWrap/>
            <w:vAlign w:val="center"/>
            <w:hideMark/>
          </w:tcPr>
          <w:p w14:paraId="271E8202" w14:textId="3F91ED89" w:rsidR="00225672" w:rsidRPr="00481E67" w:rsidRDefault="00225672" w:rsidP="00F757BB">
            <w:pPr>
              <w:keepNext/>
              <w:spacing w:after="0" w:line="240" w:lineRule="auto"/>
              <w:rPr>
                <w:color w:val="0067AC" w:themeColor="accent1"/>
              </w:rPr>
            </w:pPr>
            <w:r>
              <w:rPr>
                <w:color w:val="0067AC" w:themeColor="accent1"/>
              </w:rPr>
              <w:t xml:space="preserve">Domácnosti, ktoré nepožiadali </w:t>
            </w:r>
            <w:r w:rsidR="0068581E">
              <w:rPr>
                <w:color w:val="0067AC" w:themeColor="accent1"/>
              </w:rPr>
              <w:t>o </w:t>
            </w:r>
            <w:r>
              <w:rPr>
                <w:color w:val="0067AC" w:themeColor="accent1"/>
              </w:rPr>
              <w:t xml:space="preserve">odklad splátok, ale vybavili si </w:t>
            </w:r>
            <w:r w:rsidRPr="008B737F">
              <w:rPr>
                <w:color w:val="0067AC" w:themeColor="accent1"/>
              </w:rPr>
              <w:t xml:space="preserve">iné zmeny </w:t>
            </w:r>
            <w:r w:rsidR="0068581E">
              <w:rPr>
                <w:color w:val="0067AC" w:themeColor="accent1"/>
              </w:rPr>
              <w:t>v </w:t>
            </w:r>
            <w:r w:rsidRPr="008B737F">
              <w:rPr>
                <w:color w:val="0067AC" w:themeColor="accent1"/>
              </w:rPr>
              <w:t>oblasti svojich úverov</w:t>
            </w:r>
            <w:r w:rsidR="004E31D0" w:rsidRPr="00443E1A">
              <w:rPr>
                <w:color w:val="0067AC" w:themeColor="accent1"/>
                <w:vertAlign w:val="superscript"/>
              </w:rPr>
              <w:t xml:space="preserve"> 1</w:t>
            </w:r>
            <w:r w:rsidR="004E31D0">
              <w:rPr>
                <w:color w:val="0067AC" w:themeColor="accent1"/>
                <w:vertAlign w:val="superscript"/>
              </w:rPr>
              <w:t>)</w:t>
            </w:r>
            <w:r w:rsidRPr="008B737F">
              <w:rPr>
                <w:color w:val="0067AC" w:themeColor="accent1"/>
              </w:rPr>
              <w:t xml:space="preserve"> </w:t>
            </w:r>
          </w:p>
        </w:tc>
        <w:tc>
          <w:tcPr>
            <w:tcW w:w="1701" w:type="dxa"/>
            <w:tcBorders>
              <w:top w:val="nil"/>
              <w:left w:val="single" w:sz="12" w:space="0" w:color="0067AC"/>
              <w:bottom w:val="nil"/>
              <w:right w:val="single" w:sz="12" w:space="0" w:color="0067AC"/>
            </w:tcBorders>
            <w:shd w:val="clear" w:color="auto" w:fill="FFFFFF" w:themeFill="background1"/>
            <w:noWrap/>
            <w:vAlign w:val="center"/>
          </w:tcPr>
          <w:p w14:paraId="586E406C" w14:textId="11FDB6B8" w:rsidR="00225672" w:rsidRPr="008B737F" w:rsidRDefault="00225672" w:rsidP="00F757BB">
            <w:pPr>
              <w:keepNext/>
              <w:spacing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2,</w:t>
            </w:r>
            <w:r w:rsidR="0068581E">
              <w:rPr>
                <w:rFonts w:eastAsia="Times New Roman"/>
                <w:color w:val="0067AC" w:themeColor="accent1"/>
                <w:sz w:val="18"/>
                <w:szCs w:val="18"/>
              </w:rPr>
              <w:t>6 %</w:t>
            </w:r>
          </w:p>
        </w:tc>
        <w:tc>
          <w:tcPr>
            <w:tcW w:w="1275" w:type="dxa"/>
            <w:tcBorders>
              <w:top w:val="nil"/>
              <w:left w:val="single" w:sz="12" w:space="0" w:color="0067AC"/>
              <w:bottom w:val="nil"/>
              <w:right w:val="single" w:sz="12" w:space="0" w:color="0067AC"/>
            </w:tcBorders>
            <w:shd w:val="clear" w:color="auto" w:fill="FFFFFF" w:themeFill="background1"/>
            <w:vAlign w:val="center"/>
          </w:tcPr>
          <w:p w14:paraId="18AA43D5" w14:textId="77777777" w:rsidR="00225672" w:rsidRPr="008B737F" w:rsidRDefault="00225672" w:rsidP="00F757BB">
            <w:pPr>
              <w:keepNext/>
              <w:spacing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19 000</w:t>
            </w:r>
          </w:p>
        </w:tc>
      </w:tr>
      <w:tr w:rsidR="00225672" w:rsidRPr="00300D25" w14:paraId="729F4424" w14:textId="77777777" w:rsidTr="00F757BB">
        <w:trPr>
          <w:trHeight w:val="238"/>
        </w:trPr>
        <w:tc>
          <w:tcPr>
            <w:tcW w:w="4395" w:type="dxa"/>
            <w:tcBorders>
              <w:top w:val="nil"/>
              <w:left w:val="single" w:sz="12" w:space="0" w:color="0067AC"/>
              <w:bottom w:val="single" w:sz="12" w:space="0" w:color="0067AC" w:themeColor="accent1"/>
              <w:right w:val="single" w:sz="12" w:space="0" w:color="0067AC"/>
            </w:tcBorders>
            <w:shd w:val="clear" w:color="auto" w:fill="BBE3FF" w:themeFill="accent1" w:themeFillTint="33"/>
            <w:noWrap/>
            <w:vAlign w:val="center"/>
            <w:hideMark/>
          </w:tcPr>
          <w:p w14:paraId="2866FF72" w14:textId="600BE8D0" w:rsidR="00225672" w:rsidRPr="00481E67" w:rsidRDefault="00225672" w:rsidP="00F757BB">
            <w:pPr>
              <w:keepNext/>
              <w:spacing w:after="0" w:line="240" w:lineRule="auto"/>
              <w:rPr>
                <w:rFonts w:eastAsia="Times New Roman"/>
                <w:color w:val="0067AC" w:themeColor="accent1"/>
              </w:rPr>
            </w:pPr>
            <w:r>
              <w:rPr>
                <w:color w:val="0067AC" w:themeColor="accent1"/>
              </w:rPr>
              <w:t xml:space="preserve">Domácnosti, ktoré plánujú požiadať </w:t>
            </w:r>
            <w:r w:rsidR="0068581E">
              <w:rPr>
                <w:color w:val="0067AC" w:themeColor="accent1"/>
              </w:rPr>
              <w:t>o </w:t>
            </w:r>
            <w:r>
              <w:rPr>
                <w:color w:val="0067AC" w:themeColor="accent1"/>
              </w:rPr>
              <w:t>odklad splátok</w:t>
            </w:r>
          </w:p>
        </w:tc>
        <w:tc>
          <w:tcPr>
            <w:tcW w:w="1701" w:type="dxa"/>
            <w:tcBorders>
              <w:top w:val="nil"/>
              <w:left w:val="single" w:sz="12" w:space="0" w:color="0067AC"/>
              <w:bottom w:val="single" w:sz="12" w:space="0" w:color="0067AC" w:themeColor="accent1"/>
              <w:right w:val="single" w:sz="12" w:space="0" w:color="0067AC"/>
            </w:tcBorders>
            <w:shd w:val="clear" w:color="auto" w:fill="BBE3FF" w:themeFill="accent1" w:themeFillTint="33"/>
            <w:noWrap/>
            <w:vAlign w:val="center"/>
          </w:tcPr>
          <w:p w14:paraId="126292C8" w14:textId="5C6B8B1E" w:rsidR="00225672" w:rsidRPr="008B737F" w:rsidRDefault="00225672" w:rsidP="00F757BB">
            <w:pPr>
              <w:keepNext/>
              <w:spacing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2,</w:t>
            </w:r>
            <w:r w:rsidR="0068581E">
              <w:rPr>
                <w:rFonts w:eastAsia="Times New Roman"/>
                <w:color w:val="0067AC" w:themeColor="accent1"/>
                <w:sz w:val="18"/>
                <w:szCs w:val="18"/>
              </w:rPr>
              <w:t>3 %</w:t>
            </w:r>
          </w:p>
        </w:tc>
        <w:tc>
          <w:tcPr>
            <w:tcW w:w="1275" w:type="dxa"/>
            <w:tcBorders>
              <w:top w:val="nil"/>
              <w:left w:val="single" w:sz="12" w:space="0" w:color="0067AC"/>
              <w:bottom w:val="single" w:sz="12" w:space="0" w:color="0067AC" w:themeColor="accent1"/>
              <w:right w:val="single" w:sz="12" w:space="0" w:color="0067AC"/>
            </w:tcBorders>
            <w:shd w:val="clear" w:color="auto" w:fill="BBE3FF" w:themeFill="accent1" w:themeFillTint="33"/>
            <w:vAlign w:val="center"/>
          </w:tcPr>
          <w:p w14:paraId="6AA5B861" w14:textId="77777777" w:rsidR="00225672" w:rsidRPr="008B737F" w:rsidRDefault="00225672" w:rsidP="00F757BB">
            <w:pPr>
              <w:keepNext/>
              <w:spacing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17 000</w:t>
            </w:r>
          </w:p>
        </w:tc>
      </w:tr>
    </w:tbl>
    <w:p w14:paraId="6306104A" w14:textId="77777777" w:rsidR="00225672" w:rsidRDefault="00225672" w:rsidP="00225672">
      <w:pPr>
        <w:pStyle w:val="Podgrafom"/>
      </w:pPr>
      <w:r>
        <w:t>Zdroj: NBS (júlový prieskum medzi zadlženými domácnosťami)</w:t>
      </w:r>
    </w:p>
    <w:p w14:paraId="2A01CB66" w14:textId="4637D1D2" w:rsidR="00225672" w:rsidRDefault="00225672" w:rsidP="00225672">
      <w:pPr>
        <w:pStyle w:val="Podgrafom"/>
      </w:pPr>
      <w:r>
        <w:t xml:space="preserve">Poznámka: </w:t>
      </w:r>
      <w:r w:rsidR="004E31D0">
        <w:t>1)</w:t>
      </w:r>
      <w:r>
        <w:t xml:space="preserve"> Iné zmeny </w:t>
      </w:r>
      <w:r w:rsidR="0068581E">
        <w:t>v </w:t>
      </w:r>
      <w:r>
        <w:t xml:space="preserve">oblasti úverov zahŕňajú napr. </w:t>
      </w:r>
      <w:r w:rsidRPr="008B737F">
        <w:t xml:space="preserve">zníženie splátky alebo </w:t>
      </w:r>
      <w:proofErr w:type="spellStart"/>
      <w:r w:rsidRPr="008B737F">
        <w:t>prefinancovanie</w:t>
      </w:r>
      <w:proofErr w:type="spellEnd"/>
      <w:r w:rsidRPr="008B737F">
        <w:t xml:space="preserve"> prostredníctvom nového úveru</w:t>
      </w:r>
      <w:r w:rsidR="004E31D0">
        <w:t>.</w:t>
      </w:r>
    </w:p>
    <w:p w14:paraId="21E4CBB8" w14:textId="77777777" w:rsidR="00225672" w:rsidRDefault="00225672" w:rsidP="00225672">
      <w:pPr>
        <w:pStyle w:val="Podgrafom"/>
      </w:pPr>
    </w:p>
    <w:tbl>
      <w:tblPr>
        <w:tblW w:w="7371" w:type="dxa"/>
        <w:tblInd w:w="-15" w:type="dxa"/>
        <w:tblLayout w:type="fixed"/>
        <w:tblCellMar>
          <w:left w:w="70" w:type="dxa"/>
          <w:right w:w="70" w:type="dxa"/>
        </w:tblCellMar>
        <w:tblLook w:val="04A0" w:firstRow="1" w:lastRow="0" w:firstColumn="1" w:lastColumn="0" w:noHBand="0" w:noVBand="1"/>
      </w:tblPr>
      <w:tblGrid>
        <w:gridCol w:w="4678"/>
        <w:gridCol w:w="1134"/>
        <w:gridCol w:w="1559"/>
      </w:tblGrid>
      <w:tr w:rsidR="00225672" w:rsidRPr="004C4FE3" w14:paraId="6EC08B09" w14:textId="77777777" w:rsidTr="00F757BB">
        <w:trPr>
          <w:trHeight w:val="537"/>
        </w:trPr>
        <w:tc>
          <w:tcPr>
            <w:tcW w:w="7371" w:type="dxa"/>
            <w:gridSpan w:val="3"/>
            <w:tcBorders>
              <w:top w:val="single" w:sz="12" w:space="0" w:color="0067AC"/>
              <w:left w:val="single" w:sz="12" w:space="0" w:color="0067AC"/>
              <w:bottom w:val="single" w:sz="12" w:space="0" w:color="4472C4"/>
              <w:right w:val="single" w:sz="12" w:space="0" w:color="0067AC"/>
            </w:tcBorders>
            <w:shd w:val="clear" w:color="auto" w:fill="0067AC"/>
            <w:noWrap/>
            <w:vAlign w:val="center"/>
          </w:tcPr>
          <w:p w14:paraId="61680624" w14:textId="578C7276" w:rsidR="00225672" w:rsidRPr="00910BCF" w:rsidRDefault="00225672" w:rsidP="00E538F3">
            <w:pPr>
              <w:pStyle w:val="Nadpistabuky"/>
              <w:keepNext/>
              <w:spacing w:before="0"/>
              <w:jc w:val="left"/>
              <w:rPr>
                <w:b/>
                <w:bCs/>
              </w:rPr>
            </w:pPr>
            <w:r w:rsidRPr="00910BCF">
              <w:rPr>
                <w:b/>
                <w:bCs/>
              </w:rPr>
              <w:t xml:space="preserve">Tabuľka </w:t>
            </w:r>
            <w:r w:rsidRPr="00910BCF">
              <w:rPr>
                <w:b/>
                <w:bCs/>
              </w:rPr>
              <w:fldChar w:fldCharType="begin"/>
            </w:r>
            <w:r w:rsidRPr="00910BCF">
              <w:rPr>
                <w:b/>
                <w:bCs/>
              </w:rPr>
              <w:instrText xml:space="preserve"> SEQ Tabuľka \* ARABIC </w:instrText>
            </w:r>
            <w:r w:rsidRPr="00910BCF">
              <w:rPr>
                <w:b/>
                <w:bCs/>
              </w:rPr>
              <w:fldChar w:fldCharType="separate"/>
            </w:r>
            <w:r w:rsidR="00A02A40">
              <w:rPr>
                <w:b/>
                <w:bCs/>
                <w:noProof/>
              </w:rPr>
              <w:t>2</w:t>
            </w:r>
            <w:r w:rsidRPr="00910BCF">
              <w:rPr>
                <w:b/>
                <w:bCs/>
                <w:noProof/>
              </w:rPr>
              <w:fldChar w:fldCharType="end"/>
            </w:r>
            <w:r w:rsidRPr="00910BCF">
              <w:rPr>
                <w:b/>
                <w:bCs/>
              </w:rPr>
              <w:t xml:space="preserve"> </w:t>
            </w:r>
            <w:r>
              <w:rPr>
                <w:b/>
                <w:bCs/>
              </w:rPr>
              <w:t>Podrobnejšie údaje týkajúce sa odkladu splátok</w:t>
            </w:r>
          </w:p>
        </w:tc>
      </w:tr>
      <w:tr w:rsidR="00225672" w:rsidRPr="00300D25" w14:paraId="7AB4D9C2" w14:textId="77777777" w:rsidTr="00F757BB">
        <w:trPr>
          <w:trHeight w:val="238"/>
        </w:trPr>
        <w:tc>
          <w:tcPr>
            <w:tcW w:w="4678" w:type="dxa"/>
            <w:tcBorders>
              <w:top w:val="single" w:sz="12" w:space="0" w:color="0067AC"/>
              <w:left w:val="single" w:sz="12" w:space="0" w:color="0067AC"/>
              <w:bottom w:val="single" w:sz="12" w:space="0" w:color="0067AC"/>
              <w:right w:val="single" w:sz="12" w:space="0" w:color="0067AC"/>
            </w:tcBorders>
            <w:shd w:val="clear" w:color="auto" w:fill="auto"/>
            <w:noWrap/>
            <w:vAlign w:val="center"/>
          </w:tcPr>
          <w:p w14:paraId="6BA2D10D" w14:textId="77777777" w:rsidR="00225672" w:rsidRDefault="00225672" w:rsidP="00F757BB">
            <w:pPr>
              <w:keepNext/>
              <w:spacing w:after="0" w:line="240" w:lineRule="auto"/>
              <w:jc w:val="center"/>
              <w:rPr>
                <w:rFonts w:eastAsia="Times New Roman"/>
                <w:color w:val="0067AC"/>
              </w:rPr>
            </w:pPr>
          </w:p>
        </w:tc>
        <w:tc>
          <w:tcPr>
            <w:tcW w:w="1134" w:type="dxa"/>
            <w:tcBorders>
              <w:top w:val="single" w:sz="12" w:space="0" w:color="0067AC"/>
              <w:left w:val="single" w:sz="12" w:space="0" w:color="0067AC"/>
              <w:bottom w:val="single" w:sz="12" w:space="0" w:color="0067AC"/>
              <w:right w:val="single" w:sz="12" w:space="0" w:color="0067AC"/>
            </w:tcBorders>
            <w:shd w:val="clear" w:color="auto" w:fill="auto"/>
            <w:vAlign w:val="center"/>
          </w:tcPr>
          <w:p w14:paraId="603AD86E" w14:textId="77777777" w:rsidR="00225672" w:rsidRDefault="00225672" w:rsidP="00F757BB">
            <w:pPr>
              <w:keepNext/>
              <w:spacing w:after="0" w:line="240" w:lineRule="auto"/>
              <w:jc w:val="center"/>
              <w:rPr>
                <w:rFonts w:eastAsia="Times New Roman"/>
                <w:color w:val="0067AC"/>
              </w:rPr>
            </w:pPr>
            <w:r>
              <w:rPr>
                <w:rFonts w:eastAsia="Times New Roman"/>
                <w:color w:val="0067AC"/>
              </w:rPr>
              <w:t>Úvery na bývanie</w:t>
            </w:r>
          </w:p>
        </w:tc>
        <w:tc>
          <w:tcPr>
            <w:tcW w:w="1559" w:type="dxa"/>
            <w:tcBorders>
              <w:top w:val="single" w:sz="12" w:space="0" w:color="0067AC"/>
              <w:left w:val="single" w:sz="12" w:space="0" w:color="0067AC"/>
              <w:bottom w:val="single" w:sz="12" w:space="0" w:color="0067AC"/>
              <w:right w:val="single" w:sz="12" w:space="0" w:color="0067AC"/>
            </w:tcBorders>
            <w:shd w:val="clear" w:color="auto" w:fill="auto"/>
            <w:vAlign w:val="center"/>
          </w:tcPr>
          <w:p w14:paraId="4C8DE5C7" w14:textId="77777777" w:rsidR="00225672" w:rsidRDefault="00225672" w:rsidP="00F757BB">
            <w:pPr>
              <w:keepNext/>
              <w:spacing w:after="0" w:line="240" w:lineRule="auto"/>
              <w:jc w:val="center"/>
              <w:rPr>
                <w:rFonts w:eastAsia="Times New Roman"/>
                <w:color w:val="0067AC"/>
              </w:rPr>
            </w:pPr>
            <w:r>
              <w:rPr>
                <w:rFonts w:eastAsia="Times New Roman"/>
                <w:color w:val="0067AC"/>
              </w:rPr>
              <w:t>Spotrebiteľské úvery</w:t>
            </w:r>
          </w:p>
        </w:tc>
      </w:tr>
      <w:tr w:rsidR="00225672" w:rsidRPr="00300D25" w14:paraId="3C3613BE" w14:textId="77777777" w:rsidTr="00F757BB">
        <w:trPr>
          <w:trHeight w:val="238"/>
        </w:trPr>
        <w:tc>
          <w:tcPr>
            <w:tcW w:w="4678"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hideMark/>
          </w:tcPr>
          <w:p w14:paraId="0712D8D9" w14:textId="77777777" w:rsidR="00225672" w:rsidRPr="00481E67" w:rsidRDefault="00225672" w:rsidP="00F757BB">
            <w:pPr>
              <w:keepNext/>
              <w:spacing w:after="0" w:line="240" w:lineRule="auto"/>
              <w:rPr>
                <w:rFonts w:eastAsia="Times New Roman"/>
                <w:color w:val="0067AC" w:themeColor="accent1"/>
              </w:rPr>
            </w:pPr>
            <w:r>
              <w:rPr>
                <w:color w:val="0067AC" w:themeColor="accent1"/>
              </w:rPr>
              <w:t xml:space="preserve">Počet odložených úverov </w:t>
            </w:r>
          </w:p>
        </w:tc>
        <w:tc>
          <w:tcPr>
            <w:tcW w:w="1134"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tcPr>
          <w:p w14:paraId="7915A990" w14:textId="0E56836F"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53</w:t>
            </w:r>
            <w:r w:rsidR="009454B1">
              <w:rPr>
                <w:rFonts w:eastAsia="Times New Roman"/>
                <w:color w:val="0067AC" w:themeColor="accent1"/>
                <w:sz w:val="18"/>
                <w:szCs w:val="18"/>
              </w:rPr>
              <w:t>-</w:t>
            </w:r>
            <w:r>
              <w:rPr>
                <w:rFonts w:eastAsia="Times New Roman"/>
                <w:color w:val="0067AC" w:themeColor="accent1"/>
                <w:sz w:val="18"/>
                <w:szCs w:val="18"/>
              </w:rPr>
              <w:t>tisíc</w:t>
            </w:r>
          </w:p>
        </w:tc>
        <w:tc>
          <w:tcPr>
            <w:tcW w:w="1559" w:type="dxa"/>
            <w:tcBorders>
              <w:top w:val="single" w:sz="12" w:space="0" w:color="0067AC"/>
              <w:left w:val="single" w:sz="12" w:space="0" w:color="0067AC"/>
              <w:bottom w:val="nil"/>
              <w:right w:val="single" w:sz="12" w:space="0" w:color="0067AC"/>
            </w:tcBorders>
            <w:shd w:val="clear" w:color="auto" w:fill="BBE3FF" w:themeFill="accent1" w:themeFillTint="33"/>
            <w:vAlign w:val="center"/>
          </w:tcPr>
          <w:p w14:paraId="4F16E403" w14:textId="27FCEBE7"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65</w:t>
            </w:r>
            <w:r w:rsidR="009454B1">
              <w:rPr>
                <w:rFonts w:eastAsia="Times New Roman"/>
                <w:color w:val="0067AC" w:themeColor="accent1"/>
                <w:sz w:val="18"/>
                <w:szCs w:val="18"/>
              </w:rPr>
              <w:t>-</w:t>
            </w:r>
            <w:r>
              <w:rPr>
                <w:rFonts w:eastAsia="Times New Roman"/>
                <w:color w:val="0067AC" w:themeColor="accent1"/>
                <w:sz w:val="18"/>
                <w:szCs w:val="18"/>
              </w:rPr>
              <w:t>tisíc</w:t>
            </w:r>
          </w:p>
        </w:tc>
      </w:tr>
      <w:tr w:rsidR="00225672" w:rsidRPr="00300D25" w14:paraId="65F0ED99" w14:textId="77777777" w:rsidTr="00F757BB">
        <w:trPr>
          <w:trHeight w:val="238"/>
        </w:trPr>
        <w:tc>
          <w:tcPr>
            <w:tcW w:w="4678" w:type="dxa"/>
            <w:tcBorders>
              <w:top w:val="nil"/>
              <w:left w:val="single" w:sz="12" w:space="0" w:color="0067AC"/>
              <w:bottom w:val="nil"/>
              <w:right w:val="single" w:sz="12" w:space="0" w:color="0067AC"/>
            </w:tcBorders>
            <w:shd w:val="clear" w:color="auto" w:fill="FFFFFF" w:themeFill="background1"/>
            <w:noWrap/>
            <w:vAlign w:val="center"/>
            <w:hideMark/>
          </w:tcPr>
          <w:p w14:paraId="01A032E6" w14:textId="77777777" w:rsidR="00225672" w:rsidRPr="00481E67" w:rsidRDefault="00225672" w:rsidP="00F757BB">
            <w:pPr>
              <w:keepNext/>
              <w:spacing w:after="0" w:line="240" w:lineRule="auto"/>
              <w:rPr>
                <w:color w:val="0067AC" w:themeColor="accent1"/>
              </w:rPr>
            </w:pPr>
            <w:r>
              <w:rPr>
                <w:color w:val="0067AC" w:themeColor="accent1"/>
              </w:rPr>
              <w:t>Objem odložených úverov</w:t>
            </w:r>
          </w:p>
        </w:tc>
        <w:tc>
          <w:tcPr>
            <w:tcW w:w="1134" w:type="dxa"/>
            <w:tcBorders>
              <w:top w:val="nil"/>
              <w:left w:val="single" w:sz="12" w:space="0" w:color="0067AC"/>
              <w:bottom w:val="nil"/>
              <w:right w:val="single" w:sz="12" w:space="0" w:color="0067AC"/>
            </w:tcBorders>
            <w:shd w:val="clear" w:color="auto" w:fill="FFFFFF" w:themeFill="background1"/>
            <w:noWrap/>
            <w:vAlign w:val="center"/>
          </w:tcPr>
          <w:p w14:paraId="79CD50FB" w14:textId="7CFD2E3A"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3,</w:t>
            </w:r>
            <w:r w:rsidR="0068581E">
              <w:rPr>
                <w:rFonts w:eastAsia="Times New Roman"/>
                <w:color w:val="0067AC" w:themeColor="accent1"/>
                <w:sz w:val="18"/>
                <w:szCs w:val="18"/>
              </w:rPr>
              <w:t>3 mld.</w:t>
            </w:r>
            <w:r>
              <w:rPr>
                <w:rFonts w:eastAsia="Times New Roman"/>
                <w:color w:val="0067AC" w:themeColor="accent1"/>
                <w:sz w:val="18"/>
                <w:szCs w:val="18"/>
              </w:rPr>
              <w:t xml:space="preserve"> </w:t>
            </w:r>
            <w:r w:rsidR="009454B1">
              <w:rPr>
                <w:rFonts w:eastAsia="Times New Roman"/>
                <w:color w:val="0067AC" w:themeColor="accent1"/>
                <w:sz w:val="18"/>
                <w:szCs w:val="18"/>
              </w:rPr>
              <w:t>EUR</w:t>
            </w:r>
          </w:p>
        </w:tc>
        <w:tc>
          <w:tcPr>
            <w:tcW w:w="1559" w:type="dxa"/>
            <w:tcBorders>
              <w:top w:val="nil"/>
              <w:left w:val="single" w:sz="12" w:space="0" w:color="0067AC"/>
              <w:bottom w:val="nil"/>
              <w:right w:val="single" w:sz="12" w:space="0" w:color="0067AC"/>
            </w:tcBorders>
            <w:shd w:val="clear" w:color="auto" w:fill="FFFFFF" w:themeFill="background1"/>
            <w:vAlign w:val="center"/>
          </w:tcPr>
          <w:p w14:paraId="54A8AC90" w14:textId="79D69996"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0,</w:t>
            </w:r>
            <w:r w:rsidR="0068581E">
              <w:rPr>
                <w:rFonts w:eastAsia="Times New Roman"/>
                <w:color w:val="0067AC" w:themeColor="accent1"/>
                <w:sz w:val="18"/>
                <w:szCs w:val="18"/>
              </w:rPr>
              <w:t>8 mld.</w:t>
            </w:r>
            <w:r>
              <w:rPr>
                <w:rFonts w:eastAsia="Times New Roman"/>
                <w:color w:val="0067AC" w:themeColor="accent1"/>
                <w:sz w:val="18"/>
                <w:szCs w:val="18"/>
              </w:rPr>
              <w:t xml:space="preserve"> </w:t>
            </w:r>
            <w:r w:rsidR="009454B1">
              <w:rPr>
                <w:rFonts w:eastAsia="Times New Roman"/>
                <w:color w:val="0067AC" w:themeColor="accent1"/>
                <w:sz w:val="18"/>
                <w:szCs w:val="18"/>
              </w:rPr>
              <w:t>EUR</w:t>
            </w:r>
          </w:p>
        </w:tc>
      </w:tr>
      <w:tr w:rsidR="00225672" w:rsidRPr="00300D25" w14:paraId="797FDC82" w14:textId="77777777" w:rsidTr="00F757BB">
        <w:trPr>
          <w:trHeight w:val="238"/>
        </w:trPr>
        <w:tc>
          <w:tcPr>
            <w:tcW w:w="4678" w:type="dxa"/>
            <w:tcBorders>
              <w:top w:val="nil"/>
              <w:left w:val="single" w:sz="12" w:space="0" w:color="0067AC"/>
              <w:bottom w:val="nil"/>
              <w:right w:val="single" w:sz="12" w:space="0" w:color="0067AC"/>
            </w:tcBorders>
            <w:shd w:val="clear" w:color="auto" w:fill="BBE3FF" w:themeFill="accent1" w:themeFillTint="33"/>
            <w:noWrap/>
            <w:vAlign w:val="center"/>
            <w:hideMark/>
          </w:tcPr>
          <w:p w14:paraId="66D7E5E4" w14:textId="77777777" w:rsidR="00225672" w:rsidRPr="00481E67" w:rsidRDefault="00225672" w:rsidP="00F757BB">
            <w:pPr>
              <w:keepNext/>
              <w:spacing w:after="0" w:line="240" w:lineRule="auto"/>
              <w:rPr>
                <w:rFonts w:eastAsia="Times New Roman"/>
                <w:color w:val="0067AC" w:themeColor="accent1"/>
              </w:rPr>
            </w:pPr>
            <w:r>
              <w:rPr>
                <w:color w:val="0067AC" w:themeColor="accent1"/>
              </w:rPr>
              <w:t>Podiel odložených úverov na celkovom portfóliu</w:t>
            </w:r>
          </w:p>
        </w:tc>
        <w:tc>
          <w:tcPr>
            <w:tcW w:w="1134" w:type="dxa"/>
            <w:tcBorders>
              <w:top w:val="nil"/>
              <w:left w:val="single" w:sz="12" w:space="0" w:color="0067AC"/>
              <w:bottom w:val="nil"/>
              <w:right w:val="single" w:sz="12" w:space="0" w:color="0067AC"/>
            </w:tcBorders>
            <w:shd w:val="clear" w:color="auto" w:fill="BBE3FF" w:themeFill="accent1" w:themeFillTint="33"/>
            <w:noWrap/>
            <w:vAlign w:val="center"/>
          </w:tcPr>
          <w:p w14:paraId="039B3778" w14:textId="49654A6C"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10,</w:t>
            </w:r>
            <w:r w:rsidR="0068581E">
              <w:rPr>
                <w:rFonts w:eastAsia="Times New Roman"/>
                <w:color w:val="0067AC" w:themeColor="accent1"/>
                <w:sz w:val="18"/>
                <w:szCs w:val="18"/>
              </w:rPr>
              <w:t>1 %</w:t>
            </w:r>
          </w:p>
        </w:tc>
        <w:tc>
          <w:tcPr>
            <w:tcW w:w="1559" w:type="dxa"/>
            <w:tcBorders>
              <w:top w:val="nil"/>
              <w:left w:val="single" w:sz="12" w:space="0" w:color="0067AC"/>
              <w:bottom w:val="nil"/>
              <w:right w:val="single" w:sz="12" w:space="0" w:color="0067AC"/>
            </w:tcBorders>
            <w:shd w:val="clear" w:color="auto" w:fill="BBE3FF" w:themeFill="accent1" w:themeFillTint="33"/>
            <w:vAlign w:val="center"/>
          </w:tcPr>
          <w:p w14:paraId="74ABAFB0" w14:textId="1493B62D"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14,</w:t>
            </w:r>
            <w:r w:rsidR="0068581E">
              <w:rPr>
                <w:rFonts w:eastAsia="Times New Roman"/>
                <w:color w:val="0067AC" w:themeColor="accent1"/>
                <w:sz w:val="18"/>
                <w:szCs w:val="18"/>
              </w:rPr>
              <w:t>4 %</w:t>
            </w:r>
          </w:p>
        </w:tc>
      </w:tr>
      <w:tr w:rsidR="00225672" w:rsidRPr="00300D25" w14:paraId="42F1F3BF" w14:textId="77777777" w:rsidTr="00F757BB">
        <w:trPr>
          <w:trHeight w:val="238"/>
        </w:trPr>
        <w:tc>
          <w:tcPr>
            <w:tcW w:w="4678" w:type="dxa"/>
            <w:tcBorders>
              <w:top w:val="nil"/>
              <w:left w:val="single" w:sz="12" w:space="0" w:color="0067AC"/>
              <w:bottom w:val="single" w:sz="12" w:space="0" w:color="0067AC"/>
              <w:right w:val="single" w:sz="12" w:space="0" w:color="0067AC"/>
            </w:tcBorders>
            <w:shd w:val="clear" w:color="auto" w:fill="FFFFFF" w:themeFill="background1"/>
            <w:noWrap/>
            <w:vAlign w:val="center"/>
          </w:tcPr>
          <w:p w14:paraId="393B64E2" w14:textId="120D9E90" w:rsidR="00225672" w:rsidRPr="00481E67" w:rsidRDefault="00225672" w:rsidP="00F757BB">
            <w:pPr>
              <w:keepNext/>
              <w:spacing w:after="0" w:line="240" w:lineRule="auto"/>
              <w:rPr>
                <w:color w:val="0067AC" w:themeColor="accent1"/>
              </w:rPr>
            </w:pPr>
            <w:r>
              <w:rPr>
                <w:color w:val="0067AC" w:themeColor="accent1"/>
              </w:rPr>
              <w:t>Priemern</w:t>
            </w:r>
            <w:r w:rsidR="004A6CEB">
              <w:rPr>
                <w:color w:val="0067AC" w:themeColor="accent1"/>
              </w:rPr>
              <w:t>ý zostatkový objem</w:t>
            </w:r>
            <w:r>
              <w:rPr>
                <w:color w:val="0067AC" w:themeColor="accent1"/>
              </w:rPr>
              <w:t xml:space="preserve"> odloženého úveru</w:t>
            </w:r>
          </w:p>
        </w:tc>
        <w:tc>
          <w:tcPr>
            <w:tcW w:w="1134" w:type="dxa"/>
            <w:tcBorders>
              <w:top w:val="nil"/>
              <w:left w:val="single" w:sz="12" w:space="0" w:color="0067AC"/>
              <w:bottom w:val="single" w:sz="12" w:space="0" w:color="0067AC"/>
              <w:right w:val="single" w:sz="12" w:space="0" w:color="0067AC"/>
            </w:tcBorders>
            <w:shd w:val="clear" w:color="auto" w:fill="FFFFFF" w:themeFill="background1"/>
            <w:noWrap/>
            <w:vAlign w:val="center"/>
          </w:tcPr>
          <w:p w14:paraId="3699FD1B" w14:textId="496A3CA3"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62</w:t>
            </w:r>
            <w:r w:rsidR="004A6CEB">
              <w:rPr>
                <w:rFonts w:eastAsia="Times New Roman"/>
                <w:color w:val="0067AC" w:themeColor="accent1"/>
                <w:sz w:val="18"/>
                <w:szCs w:val="18"/>
              </w:rPr>
              <w:t> </w:t>
            </w:r>
            <w:r>
              <w:rPr>
                <w:rFonts w:eastAsia="Times New Roman"/>
                <w:color w:val="0067AC" w:themeColor="accent1"/>
                <w:sz w:val="18"/>
                <w:szCs w:val="18"/>
              </w:rPr>
              <w:t>403</w:t>
            </w:r>
            <w:r w:rsidR="004A6CEB">
              <w:rPr>
                <w:rFonts w:eastAsia="Times New Roman"/>
                <w:color w:val="0067AC" w:themeColor="accent1"/>
                <w:sz w:val="18"/>
                <w:szCs w:val="18"/>
              </w:rPr>
              <w:t xml:space="preserve"> EUR</w:t>
            </w:r>
          </w:p>
        </w:tc>
        <w:tc>
          <w:tcPr>
            <w:tcW w:w="1559" w:type="dxa"/>
            <w:tcBorders>
              <w:top w:val="nil"/>
              <w:left w:val="single" w:sz="12" w:space="0" w:color="0067AC"/>
              <w:bottom w:val="single" w:sz="12" w:space="0" w:color="0067AC"/>
              <w:right w:val="single" w:sz="12" w:space="0" w:color="0067AC"/>
            </w:tcBorders>
            <w:shd w:val="clear" w:color="auto" w:fill="FFFFFF" w:themeFill="background1"/>
            <w:vAlign w:val="center"/>
          </w:tcPr>
          <w:p w14:paraId="4C8FC7D4" w14:textId="3E2F94D1"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12</w:t>
            </w:r>
            <w:r w:rsidR="004A6CEB">
              <w:rPr>
                <w:rFonts w:eastAsia="Times New Roman"/>
                <w:color w:val="0067AC" w:themeColor="accent1"/>
                <w:sz w:val="18"/>
                <w:szCs w:val="18"/>
              </w:rPr>
              <w:t> </w:t>
            </w:r>
            <w:r>
              <w:rPr>
                <w:rFonts w:eastAsia="Times New Roman"/>
                <w:color w:val="0067AC" w:themeColor="accent1"/>
                <w:sz w:val="18"/>
                <w:szCs w:val="18"/>
              </w:rPr>
              <w:t>097</w:t>
            </w:r>
            <w:r w:rsidR="004A6CEB">
              <w:rPr>
                <w:rFonts w:eastAsia="Times New Roman"/>
                <w:color w:val="0067AC" w:themeColor="accent1"/>
                <w:sz w:val="18"/>
                <w:szCs w:val="18"/>
              </w:rPr>
              <w:t xml:space="preserve"> EUR</w:t>
            </w:r>
          </w:p>
        </w:tc>
      </w:tr>
    </w:tbl>
    <w:p w14:paraId="5720B729" w14:textId="77777777" w:rsidR="00225672" w:rsidRDefault="00225672" w:rsidP="00225672">
      <w:pPr>
        <w:pStyle w:val="Podgrafom"/>
      </w:pPr>
      <w:r>
        <w:t>Zdroj: NBS</w:t>
      </w:r>
    </w:p>
    <w:p w14:paraId="1D1F7265" w14:textId="10BCF402" w:rsidR="00225672" w:rsidRDefault="00225672" w:rsidP="00225672">
      <w:pPr>
        <w:pStyle w:val="Podgrafom"/>
      </w:pPr>
      <w:r>
        <w:t xml:space="preserve">Poznámka: Údaje sú </w:t>
      </w:r>
      <w:r w:rsidR="0068581E">
        <w:t>k </w:t>
      </w:r>
      <w:r>
        <w:t>31. júlu 2020.</w:t>
      </w:r>
    </w:p>
    <w:p w14:paraId="5A743FA4" w14:textId="77777777" w:rsidR="00225672" w:rsidRDefault="00225672" w:rsidP="00225672">
      <w:pPr>
        <w:pStyle w:val="Podgrafom"/>
      </w:pPr>
    </w:p>
    <w:p w14:paraId="619B1C67" w14:textId="705CF14F" w:rsidR="001A7970" w:rsidRDefault="0068581E" w:rsidP="001A7970">
      <w:r w:rsidRPr="001A7970">
        <w:rPr>
          <w:b/>
          <w:bCs/>
        </w:rPr>
        <w:t>O </w:t>
      </w:r>
      <w:r w:rsidR="00225672" w:rsidRPr="001A7970">
        <w:rPr>
          <w:b/>
          <w:bCs/>
        </w:rPr>
        <w:t xml:space="preserve">odklad </w:t>
      </w:r>
      <w:r w:rsidR="001D5B4A">
        <w:rPr>
          <w:b/>
          <w:bCs/>
        </w:rPr>
        <w:t xml:space="preserve">splátok </w:t>
      </w:r>
      <w:r w:rsidR="00225672" w:rsidRPr="001A7970">
        <w:rPr>
          <w:b/>
          <w:bCs/>
        </w:rPr>
        <w:t xml:space="preserve">žiadali najmä </w:t>
      </w:r>
      <w:r w:rsidR="00B40CE9" w:rsidRPr="001A7970">
        <w:rPr>
          <w:b/>
          <w:bCs/>
        </w:rPr>
        <w:t>dve skupiny domácností</w:t>
      </w:r>
      <w:r w:rsidR="00225672" w:rsidRPr="001A7970">
        <w:rPr>
          <w:b/>
          <w:bCs/>
        </w:rPr>
        <w:t xml:space="preserve"> – </w:t>
      </w:r>
      <w:r w:rsidR="00B40CE9" w:rsidRPr="001A7970">
        <w:rPr>
          <w:b/>
          <w:bCs/>
        </w:rPr>
        <w:t xml:space="preserve">domácnosti </w:t>
      </w:r>
      <w:r w:rsidRPr="001A7970">
        <w:rPr>
          <w:b/>
          <w:bCs/>
        </w:rPr>
        <w:t>s </w:t>
      </w:r>
      <w:r w:rsidR="00B40CE9" w:rsidRPr="001A7970">
        <w:rPr>
          <w:b/>
          <w:bCs/>
        </w:rPr>
        <w:t xml:space="preserve">istými rizikovými </w:t>
      </w:r>
      <w:r w:rsidR="003E5F12" w:rsidRPr="001A7970">
        <w:rPr>
          <w:b/>
          <w:bCs/>
        </w:rPr>
        <w:t>charakteristikami</w:t>
      </w:r>
      <w:r w:rsidR="00225672" w:rsidRPr="001A7970">
        <w:rPr>
          <w:b/>
          <w:bCs/>
        </w:rPr>
        <w:t xml:space="preserve"> </w:t>
      </w:r>
      <w:r w:rsidR="00B40CE9" w:rsidRPr="001A7970">
        <w:rPr>
          <w:b/>
          <w:bCs/>
        </w:rPr>
        <w:t xml:space="preserve">a domácnosti </w:t>
      </w:r>
      <w:r w:rsidRPr="001A7970">
        <w:rPr>
          <w:b/>
          <w:bCs/>
        </w:rPr>
        <w:t>s </w:t>
      </w:r>
      <w:r w:rsidR="00B40CE9" w:rsidRPr="001A7970">
        <w:rPr>
          <w:b/>
          <w:bCs/>
        </w:rPr>
        <w:t>vysokým úverovým zaťažením.</w:t>
      </w:r>
      <w:r w:rsidR="00B40CE9" w:rsidRPr="001A7970">
        <w:rPr>
          <w:rStyle w:val="FootnoteReference"/>
          <w:b/>
          <w:bCs/>
        </w:rPr>
        <w:footnoteReference w:id="7"/>
      </w:r>
      <w:r w:rsidR="00225672">
        <w:t xml:space="preserve"> </w:t>
      </w:r>
      <w:r w:rsidR="00225672" w:rsidRPr="000A3FBA">
        <w:t xml:space="preserve">Prvú veľkú skupinu žiadateľov </w:t>
      </w:r>
      <w:r>
        <w:t>o </w:t>
      </w:r>
      <w:r w:rsidR="00225672" w:rsidRPr="000A3FBA">
        <w:t xml:space="preserve">odklad splátok tvorili domácnosti, ktoré boli vystavené </w:t>
      </w:r>
      <w:r w:rsidR="001D5B4A">
        <w:t>výraznejšiemu</w:t>
      </w:r>
      <w:r w:rsidR="00225672" w:rsidRPr="000A3FBA">
        <w:t xml:space="preserve"> </w:t>
      </w:r>
      <w:r w:rsidR="00C95D11">
        <w:t>vplyvu</w:t>
      </w:r>
      <w:r w:rsidR="00225672" w:rsidRPr="000A3FBA">
        <w:t xml:space="preserve"> </w:t>
      </w:r>
      <w:proofErr w:type="spellStart"/>
      <w:r w:rsidR="00225672" w:rsidRPr="000A3FBA">
        <w:t>koronakrízy</w:t>
      </w:r>
      <w:proofErr w:type="spellEnd"/>
      <w:r w:rsidR="00225672" w:rsidRPr="000A3FBA">
        <w:t xml:space="preserve"> kvôli istým špecifickým rizikovým charakteristikám – napr. ak niektorí </w:t>
      </w:r>
      <w:r>
        <w:t>z </w:t>
      </w:r>
      <w:r w:rsidR="00225672" w:rsidRPr="000A3FBA">
        <w:t xml:space="preserve">jej členov boli živnostníci, pôsobili </w:t>
      </w:r>
      <w:r>
        <w:t>v </w:t>
      </w:r>
      <w:r w:rsidR="00225672" w:rsidRPr="000A3FBA">
        <w:t xml:space="preserve">najviac zasiahnutých odvetviach alebo priamo prišli </w:t>
      </w:r>
      <w:r>
        <w:t>o </w:t>
      </w:r>
      <w:r w:rsidR="00225672" w:rsidRPr="000A3FBA">
        <w:t xml:space="preserve">prácu alebo podnikanie. </w:t>
      </w:r>
      <w:r w:rsidR="00225672">
        <w:t xml:space="preserve">Druhú skupinu tvorili domácnosti, ktoré síce nevykazovali vyššie uvedené rizikové charakteristiky, ale boli </w:t>
      </w:r>
      <w:r w:rsidR="001D5B4A">
        <w:t>vysoko</w:t>
      </w:r>
      <w:r w:rsidR="00225672">
        <w:t xml:space="preserve"> </w:t>
      </w:r>
      <w:r w:rsidR="00B40CE9">
        <w:t>zaťažené úverovými splátkami</w:t>
      </w:r>
      <w:r w:rsidR="00225672">
        <w:t xml:space="preserve"> – podiel splátok </w:t>
      </w:r>
      <w:r>
        <w:t>k </w:t>
      </w:r>
      <w:r w:rsidR="00225672">
        <w:t xml:space="preserve">ich príjmu zníženému </w:t>
      </w:r>
      <w:r>
        <w:t>o </w:t>
      </w:r>
      <w:r w:rsidR="00225672">
        <w:t>životné minimum prevyšoval 6</w:t>
      </w:r>
      <w:r>
        <w:t>0 %</w:t>
      </w:r>
      <w:r w:rsidR="00225672">
        <w:t xml:space="preserve">. Domácnosti, ktoré žiadali </w:t>
      </w:r>
      <w:r>
        <w:t>o </w:t>
      </w:r>
      <w:r w:rsidR="00225672" w:rsidRPr="000A3FBA">
        <w:t>odklad alebo inú úpravu podmienok splácania</w:t>
      </w:r>
      <w:r w:rsidR="00225672">
        <w:t xml:space="preserve">, mali </w:t>
      </w:r>
      <w:r>
        <w:t>v </w:t>
      </w:r>
      <w:r w:rsidR="00225672">
        <w:t xml:space="preserve">porovnaní </w:t>
      </w:r>
      <w:r>
        <w:t>s </w:t>
      </w:r>
      <w:r w:rsidR="00225672">
        <w:t xml:space="preserve">ostatnými domácnosťami </w:t>
      </w:r>
      <w:r>
        <w:t>v </w:t>
      </w:r>
      <w:r w:rsidR="00225672">
        <w:t xml:space="preserve">priemere približne rovnaký príjem, ale až </w:t>
      </w:r>
      <w:r>
        <w:t>o </w:t>
      </w:r>
      <w:r w:rsidR="00225672">
        <w:t xml:space="preserve">polovicu vyššiu splátku. </w:t>
      </w:r>
    </w:p>
    <w:p w14:paraId="3CEEE305" w14:textId="06D367B4" w:rsidR="00225672" w:rsidRDefault="00225672" w:rsidP="00906D52">
      <w:pPr>
        <w:pStyle w:val="Boxnadpisgrafu"/>
      </w:pPr>
      <w:r w:rsidRPr="002264FC">
        <w:lastRenderedPageBreak/>
        <w:t>Graf</w:t>
      </w:r>
      <w:r>
        <w:t xml:space="preserve"> </w:t>
      </w:r>
      <w:fldSimple w:instr=" SEQ Graf \* ARABIC ">
        <w:r w:rsidR="00A02A40">
          <w:rPr>
            <w:noProof/>
          </w:rPr>
          <w:t>3</w:t>
        </w:r>
      </w:fldSimple>
      <w:r>
        <w:t xml:space="preserve"> Rizikové charakteristiky a vysoký podiel splátok </w:t>
      </w:r>
      <w:r w:rsidR="0068581E">
        <w:t>k </w:t>
      </w:r>
      <w:r>
        <w:t>príjmu boli dva hlavné dôvody odkladov splátok</w:t>
      </w:r>
    </w:p>
    <w:p w14:paraId="33881B39" w14:textId="08A1C5B8" w:rsidR="00225672" w:rsidRDefault="00F324A1" w:rsidP="00906D52">
      <w:pPr>
        <w:pStyle w:val="Boxpodgrafom"/>
        <w:rPr>
          <w:b/>
          <w:bCs/>
        </w:rPr>
      </w:pPr>
      <w:r>
        <w:rPr>
          <w:noProof/>
        </w:rPr>
        <w:drawing>
          <wp:inline distT="0" distB="0" distL="0" distR="0" wp14:anchorId="412AC9D5" wp14:editId="2642E151">
            <wp:extent cx="3037205" cy="2211572"/>
            <wp:effectExtent l="0" t="0" r="0" b="0"/>
            <wp:docPr id="224" name="Chart 224">
              <a:extLst xmlns:a="http://schemas.openxmlformats.org/drawingml/2006/main">
                <a:ext uri="{FF2B5EF4-FFF2-40B4-BE49-F238E27FC236}">
                  <a16:creationId xmlns:a16="http://schemas.microsoft.com/office/drawing/2014/main" id="{31324A40-244A-41AB-843E-40D1CE0AE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581AB1F0" wp14:editId="63890E76">
            <wp:extent cx="2997200" cy="2211572"/>
            <wp:effectExtent l="0" t="0" r="0" b="0"/>
            <wp:docPr id="225" name="Chart 225">
              <a:extLst xmlns:a="http://schemas.openxmlformats.org/drawingml/2006/main">
                <a:ext uri="{FF2B5EF4-FFF2-40B4-BE49-F238E27FC236}">
                  <a16:creationId xmlns:a16="http://schemas.microsoft.com/office/drawing/2014/main" id="{4973FD68-698D-4C6A-A219-91F1F747B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891C79" w14:textId="77777777" w:rsidR="00225672" w:rsidRPr="00466AE1" w:rsidRDefault="00225672" w:rsidP="00906D52">
      <w:pPr>
        <w:pStyle w:val="Boxpodgrafom"/>
      </w:pPr>
      <w:r w:rsidRPr="00466AE1">
        <w:t>Zdroj: NBS (júlový a augustový prieskum medzi zadlženými domácnosťami)</w:t>
      </w:r>
    </w:p>
    <w:p w14:paraId="107ED550" w14:textId="3A7C88F7" w:rsidR="00225672" w:rsidRPr="00466AE1" w:rsidRDefault="00225672" w:rsidP="00906D52">
      <w:pPr>
        <w:pStyle w:val="Boxpodgrafom"/>
      </w:pPr>
      <w:r w:rsidRPr="00466AE1">
        <w:t>Poznámk</w:t>
      </w:r>
      <w:r w:rsidR="00CA4F56">
        <w:t>a</w:t>
      </w:r>
      <w:r w:rsidRPr="00466AE1">
        <w:t xml:space="preserve">: Na grafe sú zobrazené podiely jednotlivých skupín na všetkých domácnostiach, ktorým bol poskytnutý odklad splátok. Za domácnosti výraznejšie </w:t>
      </w:r>
      <w:r w:rsidR="00B40CE9">
        <w:t>vystavené</w:t>
      </w:r>
      <w:r w:rsidRPr="00466AE1">
        <w:t xml:space="preserve"> kríz</w:t>
      </w:r>
      <w:r w:rsidR="00B40CE9">
        <w:t>e</w:t>
      </w:r>
      <w:r w:rsidRPr="00466AE1">
        <w:t xml:space="preserve"> sú považované domácnosti, </w:t>
      </w:r>
      <w:r w:rsidR="0068581E">
        <w:t>v </w:t>
      </w:r>
      <w:r w:rsidRPr="00466AE1">
        <w:t xml:space="preserve">ktorých je aspoň jeden člen živnostníkom, pracoval </w:t>
      </w:r>
      <w:r w:rsidR="0068581E">
        <w:t>v </w:t>
      </w:r>
      <w:r w:rsidRPr="00466AE1">
        <w:t>citlivom odvetví (ubytovacie a stravovacie služby, umenie, zábav</w:t>
      </w:r>
      <w:r w:rsidR="00CA4F56">
        <w:t>a</w:t>
      </w:r>
      <w:r w:rsidRPr="00466AE1">
        <w:t xml:space="preserve"> a rekreáci</w:t>
      </w:r>
      <w:r w:rsidR="00CA4F56">
        <w:t>a</w:t>
      </w:r>
      <w:r w:rsidRPr="00466AE1">
        <w:t xml:space="preserve">) alebo </w:t>
      </w:r>
      <w:r w:rsidR="0068581E">
        <w:t>v </w:t>
      </w:r>
      <w:r w:rsidRPr="00466AE1">
        <w:t xml:space="preserve">dôsledku </w:t>
      </w:r>
      <w:proofErr w:type="spellStart"/>
      <w:r w:rsidRPr="00466AE1">
        <w:t>koronakrízy</w:t>
      </w:r>
      <w:proofErr w:type="spellEnd"/>
      <w:r w:rsidRPr="00466AE1">
        <w:t xml:space="preserve"> stratil prácu alebo ukončil podnikanie.</w:t>
      </w:r>
    </w:p>
    <w:p w14:paraId="1058FB7A" w14:textId="78D34F3E" w:rsidR="00225672" w:rsidRDefault="00225672" w:rsidP="00906D52">
      <w:pPr>
        <w:pStyle w:val="Boxpodgrafom"/>
      </w:pPr>
      <w:r w:rsidRPr="00466AE1">
        <w:rPr>
          <w:rStyle w:val="BoxpodgrafomChar"/>
        </w:rPr>
        <w:t xml:space="preserve">Za domácnosti </w:t>
      </w:r>
      <w:r w:rsidR="0068581E">
        <w:rPr>
          <w:rStyle w:val="BoxpodgrafomChar"/>
        </w:rPr>
        <w:t>s </w:t>
      </w:r>
      <w:r w:rsidRPr="00466AE1">
        <w:rPr>
          <w:rStyle w:val="BoxpodgrafomChar"/>
        </w:rPr>
        <w:t xml:space="preserve">vysokou </w:t>
      </w:r>
      <w:r w:rsidR="00B40CE9">
        <w:rPr>
          <w:rStyle w:val="BoxpodgrafomChar"/>
        </w:rPr>
        <w:t>úverovou zaťaženosťou</w:t>
      </w:r>
      <w:r w:rsidRPr="00466AE1">
        <w:rPr>
          <w:rStyle w:val="BoxpodgrafomChar"/>
        </w:rPr>
        <w:t xml:space="preserve"> sú považované domácnosti, ktorých podiel splátok </w:t>
      </w:r>
      <w:r w:rsidR="0068581E">
        <w:rPr>
          <w:rStyle w:val="BoxpodgrafomChar"/>
        </w:rPr>
        <w:t>k </w:t>
      </w:r>
      <w:r w:rsidRPr="00466AE1">
        <w:t xml:space="preserve">príjmu zníženému </w:t>
      </w:r>
      <w:r w:rsidR="0068581E">
        <w:t>o </w:t>
      </w:r>
      <w:r w:rsidRPr="00466AE1">
        <w:t xml:space="preserve">životné minimum (DSTI) pred vypuknutím </w:t>
      </w:r>
      <w:proofErr w:type="spellStart"/>
      <w:r w:rsidRPr="00466AE1">
        <w:t>koronakrízy</w:t>
      </w:r>
      <w:proofErr w:type="spellEnd"/>
      <w:r w:rsidRPr="00466AE1">
        <w:t xml:space="preserve"> presahoval 6</w:t>
      </w:r>
      <w:r w:rsidR="0068581E">
        <w:t>0 %</w:t>
      </w:r>
      <w:r w:rsidRPr="00466AE1">
        <w:t xml:space="preserve">. </w:t>
      </w:r>
    </w:p>
    <w:p w14:paraId="5D940644" w14:textId="77777777" w:rsidR="00DD7D07" w:rsidRPr="00466AE1" w:rsidRDefault="00DD7D07" w:rsidP="00906D52">
      <w:pPr>
        <w:pStyle w:val="Boxpodgrafom"/>
      </w:pPr>
    </w:p>
    <w:p w14:paraId="59119A58" w14:textId="7F45C3B1" w:rsidR="00225672" w:rsidRDefault="00225672" w:rsidP="001A7970">
      <w:r w:rsidRPr="00766722">
        <w:rPr>
          <w:b/>
          <w:bCs/>
        </w:rPr>
        <w:t>Podľa júlového prieskumu väčšina dlžníkov</w:t>
      </w:r>
      <w:r w:rsidR="007B1689">
        <w:rPr>
          <w:b/>
          <w:bCs/>
        </w:rPr>
        <w:t xml:space="preserve">, ktorí požiadali o odklad alebo inú úpravu úverových podmienok, </w:t>
      </w:r>
      <w:r w:rsidRPr="00766722">
        <w:rPr>
          <w:b/>
          <w:bCs/>
        </w:rPr>
        <w:t>očakáva, že po ukončení krízy budú schopní opätovne splácať svoje dlhy.</w:t>
      </w:r>
      <w:r>
        <w:t xml:space="preserve"> Výraznejšie pochybnosti vyjadrilo </w:t>
      </w:r>
      <w:r w:rsidR="0068581E">
        <w:t>9 %</w:t>
      </w:r>
      <w:r w:rsidRPr="00967938">
        <w:t xml:space="preserve"> </w:t>
      </w:r>
      <w:r>
        <w:t xml:space="preserve">domácností (t. j. </w:t>
      </w:r>
      <w:r w:rsidR="00053176">
        <w:t>5 300</w:t>
      </w:r>
      <w:r>
        <w:t xml:space="preserve"> domácností), ktoré</w:t>
      </w:r>
      <w:r w:rsidRPr="0064319B">
        <w:t xml:space="preserve"> požiadali </w:t>
      </w:r>
      <w:r w:rsidR="0068581E">
        <w:t>o </w:t>
      </w:r>
      <w:r w:rsidRPr="0064319B">
        <w:t>odklad alebo inú úpravu podmienok splácania. Úvery týmto domácnostiam predstavujú 2,</w:t>
      </w:r>
      <w:r w:rsidR="0068581E">
        <w:t>6 %</w:t>
      </w:r>
      <w:r w:rsidRPr="0064319B">
        <w:t xml:space="preserve"> úverov na bývanie a 8,</w:t>
      </w:r>
      <w:r w:rsidR="0068581E">
        <w:t>0 %</w:t>
      </w:r>
      <w:r w:rsidRPr="0064319B">
        <w:t xml:space="preserve"> spotrebiteľských úverov </w:t>
      </w:r>
      <w:r w:rsidR="0068581E">
        <w:t>s </w:t>
      </w:r>
      <w:r w:rsidRPr="0064319B">
        <w:t xml:space="preserve">odloženou alebo zníženou splátkou. </w:t>
      </w:r>
      <w:r w:rsidRPr="001019C7">
        <w:t xml:space="preserve">Tieto domácnosti sa však zároveň snažia zmierniť riziko nesplácania aj výrazným šetrením na strane výdavkov, ktoré znížili až </w:t>
      </w:r>
      <w:r w:rsidR="0068581E">
        <w:t>o </w:t>
      </w:r>
      <w:r w:rsidRPr="001019C7">
        <w:t>9</w:t>
      </w:r>
      <w:r w:rsidR="0068581E">
        <w:t>0 %</w:t>
      </w:r>
      <w:r w:rsidRPr="001019C7">
        <w:t xml:space="preserve"> sumy, </w:t>
      </w:r>
      <w:r w:rsidR="0068581E">
        <w:t>o </w:t>
      </w:r>
      <w:r w:rsidRPr="001019C7">
        <w:t>ktorú im klesli príjmy. Ďalších 1</w:t>
      </w:r>
      <w:r w:rsidR="0068581E">
        <w:t>5 %</w:t>
      </w:r>
      <w:r w:rsidRPr="001019C7">
        <w:t xml:space="preserve"> domácností </w:t>
      </w:r>
      <w:r w:rsidR="0068581E">
        <w:t>s </w:t>
      </w:r>
      <w:r>
        <w:t>odloženými alebo upravenými splátkami</w:t>
      </w:r>
      <w:r w:rsidRPr="00044D14">
        <w:t xml:space="preserve"> </w:t>
      </w:r>
      <w:r>
        <w:t>a </w:t>
      </w:r>
      <w:r w:rsidR="0068581E">
        <w:t>6 %</w:t>
      </w:r>
      <w:r>
        <w:t xml:space="preserve"> ostatných domácností </w:t>
      </w:r>
      <w:r w:rsidRPr="00044D14">
        <w:t>očakáva</w:t>
      </w:r>
      <w:r>
        <w:t xml:space="preserve"> pretrvávajúcu zhoršenú situáciu</w:t>
      </w:r>
      <w:r w:rsidRPr="00044D14">
        <w:t xml:space="preserve">, </w:t>
      </w:r>
      <w:r>
        <w:t xml:space="preserve">ale </w:t>
      </w:r>
      <w:r w:rsidRPr="00044D14">
        <w:t xml:space="preserve">svoje splátky budú </w:t>
      </w:r>
      <w:r>
        <w:t>schopné</w:t>
      </w:r>
      <w:r w:rsidRPr="00044D14">
        <w:t xml:space="preserve"> pokryť</w:t>
      </w:r>
      <w:r w:rsidR="0042695A">
        <w:t>,</w:t>
      </w:r>
      <w:r w:rsidRPr="00044D14">
        <w:t xml:space="preserve"> napr. znížením spotreby, využitím úspor, alebo </w:t>
      </w:r>
      <w:r w:rsidR="0068581E">
        <w:t>s </w:t>
      </w:r>
      <w:r w:rsidRPr="00044D14">
        <w:t xml:space="preserve">pomocou rodiny.  </w:t>
      </w:r>
      <w:r w:rsidRPr="00967938">
        <w:t xml:space="preserve"> </w:t>
      </w:r>
    </w:p>
    <w:p w14:paraId="135AFE6F" w14:textId="6C340406" w:rsidR="00225672" w:rsidRDefault="00225672" w:rsidP="001A7970">
      <w:bookmarkStart w:id="15" w:name="_Hlk49235945"/>
      <w:r w:rsidRPr="001D5B4A">
        <w:rPr>
          <w:b/>
          <w:bCs/>
        </w:rPr>
        <w:t>Celkovo podľa júlového prieskumu sa len 1,2</w:t>
      </w:r>
      <w:r w:rsidR="0068581E" w:rsidRPr="001D5B4A">
        <w:rPr>
          <w:b/>
          <w:bCs/>
        </w:rPr>
        <w:t>3 %</w:t>
      </w:r>
      <w:r w:rsidRPr="001D5B4A">
        <w:rPr>
          <w:b/>
          <w:bCs/>
        </w:rPr>
        <w:t xml:space="preserve"> </w:t>
      </w:r>
      <w:r w:rsidR="00FB6DBA">
        <w:rPr>
          <w:b/>
          <w:bCs/>
        </w:rPr>
        <w:t xml:space="preserve">zadlžených </w:t>
      </w:r>
      <w:r w:rsidRPr="001D5B4A">
        <w:rPr>
          <w:b/>
          <w:bCs/>
        </w:rPr>
        <w:t xml:space="preserve">domácností obáva, že sa nebude schopných vrátiť </w:t>
      </w:r>
      <w:r w:rsidR="0068581E" w:rsidRPr="001D5B4A">
        <w:rPr>
          <w:b/>
          <w:bCs/>
        </w:rPr>
        <w:t>k </w:t>
      </w:r>
      <w:r w:rsidRPr="001D5B4A">
        <w:rPr>
          <w:b/>
          <w:bCs/>
        </w:rPr>
        <w:t>splácaniu úverov.</w:t>
      </w:r>
      <w:r w:rsidRPr="001D5B4A">
        <w:rPr>
          <w:rStyle w:val="FootnoteReference"/>
          <w:b/>
          <w:bCs/>
        </w:rPr>
        <w:footnoteReference w:id="8"/>
      </w:r>
      <w:r w:rsidRPr="001D5B4A">
        <w:rPr>
          <w:b/>
          <w:bCs/>
        </w:rPr>
        <w:t xml:space="preserve"> Podľa augustového prieskumu to bolo 1,1</w:t>
      </w:r>
      <w:r w:rsidR="0068581E" w:rsidRPr="001D5B4A">
        <w:rPr>
          <w:b/>
          <w:bCs/>
        </w:rPr>
        <w:t>4 %</w:t>
      </w:r>
      <w:r w:rsidRPr="001D5B4A">
        <w:rPr>
          <w:b/>
          <w:bCs/>
        </w:rPr>
        <w:t>.</w:t>
      </w:r>
      <w:bookmarkEnd w:id="15"/>
      <w:r w:rsidRPr="001D5B4A">
        <w:rPr>
          <w:rStyle w:val="FootnoteReference"/>
          <w:b/>
          <w:bCs/>
        </w:rPr>
        <w:footnoteReference w:id="9"/>
      </w:r>
      <w:r>
        <w:t xml:space="preserve"> I</w:t>
      </w:r>
      <w:r w:rsidRPr="00990CC9">
        <w:t xml:space="preserve">de približne </w:t>
      </w:r>
      <w:r w:rsidR="0068581E">
        <w:t>o </w:t>
      </w:r>
      <w:r w:rsidRPr="00990CC9">
        <w:t xml:space="preserve">9 tisíc domácností. </w:t>
      </w:r>
      <w:r>
        <w:t xml:space="preserve">Ak by všetky tieto úvery zlyhali </w:t>
      </w:r>
      <w:r w:rsidR="0068581E">
        <w:t>v </w:t>
      </w:r>
      <w:r>
        <w:t>plnej výške, po zohľadnení zabezpečenia</w:t>
      </w:r>
      <w:r w:rsidR="003C5967">
        <w:rPr>
          <w:rStyle w:val="FootnoteReference"/>
        </w:rPr>
        <w:footnoteReference w:id="10"/>
      </w:r>
      <w:r>
        <w:t xml:space="preserve"> by banky museli vytvoriť opravné položky </w:t>
      </w:r>
      <w:r w:rsidR="0068581E">
        <w:t>v </w:t>
      </w:r>
      <w:r>
        <w:t>hodnote približne 12</w:t>
      </w:r>
      <w:r w:rsidR="0068581E">
        <w:t>8 mil. €</w:t>
      </w:r>
      <w:r>
        <w:t>, čo predstavuje 0,3</w:t>
      </w:r>
      <w:r w:rsidR="0068581E">
        <w:t>5 %</w:t>
      </w:r>
      <w:r>
        <w:t xml:space="preserve"> </w:t>
      </w:r>
      <w:r w:rsidR="001D5B4A">
        <w:t xml:space="preserve">aktuálnej výšky </w:t>
      </w:r>
      <w:r>
        <w:t>rizikovo</w:t>
      </w:r>
      <w:r w:rsidR="008D7BD2">
        <w:t>-</w:t>
      </w:r>
      <w:r>
        <w:t xml:space="preserve">vážených aktív. Približne polovica </w:t>
      </w:r>
      <w:r>
        <w:lastRenderedPageBreak/>
        <w:t xml:space="preserve">týchto strát sa týka domácností, ktoré si vybavili zmenu podmienok splácania úverov (vrátane odkladu). Podrobnejšie údaje uvádza </w:t>
      </w:r>
      <w:r w:rsidRPr="00FE6CFF">
        <w:fldChar w:fldCharType="begin"/>
      </w:r>
      <w:r w:rsidRPr="00FE6CFF">
        <w:instrText xml:space="preserve"> REF _Ref49772190 \h  \* MERGEFORMAT </w:instrText>
      </w:r>
      <w:r w:rsidRPr="00FE6CFF">
        <w:fldChar w:fldCharType="separate"/>
      </w:r>
      <w:r w:rsidR="00A02A40" w:rsidRPr="00A02A40">
        <w:t xml:space="preserve">Tabuľka </w:t>
      </w:r>
      <w:r w:rsidR="00A02A40" w:rsidRPr="00A02A40">
        <w:rPr>
          <w:noProof/>
        </w:rPr>
        <w:t>3</w:t>
      </w:r>
      <w:r w:rsidRPr="00FE6CFF">
        <w:fldChar w:fldCharType="end"/>
      </w:r>
      <w:r>
        <w:t>.</w:t>
      </w:r>
    </w:p>
    <w:p w14:paraId="323D8F93" w14:textId="4F083376" w:rsidR="00225672" w:rsidRDefault="00225672" w:rsidP="00906D52">
      <w:pPr>
        <w:pStyle w:val="Boxnadpisgrafu"/>
      </w:pPr>
      <w:r w:rsidRPr="002264FC">
        <w:t>Graf</w:t>
      </w:r>
      <w:r>
        <w:t xml:space="preserve"> </w:t>
      </w:r>
      <w:fldSimple w:instr=" SEQ Graf \* ARABIC ">
        <w:r w:rsidR="00A02A40">
          <w:rPr>
            <w:noProof/>
          </w:rPr>
          <w:t>4</w:t>
        </w:r>
      </w:fldSimple>
      <w:r>
        <w:t xml:space="preserve"> Väčšina zadlžených domácností očakáva, že so splácaním bude schopná pokračovať</w:t>
      </w:r>
    </w:p>
    <w:p w14:paraId="7EB9D5BD" w14:textId="3536C614" w:rsidR="00225672" w:rsidRDefault="00F324A1" w:rsidP="00906D52">
      <w:pPr>
        <w:pStyle w:val="Boxpodgrafom"/>
      </w:pPr>
      <w:r>
        <w:rPr>
          <w:noProof/>
        </w:rPr>
        <w:drawing>
          <wp:inline distT="0" distB="0" distL="0" distR="0" wp14:anchorId="1159B49A" wp14:editId="37E86CD0">
            <wp:extent cx="6082748" cy="2472856"/>
            <wp:effectExtent l="0" t="0" r="0" b="3810"/>
            <wp:docPr id="24" name="Chart 24">
              <a:extLst xmlns:a="http://schemas.openxmlformats.org/drawingml/2006/main">
                <a:ext uri="{FF2B5EF4-FFF2-40B4-BE49-F238E27FC236}">
                  <a16:creationId xmlns:a16="http://schemas.microsoft.com/office/drawing/2014/main" id="{40B4913D-DA6B-4C43-8B92-4CED99C1E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499D9C" w14:textId="5CA28C28" w:rsidR="00225672" w:rsidRDefault="00225672" w:rsidP="00906D52">
      <w:pPr>
        <w:pStyle w:val="Boxpodgrafom"/>
      </w:pPr>
      <w:r>
        <w:t>Zdroj:</w:t>
      </w:r>
      <w:r w:rsidR="007B1689">
        <w:t xml:space="preserve"> </w:t>
      </w:r>
      <w:r>
        <w:t>NBS</w:t>
      </w:r>
      <w:r w:rsidR="007B1689">
        <w:t xml:space="preserve">, </w:t>
      </w:r>
      <w:r>
        <w:t>augustový prieskum medzi zadlženými domácnosťami</w:t>
      </w:r>
      <w:r w:rsidR="007B1689">
        <w:t>, ŠÚ SR</w:t>
      </w:r>
    </w:p>
    <w:p w14:paraId="35303D85" w14:textId="2F7392FF" w:rsidR="00225672" w:rsidRDefault="00225672" w:rsidP="00906D52">
      <w:pPr>
        <w:pStyle w:val="Boxpodgrafom"/>
      </w:pPr>
      <w:r>
        <w:t xml:space="preserve">Poznámka: Za domácnosti blízko hranice rizika finančných ťažkostí považujeme domácnosti, ktorých podiel splátok </w:t>
      </w:r>
      <w:r w:rsidR="0068581E">
        <w:t>k </w:t>
      </w:r>
      <w:r>
        <w:t xml:space="preserve">príjmu zníženému </w:t>
      </w:r>
      <w:r w:rsidR="0068581E">
        <w:t>o </w:t>
      </w:r>
      <w:r>
        <w:t xml:space="preserve">životné minimum bol </w:t>
      </w:r>
      <w:r w:rsidR="0068581E">
        <w:t>v </w:t>
      </w:r>
      <w:r>
        <w:t xml:space="preserve">auguste </w:t>
      </w:r>
      <w:r w:rsidR="0068581E">
        <w:t>v </w:t>
      </w:r>
      <w:r>
        <w:t>rozmedzí 8</w:t>
      </w:r>
      <w:r w:rsidR="0068581E">
        <w:t>0 %</w:t>
      </w:r>
      <w:r>
        <w:t xml:space="preserve"> až 10</w:t>
      </w:r>
      <w:r w:rsidR="0068581E">
        <w:t>0 %</w:t>
      </w:r>
      <w:r>
        <w:t>.</w:t>
      </w:r>
    </w:p>
    <w:p w14:paraId="16B4D49C" w14:textId="77777777" w:rsidR="00225672" w:rsidRPr="008C1C73" w:rsidRDefault="00225672" w:rsidP="00225672">
      <w:pPr>
        <w:spacing w:after="0"/>
      </w:pPr>
    </w:p>
    <w:tbl>
      <w:tblPr>
        <w:tblW w:w="7655" w:type="dxa"/>
        <w:tblInd w:w="-15" w:type="dxa"/>
        <w:tblLayout w:type="fixed"/>
        <w:tblCellMar>
          <w:left w:w="70" w:type="dxa"/>
          <w:right w:w="70" w:type="dxa"/>
        </w:tblCellMar>
        <w:tblLook w:val="04A0" w:firstRow="1" w:lastRow="0" w:firstColumn="1" w:lastColumn="0" w:noHBand="0" w:noVBand="1"/>
      </w:tblPr>
      <w:tblGrid>
        <w:gridCol w:w="3828"/>
        <w:gridCol w:w="1275"/>
        <w:gridCol w:w="1276"/>
        <w:gridCol w:w="1276"/>
      </w:tblGrid>
      <w:tr w:rsidR="00225672" w:rsidRPr="004C4FE3" w14:paraId="55FCD4F0" w14:textId="77777777" w:rsidTr="00E538F3">
        <w:trPr>
          <w:trHeight w:val="678"/>
        </w:trPr>
        <w:tc>
          <w:tcPr>
            <w:tcW w:w="7655" w:type="dxa"/>
            <w:gridSpan w:val="4"/>
            <w:tcBorders>
              <w:top w:val="single" w:sz="12" w:space="0" w:color="0067AC"/>
              <w:left w:val="single" w:sz="12" w:space="0" w:color="0067AC"/>
              <w:bottom w:val="single" w:sz="12" w:space="0" w:color="4472C4"/>
              <w:right w:val="single" w:sz="12" w:space="0" w:color="0067AC"/>
            </w:tcBorders>
            <w:shd w:val="clear" w:color="auto" w:fill="0067AC"/>
            <w:noWrap/>
            <w:vAlign w:val="center"/>
          </w:tcPr>
          <w:p w14:paraId="324D2E7A" w14:textId="713E4608" w:rsidR="00225672" w:rsidRPr="00910BCF" w:rsidRDefault="00225672" w:rsidP="00E538F3">
            <w:pPr>
              <w:pStyle w:val="Nadpistabuky"/>
              <w:keepNext/>
              <w:spacing w:before="0"/>
              <w:jc w:val="left"/>
              <w:rPr>
                <w:b/>
                <w:bCs/>
              </w:rPr>
            </w:pPr>
            <w:bookmarkStart w:id="16" w:name="_Ref49772190"/>
            <w:r w:rsidRPr="00910BCF">
              <w:rPr>
                <w:b/>
                <w:bCs/>
              </w:rPr>
              <w:t xml:space="preserve">Tabuľka </w:t>
            </w:r>
            <w:r w:rsidRPr="00910BCF">
              <w:rPr>
                <w:b/>
                <w:bCs/>
              </w:rPr>
              <w:fldChar w:fldCharType="begin"/>
            </w:r>
            <w:r w:rsidRPr="00910BCF">
              <w:rPr>
                <w:b/>
                <w:bCs/>
              </w:rPr>
              <w:instrText xml:space="preserve"> SEQ Tabuľka \* ARABIC </w:instrText>
            </w:r>
            <w:r w:rsidRPr="00910BCF">
              <w:rPr>
                <w:b/>
                <w:bCs/>
              </w:rPr>
              <w:fldChar w:fldCharType="separate"/>
            </w:r>
            <w:r w:rsidR="00A02A40">
              <w:rPr>
                <w:b/>
                <w:bCs/>
                <w:noProof/>
              </w:rPr>
              <w:t>3</w:t>
            </w:r>
            <w:r w:rsidRPr="00910BCF">
              <w:rPr>
                <w:b/>
                <w:bCs/>
                <w:noProof/>
              </w:rPr>
              <w:fldChar w:fldCharType="end"/>
            </w:r>
            <w:bookmarkEnd w:id="16"/>
            <w:r w:rsidRPr="00910BCF">
              <w:rPr>
                <w:b/>
                <w:bCs/>
              </w:rPr>
              <w:t xml:space="preserve"> </w:t>
            </w:r>
            <w:r>
              <w:rPr>
                <w:b/>
                <w:bCs/>
              </w:rPr>
              <w:t>Odhad rizika, že časť domácností sa nebude schopn</w:t>
            </w:r>
            <w:r w:rsidR="008D7BD2">
              <w:rPr>
                <w:b/>
                <w:bCs/>
              </w:rPr>
              <w:t>á</w:t>
            </w:r>
            <w:r>
              <w:rPr>
                <w:b/>
                <w:bCs/>
              </w:rPr>
              <w:t xml:space="preserve"> vrátiť sa </w:t>
            </w:r>
            <w:r w:rsidR="0068581E">
              <w:rPr>
                <w:b/>
                <w:bCs/>
              </w:rPr>
              <w:t>k </w:t>
            </w:r>
            <w:r>
              <w:rPr>
                <w:b/>
                <w:bCs/>
              </w:rPr>
              <w:t>splácaniu úverov</w:t>
            </w:r>
          </w:p>
        </w:tc>
      </w:tr>
      <w:tr w:rsidR="00225672" w:rsidRPr="00300D25" w14:paraId="52DEF1FC" w14:textId="77777777" w:rsidTr="00F757BB">
        <w:trPr>
          <w:trHeight w:val="238"/>
        </w:trPr>
        <w:tc>
          <w:tcPr>
            <w:tcW w:w="3828" w:type="dxa"/>
            <w:tcBorders>
              <w:top w:val="single" w:sz="12" w:space="0" w:color="0067AC"/>
              <w:left w:val="single" w:sz="12" w:space="0" w:color="0067AC"/>
              <w:bottom w:val="single" w:sz="12" w:space="0" w:color="0067AC"/>
              <w:right w:val="single" w:sz="12" w:space="0" w:color="0067AC"/>
            </w:tcBorders>
            <w:shd w:val="clear" w:color="auto" w:fill="auto"/>
            <w:noWrap/>
            <w:vAlign w:val="center"/>
          </w:tcPr>
          <w:p w14:paraId="5F81D420" w14:textId="77777777" w:rsidR="00225672" w:rsidRDefault="00225672" w:rsidP="00F757BB">
            <w:pPr>
              <w:keepNext/>
              <w:spacing w:after="0" w:line="240" w:lineRule="auto"/>
              <w:jc w:val="center"/>
              <w:rPr>
                <w:rFonts w:eastAsia="Times New Roman"/>
                <w:color w:val="0067AC"/>
              </w:rPr>
            </w:pPr>
          </w:p>
        </w:tc>
        <w:tc>
          <w:tcPr>
            <w:tcW w:w="1275" w:type="dxa"/>
            <w:tcBorders>
              <w:top w:val="single" w:sz="12" w:space="0" w:color="0067AC"/>
              <w:left w:val="single" w:sz="12" w:space="0" w:color="0067AC"/>
              <w:bottom w:val="single" w:sz="12" w:space="0" w:color="0067AC" w:themeColor="accent1"/>
              <w:right w:val="single" w:sz="12" w:space="0" w:color="0067AC"/>
            </w:tcBorders>
            <w:shd w:val="clear" w:color="auto" w:fill="auto"/>
            <w:vAlign w:val="center"/>
          </w:tcPr>
          <w:p w14:paraId="12B3C0C5" w14:textId="77777777" w:rsidR="00225672" w:rsidRPr="008B737F" w:rsidRDefault="00225672" w:rsidP="00F757BB">
            <w:pPr>
              <w:keepNext/>
              <w:spacing w:after="0" w:line="240" w:lineRule="auto"/>
              <w:jc w:val="center"/>
              <w:rPr>
                <w:rFonts w:eastAsia="Times New Roman"/>
                <w:color w:val="0067AC" w:themeColor="accent1"/>
                <w:sz w:val="18"/>
                <w:szCs w:val="18"/>
              </w:rPr>
            </w:pPr>
            <w:r>
              <w:rPr>
                <w:rFonts w:eastAsia="Times New Roman"/>
                <w:color w:val="0067AC"/>
              </w:rPr>
              <w:t>Domácnosti so zmenou podmienok splácania</w:t>
            </w:r>
          </w:p>
        </w:tc>
        <w:tc>
          <w:tcPr>
            <w:tcW w:w="1276" w:type="dxa"/>
            <w:tcBorders>
              <w:top w:val="single" w:sz="12" w:space="0" w:color="0067AC"/>
              <w:left w:val="single" w:sz="12" w:space="0" w:color="0067AC"/>
              <w:bottom w:val="single" w:sz="12" w:space="0" w:color="0067AC" w:themeColor="accent1"/>
              <w:right w:val="single" w:sz="12" w:space="0" w:color="0067AC"/>
            </w:tcBorders>
            <w:shd w:val="clear" w:color="auto" w:fill="auto"/>
            <w:vAlign w:val="center"/>
          </w:tcPr>
          <w:p w14:paraId="14F703AF" w14:textId="77777777" w:rsidR="00225672" w:rsidRPr="007C7785" w:rsidRDefault="00225672" w:rsidP="00F757BB">
            <w:pPr>
              <w:keepNext/>
              <w:spacing w:after="0" w:line="240" w:lineRule="auto"/>
              <w:jc w:val="center"/>
              <w:rPr>
                <w:rFonts w:eastAsia="Times New Roman"/>
                <w:color w:val="0067AC"/>
              </w:rPr>
            </w:pPr>
            <w:r>
              <w:rPr>
                <w:rFonts w:eastAsia="Times New Roman"/>
                <w:color w:val="0067AC"/>
              </w:rPr>
              <w:t>Domácnosti bez zmeny podmienok splácania</w:t>
            </w:r>
          </w:p>
        </w:tc>
        <w:tc>
          <w:tcPr>
            <w:tcW w:w="1276" w:type="dxa"/>
            <w:tcBorders>
              <w:top w:val="single" w:sz="12" w:space="0" w:color="0067AC"/>
              <w:left w:val="single" w:sz="12" w:space="0" w:color="0067AC"/>
              <w:bottom w:val="single" w:sz="12" w:space="0" w:color="0067AC"/>
              <w:right w:val="single" w:sz="12" w:space="0" w:color="0067AC"/>
            </w:tcBorders>
            <w:shd w:val="clear" w:color="auto" w:fill="auto"/>
            <w:vAlign w:val="center"/>
          </w:tcPr>
          <w:p w14:paraId="63551A4D" w14:textId="77777777" w:rsidR="00225672" w:rsidRPr="007C7785" w:rsidRDefault="00225672" w:rsidP="00F757BB">
            <w:pPr>
              <w:keepNext/>
              <w:spacing w:after="0" w:line="240" w:lineRule="auto"/>
              <w:jc w:val="center"/>
              <w:rPr>
                <w:rFonts w:eastAsia="Times New Roman"/>
                <w:color w:val="0067AC"/>
              </w:rPr>
            </w:pPr>
            <w:r>
              <w:rPr>
                <w:rFonts w:eastAsia="Times New Roman"/>
                <w:color w:val="0067AC"/>
              </w:rPr>
              <w:t xml:space="preserve">Všetky zadlžené domácnosti </w:t>
            </w:r>
          </w:p>
        </w:tc>
      </w:tr>
      <w:tr w:rsidR="00225672" w:rsidRPr="00300D25" w14:paraId="343EEB64" w14:textId="77777777" w:rsidTr="00F757BB">
        <w:trPr>
          <w:trHeight w:val="774"/>
        </w:trPr>
        <w:tc>
          <w:tcPr>
            <w:tcW w:w="3828"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hideMark/>
          </w:tcPr>
          <w:p w14:paraId="4DF62D9B" w14:textId="33C94600" w:rsidR="00225672" w:rsidRPr="00481E67" w:rsidRDefault="00225672" w:rsidP="0068581E">
            <w:pPr>
              <w:keepNext/>
              <w:spacing w:before="0" w:after="0" w:line="240" w:lineRule="auto"/>
              <w:rPr>
                <w:rFonts w:eastAsia="Times New Roman"/>
                <w:color w:val="0067AC" w:themeColor="accent1"/>
              </w:rPr>
            </w:pPr>
            <w:r>
              <w:rPr>
                <w:color w:val="0067AC" w:themeColor="accent1"/>
              </w:rPr>
              <w:t xml:space="preserve">Podiel domácností, ktoré sa obávajú, že nebudú schopné splácať úvery, na celkovom počte domácností </w:t>
            </w:r>
            <w:r w:rsidR="0068581E">
              <w:rPr>
                <w:color w:val="0067AC" w:themeColor="accent1"/>
              </w:rPr>
              <w:t>v </w:t>
            </w:r>
            <w:r>
              <w:rPr>
                <w:color w:val="0067AC" w:themeColor="accent1"/>
              </w:rPr>
              <w:t>uvedenej skupine</w:t>
            </w:r>
          </w:p>
        </w:tc>
        <w:tc>
          <w:tcPr>
            <w:tcW w:w="1275" w:type="dxa"/>
            <w:tcBorders>
              <w:top w:val="single" w:sz="12" w:space="0" w:color="0067AC" w:themeColor="accent1"/>
              <w:left w:val="single" w:sz="12" w:space="0" w:color="0067AC"/>
              <w:right w:val="single" w:sz="12" w:space="0" w:color="0067AC"/>
            </w:tcBorders>
            <w:shd w:val="clear" w:color="auto" w:fill="BBE3FF" w:themeFill="accent1" w:themeFillTint="33"/>
            <w:noWrap/>
            <w:vAlign w:val="center"/>
          </w:tcPr>
          <w:p w14:paraId="78408413" w14:textId="39354367"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8,</w:t>
            </w:r>
            <w:r w:rsidR="0068581E">
              <w:rPr>
                <w:rFonts w:eastAsia="Times New Roman"/>
                <w:color w:val="0067AC" w:themeColor="accent1"/>
                <w:sz w:val="18"/>
                <w:szCs w:val="18"/>
              </w:rPr>
              <w:t>7 %</w:t>
            </w:r>
          </w:p>
        </w:tc>
        <w:tc>
          <w:tcPr>
            <w:tcW w:w="1276" w:type="dxa"/>
            <w:tcBorders>
              <w:top w:val="single" w:sz="12" w:space="0" w:color="0067AC" w:themeColor="accent1"/>
              <w:left w:val="single" w:sz="12" w:space="0" w:color="0067AC"/>
              <w:right w:val="single" w:sz="12" w:space="0" w:color="0067AC"/>
            </w:tcBorders>
            <w:shd w:val="clear" w:color="auto" w:fill="BBE3FF" w:themeFill="accent1" w:themeFillTint="33"/>
            <w:vAlign w:val="center"/>
          </w:tcPr>
          <w:p w14:paraId="5E17B4E7" w14:textId="7B668C91"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0,</w:t>
            </w:r>
            <w:r w:rsidR="0068581E">
              <w:rPr>
                <w:rFonts w:eastAsia="Times New Roman"/>
                <w:color w:val="0067AC" w:themeColor="accent1"/>
                <w:sz w:val="18"/>
                <w:szCs w:val="18"/>
              </w:rPr>
              <w:t>6 %</w:t>
            </w:r>
          </w:p>
        </w:tc>
        <w:tc>
          <w:tcPr>
            <w:tcW w:w="1276" w:type="dxa"/>
            <w:tcBorders>
              <w:top w:val="single" w:sz="12" w:space="0" w:color="0067AC"/>
              <w:left w:val="single" w:sz="12" w:space="0" w:color="0067AC"/>
              <w:bottom w:val="nil"/>
              <w:right w:val="single" w:sz="12" w:space="0" w:color="0067AC"/>
            </w:tcBorders>
            <w:shd w:val="clear" w:color="auto" w:fill="BBE3FF" w:themeFill="accent1" w:themeFillTint="33"/>
            <w:vAlign w:val="center"/>
          </w:tcPr>
          <w:p w14:paraId="4E83E041" w14:textId="0A53A3C2"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1,</w:t>
            </w:r>
            <w:r w:rsidR="0068581E">
              <w:rPr>
                <w:rFonts w:eastAsia="Times New Roman"/>
                <w:color w:val="0067AC" w:themeColor="accent1"/>
                <w:sz w:val="18"/>
                <w:szCs w:val="18"/>
              </w:rPr>
              <w:t>2 %</w:t>
            </w:r>
          </w:p>
        </w:tc>
      </w:tr>
      <w:tr w:rsidR="00225672" w:rsidRPr="00300D25" w14:paraId="15E82776" w14:textId="77777777" w:rsidTr="00F757BB">
        <w:trPr>
          <w:trHeight w:val="774"/>
        </w:trPr>
        <w:tc>
          <w:tcPr>
            <w:tcW w:w="3828" w:type="dxa"/>
            <w:tcBorders>
              <w:top w:val="nil"/>
              <w:left w:val="single" w:sz="12" w:space="0" w:color="0067AC"/>
              <w:bottom w:val="nil"/>
              <w:right w:val="single" w:sz="12" w:space="0" w:color="0067AC"/>
            </w:tcBorders>
            <w:shd w:val="clear" w:color="auto" w:fill="FFFFFF" w:themeFill="background1"/>
            <w:noWrap/>
            <w:vAlign w:val="center"/>
            <w:hideMark/>
          </w:tcPr>
          <w:p w14:paraId="6CD923A2" w14:textId="77777777" w:rsidR="00225672" w:rsidRPr="00481E67" w:rsidRDefault="00225672" w:rsidP="0068581E">
            <w:pPr>
              <w:keepNext/>
              <w:spacing w:before="0" w:after="0" w:line="240" w:lineRule="auto"/>
              <w:rPr>
                <w:color w:val="0067AC" w:themeColor="accent1"/>
              </w:rPr>
            </w:pPr>
            <w:r>
              <w:rPr>
                <w:color w:val="0067AC" w:themeColor="accent1"/>
              </w:rPr>
              <w:t>Počet domácností, ktoré sa obávajú, že nebudú schopné splácať úvery</w:t>
            </w:r>
          </w:p>
        </w:tc>
        <w:tc>
          <w:tcPr>
            <w:tcW w:w="1275" w:type="dxa"/>
            <w:tcBorders>
              <w:left w:val="single" w:sz="12" w:space="0" w:color="0067AC"/>
              <w:right w:val="single" w:sz="12" w:space="0" w:color="0067AC"/>
            </w:tcBorders>
            <w:shd w:val="clear" w:color="auto" w:fill="auto"/>
            <w:noWrap/>
            <w:vAlign w:val="center"/>
          </w:tcPr>
          <w:p w14:paraId="6138E28E" w14:textId="77777777"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5 tisíc</w:t>
            </w:r>
          </w:p>
        </w:tc>
        <w:tc>
          <w:tcPr>
            <w:tcW w:w="1276" w:type="dxa"/>
            <w:tcBorders>
              <w:left w:val="single" w:sz="12" w:space="0" w:color="0067AC"/>
              <w:right w:val="single" w:sz="12" w:space="0" w:color="0067AC"/>
            </w:tcBorders>
            <w:shd w:val="clear" w:color="auto" w:fill="auto"/>
            <w:vAlign w:val="center"/>
          </w:tcPr>
          <w:p w14:paraId="5E584038" w14:textId="77777777"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4 tisíc</w:t>
            </w:r>
          </w:p>
        </w:tc>
        <w:tc>
          <w:tcPr>
            <w:tcW w:w="1276" w:type="dxa"/>
            <w:tcBorders>
              <w:top w:val="nil"/>
              <w:left w:val="single" w:sz="12" w:space="0" w:color="0067AC"/>
              <w:bottom w:val="nil"/>
              <w:right w:val="single" w:sz="12" w:space="0" w:color="0067AC"/>
            </w:tcBorders>
            <w:shd w:val="clear" w:color="auto" w:fill="FFFFFF" w:themeFill="background1"/>
            <w:vAlign w:val="center"/>
          </w:tcPr>
          <w:p w14:paraId="7AA48DFD" w14:textId="77777777" w:rsidR="00225672" w:rsidRPr="008B737F" w:rsidRDefault="00225672" w:rsidP="0068581E">
            <w:pPr>
              <w:keepNext/>
              <w:spacing w:before="0" w:after="0" w:line="240" w:lineRule="auto"/>
              <w:jc w:val="center"/>
              <w:rPr>
                <w:rFonts w:eastAsia="Times New Roman"/>
                <w:color w:val="0067AC" w:themeColor="accent1"/>
                <w:sz w:val="18"/>
                <w:szCs w:val="18"/>
              </w:rPr>
            </w:pPr>
            <w:r w:rsidRPr="008B737F">
              <w:rPr>
                <w:rFonts w:eastAsia="Times New Roman"/>
                <w:color w:val="0067AC" w:themeColor="accent1"/>
                <w:sz w:val="18"/>
                <w:szCs w:val="18"/>
              </w:rPr>
              <w:t xml:space="preserve">9 </w:t>
            </w:r>
            <w:r>
              <w:rPr>
                <w:rFonts w:eastAsia="Times New Roman"/>
                <w:color w:val="0067AC" w:themeColor="accent1"/>
                <w:sz w:val="18"/>
                <w:szCs w:val="18"/>
              </w:rPr>
              <w:t>tisíc</w:t>
            </w:r>
          </w:p>
        </w:tc>
      </w:tr>
      <w:tr w:rsidR="00225672" w:rsidRPr="00300D25" w14:paraId="478FC2CB" w14:textId="77777777" w:rsidTr="0068581E">
        <w:trPr>
          <w:trHeight w:val="547"/>
        </w:trPr>
        <w:tc>
          <w:tcPr>
            <w:tcW w:w="3828" w:type="dxa"/>
            <w:tcBorders>
              <w:top w:val="nil"/>
              <w:left w:val="single" w:sz="12" w:space="0" w:color="0067AC"/>
              <w:bottom w:val="single" w:sz="12" w:space="0" w:color="0067AC" w:themeColor="accent1"/>
              <w:right w:val="single" w:sz="12" w:space="0" w:color="0067AC"/>
            </w:tcBorders>
            <w:shd w:val="clear" w:color="auto" w:fill="BBE3FF" w:themeFill="accent1" w:themeFillTint="33"/>
            <w:noWrap/>
            <w:vAlign w:val="center"/>
            <w:hideMark/>
          </w:tcPr>
          <w:p w14:paraId="063E99C9" w14:textId="77777777" w:rsidR="00225672" w:rsidRPr="00481E67" w:rsidRDefault="00225672" w:rsidP="0068581E">
            <w:pPr>
              <w:keepNext/>
              <w:spacing w:before="0" w:after="0" w:line="240" w:lineRule="auto"/>
              <w:rPr>
                <w:rFonts w:eastAsia="Times New Roman"/>
                <w:color w:val="0067AC" w:themeColor="accent1"/>
              </w:rPr>
            </w:pPr>
            <w:r>
              <w:rPr>
                <w:color w:val="0067AC" w:themeColor="accent1"/>
              </w:rPr>
              <w:t xml:space="preserve">Očakávaná strata </w:t>
            </w:r>
          </w:p>
        </w:tc>
        <w:tc>
          <w:tcPr>
            <w:tcW w:w="1275" w:type="dxa"/>
            <w:tcBorders>
              <w:left w:val="single" w:sz="12" w:space="0" w:color="0067AC"/>
              <w:bottom w:val="single" w:sz="12" w:space="0" w:color="0067AC" w:themeColor="accent1"/>
              <w:right w:val="single" w:sz="12" w:space="0" w:color="0067AC"/>
            </w:tcBorders>
            <w:shd w:val="clear" w:color="auto" w:fill="BBE3FF" w:themeFill="accent1" w:themeFillTint="33"/>
            <w:noWrap/>
            <w:vAlign w:val="center"/>
          </w:tcPr>
          <w:p w14:paraId="2A9E652D" w14:textId="3617AC7F"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6</w:t>
            </w:r>
            <w:r w:rsidR="0068581E">
              <w:rPr>
                <w:rFonts w:eastAsia="Times New Roman"/>
                <w:color w:val="0067AC" w:themeColor="accent1"/>
                <w:sz w:val="18"/>
                <w:szCs w:val="18"/>
              </w:rPr>
              <w:t>6 mil.</w:t>
            </w:r>
            <w:r>
              <w:rPr>
                <w:rFonts w:eastAsia="Times New Roman"/>
                <w:color w:val="0067AC" w:themeColor="accent1"/>
                <w:sz w:val="18"/>
                <w:szCs w:val="18"/>
              </w:rPr>
              <w:t xml:space="preserve"> </w:t>
            </w:r>
            <w:r w:rsidR="008D7BD2">
              <w:rPr>
                <w:rFonts w:eastAsia="Times New Roman"/>
                <w:color w:val="0067AC" w:themeColor="accent1"/>
                <w:sz w:val="18"/>
                <w:szCs w:val="18"/>
              </w:rPr>
              <w:t>EUR</w:t>
            </w:r>
          </w:p>
        </w:tc>
        <w:tc>
          <w:tcPr>
            <w:tcW w:w="1276" w:type="dxa"/>
            <w:tcBorders>
              <w:left w:val="single" w:sz="12" w:space="0" w:color="0067AC"/>
              <w:bottom w:val="single" w:sz="12" w:space="0" w:color="0067AC" w:themeColor="accent1"/>
              <w:right w:val="single" w:sz="12" w:space="0" w:color="0067AC"/>
            </w:tcBorders>
            <w:shd w:val="clear" w:color="auto" w:fill="BBE3FF" w:themeFill="accent1" w:themeFillTint="33"/>
            <w:vAlign w:val="center"/>
          </w:tcPr>
          <w:p w14:paraId="199C28D2" w14:textId="76BBADF4"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6</w:t>
            </w:r>
            <w:r w:rsidR="0068581E">
              <w:rPr>
                <w:rFonts w:eastAsia="Times New Roman"/>
                <w:color w:val="0067AC" w:themeColor="accent1"/>
                <w:sz w:val="18"/>
                <w:szCs w:val="18"/>
              </w:rPr>
              <w:t>2 mil.</w:t>
            </w:r>
            <w:r>
              <w:rPr>
                <w:rFonts w:eastAsia="Times New Roman"/>
                <w:color w:val="0067AC" w:themeColor="accent1"/>
                <w:sz w:val="18"/>
                <w:szCs w:val="18"/>
              </w:rPr>
              <w:t xml:space="preserve"> </w:t>
            </w:r>
            <w:r w:rsidR="008D7BD2">
              <w:rPr>
                <w:rFonts w:eastAsia="Times New Roman"/>
                <w:color w:val="0067AC" w:themeColor="accent1"/>
                <w:sz w:val="18"/>
                <w:szCs w:val="18"/>
              </w:rPr>
              <w:t>EUR</w:t>
            </w:r>
          </w:p>
        </w:tc>
        <w:tc>
          <w:tcPr>
            <w:tcW w:w="1276" w:type="dxa"/>
            <w:tcBorders>
              <w:top w:val="nil"/>
              <w:left w:val="single" w:sz="12" w:space="0" w:color="0067AC"/>
              <w:bottom w:val="single" w:sz="12" w:space="0" w:color="0067AC" w:themeColor="accent1"/>
              <w:right w:val="single" w:sz="12" w:space="0" w:color="0067AC"/>
            </w:tcBorders>
            <w:shd w:val="clear" w:color="auto" w:fill="BBE3FF" w:themeFill="accent1" w:themeFillTint="33"/>
            <w:vAlign w:val="center"/>
          </w:tcPr>
          <w:p w14:paraId="16D6BFFB" w14:textId="638E2776" w:rsidR="00225672" w:rsidRPr="008B737F" w:rsidRDefault="00225672" w:rsidP="0068581E">
            <w:pPr>
              <w:keepNext/>
              <w:spacing w:before="0" w:after="0" w:line="240" w:lineRule="auto"/>
              <w:jc w:val="center"/>
              <w:rPr>
                <w:rFonts w:eastAsia="Times New Roman"/>
                <w:color w:val="0067AC" w:themeColor="accent1"/>
                <w:sz w:val="18"/>
                <w:szCs w:val="18"/>
              </w:rPr>
            </w:pPr>
            <w:r>
              <w:rPr>
                <w:rFonts w:eastAsia="Times New Roman"/>
                <w:color w:val="0067AC" w:themeColor="accent1"/>
                <w:sz w:val="18"/>
                <w:szCs w:val="18"/>
              </w:rPr>
              <w:t>12</w:t>
            </w:r>
            <w:r w:rsidR="0068581E">
              <w:rPr>
                <w:rFonts w:eastAsia="Times New Roman"/>
                <w:color w:val="0067AC" w:themeColor="accent1"/>
                <w:sz w:val="18"/>
                <w:szCs w:val="18"/>
              </w:rPr>
              <w:t>8 mil.</w:t>
            </w:r>
            <w:r>
              <w:rPr>
                <w:rFonts w:eastAsia="Times New Roman"/>
                <w:color w:val="0067AC" w:themeColor="accent1"/>
                <w:sz w:val="18"/>
                <w:szCs w:val="18"/>
              </w:rPr>
              <w:t xml:space="preserve"> </w:t>
            </w:r>
            <w:r w:rsidR="008D7BD2">
              <w:rPr>
                <w:rFonts w:eastAsia="Times New Roman"/>
                <w:color w:val="0067AC" w:themeColor="accent1"/>
                <w:sz w:val="18"/>
                <w:szCs w:val="18"/>
              </w:rPr>
              <w:t>EUR</w:t>
            </w:r>
          </w:p>
        </w:tc>
      </w:tr>
    </w:tbl>
    <w:p w14:paraId="7130D1F1" w14:textId="77777777" w:rsidR="00225672" w:rsidRDefault="00225672" w:rsidP="00225672">
      <w:pPr>
        <w:pStyle w:val="Podgrafom"/>
      </w:pPr>
      <w:r>
        <w:t>Zdroj: NBS (júlový prieskum medzi zadlženými domácnosťami)</w:t>
      </w:r>
    </w:p>
    <w:p w14:paraId="78F2EF7A" w14:textId="77777777" w:rsidR="00225672" w:rsidRDefault="00225672" w:rsidP="00225672">
      <w:pPr>
        <w:pStyle w:val="Podgrafom"/>
        <w:rPr>
          <w:b/>
          <w:bCs/>
        </w:rPr>
      </w:pPr>
    </w:p>
    <w:p w14:paraId="2289239E" w14:textId="7CA249B0" w:rsidR="0068581E" w:rsidRDefault="00225672" w:rsidP="0068581E">
      <w:r w:rsidRPr="008D23E6">
        <w:rPr>
          <w:b/>
          <w:bCs/>
        </w:rPr>
        <w:t>Najvyššiu mieru neistoty pociťujú živnostníci a podnikatelia.</w:t>
      </w:r>
      <w:r w:rsidRPr="008D23E6">
        <w:t xml:space="preserve"> Obavy týkajúce sa budúcej schopnosti pokračovať </w:t>
      </w:r>
      <w:r w:rsidR="0068581E">
        <w:t>v </w:t>
      </w:r>
      <w:r w:rsidRPr="008D23E6">
        <w:t xml:space="preserve">splácaní vyjadrili až </w:t>
      </w:r>
      <w:r w:rsidR="0068581E">
        <w:t>4 %</w:t>
      </w:r>
      <w:r w:rsidRPr="008D23E6">
        <w:t xml:space="preserve"> </w:t>
      </w:r>
      <w:r w:rsidR="0068581E">
        <w:t>z </w:t>
      </w:r>
      <w:r w:rsidRPr="008D23E6">
        <w:t xml:space="preserve">nich. </w:t>
      </w:r>
      <w:r w:rsidR="0068581E">
        <w:t>Z </w:t>
      </w:r>
      <w:r w:rsidRPr="008D23E6">
        <w:t>domácností, ktoré sa obávajú, že nebudú schopné splácať úvery, tvoria podnikatelia a živnostníci takmer polovicu.</w:t>
      </w:r>
    </w:p>
    <w:p w14:paraId="721E0295" w14:textId="0BE13C91" w:rsidR="00225672" w:rsidRPr="004B305C" w:rsidRDefault="00225672" w:rsidP="00225672">
      <w:pPr>
        <w:spacing w:after="0"/>
      </w:pPr>
      <w:r>
        <w:rPr>
          <w:b/>
          <w:bCs/>
        </w:rPr>
        <w:t xml:space="preserve">Podľa samotných údajov </w:t>
      </w:r>
      <w:r w:rsidR="0068581E">
        <w:rPr>
          <w:b/>
          <w:bCs/>
        </w:rPr>
        <w:t>o </w:t>
      </w:r>
      <w:r>
        <w:rPr>
          <w:b/>
          <w:bCs/>
        </w:rPr>
        <w:t xml:space="preserve">poklese príjmu </w:t>
      </w:r>
      <w:r w:rsidR="0068581E">
        <w:rPr>
          <w:b/>
          <w:bCs/>
        </w:rPr>
        <w:t>k </w:t>
      </w:r>
      <w:r>
        <w:rPr>
          <w:b/>
          <w:bCs/>
        </w:rPr>
        <w:t xml:space="preserve">júlu by sa kvôli </w:t>
      </w:r>
      <w:proofErr w:type="spellStart"/>
      <w:r w:rsidRPr="00E13E52">
        <w:rPr>
          <w:b/>
          <w:bCs/>
        </w:rPr>
        <w:t>koronakríz</w:t>
      </w:r>
      <w:r>
        <w:rPr>
          <w:b/>
          <w:bCs/>
        </w:rPr>
        <w:t>e</w:t>
      </w:r>
      <w:proofErr w:type="spellEnd"/>
      <w:r w:rsidRPr="00E13E52">
        <w:rPr>
          <w:b/>
          <w:bCs/>
        </w:rPr>
        <w:t xml:space="preserve"> </w:t>
      </w:r>
      <w:r>
        <w:rPr>
          <w:b/>
          <w:bCs/>
        </w:rPr>
        <w:t>až 6,</w:t>
      </w:r>
      <w:r w:rsidR="0068581E">
        <w:rPr>
          <w:b/>
          <w:bCs/>
        </w:rPr>
        <w:t>5 %</w:t>
      </w:r>
      <w:r w:rsidRPr="00E13E52">
        <w:rPr>
          <w:b/>
          <w:bCs/>
        </w:rPr>
        <w:t xml:space="preserve"> domácností dostalo do rizika</w:t>
      </w:r>
      <w:r>
        <w:rPr>
          <w:b/>
          <w:bCs/>
        </w:rPr>
        <w:t xml:space="preserve"> finančných ťažkostí. Znamená to, že a</w:t>
      </w:r>
      <w:r w:rsidRPr="00E13E52">
        <w:rPr>
          <w:b/>
          <w:bCs/>
        </w:rPr>
        <w:t xml:space="preserve">k by </w:t>
      </w:r>
      <w:r>
        <w:rPr>
          <w:b/>
          <w:bCs/>
        </w:rPr>
        <w:t xml:space="preserve">tento </w:t>
      </w:r>
      <w:r w:rsidRPr="00E13E52">
        <w:rPr>
          <w:b/>
          <w:bCs/>
        </w:rPr>
        <w:t xml:space="preserve">výpadok príjmu pretrval, </w:t>
      </w:r>
      <w:r>
        <w:rPr>
          <w:b/>
          <w:bCs/>
        </w:rPr>
        <w:t xml:space="preserve">tieto domácnosti </w:t>
      </w:r>
      <w:r w:rsidRPr="00E13E52">
        <w:rPr>
          <w:b/>
          <w:bCs/>
        </w:rPr>
        <w:t xml:space="preserve">nebudú schopné </w:t>
      </w:r>
      <w:r w:rsidRPr="00E13E52">
        <w:rPr>
          <w:b/>
          <w:bCs/>
        </w:rPr>
        <w:lastRenderedPageBreak/>
        <w:t>pokryť splátky úverov a nutné životné výdavky</w:t>
      </w:r>
      <w:r>
        <w:rPr>
          <w:b/>
          <w:bCs/>
        </w:rPr>
        <w:t>.</w:t>
      </w:r>
      <w:r>
        <w:rPr>
          <w:rStyle w:val="FootnoteReference"/>
          <w:bCs/>
        </w:rPr>
        <w:footnoteReference w:id="11"/>
      </w:r>
      <w:r>
        <w:rPr>
          <w:b/>
          <w:bCs/>
        </w:rPr>
        <w:t xml:space="preserve"> </w:t>
      </w:r>
      <w:r w:rsidRPr="00E13E52">
        <w:t>Ďalších 2,</w:t>
      </w:r>
      <w:r w:rsidR="0068581E">
        <w:t>7 %</w:t>
      </w:r>
      <w:r w:rsidRPr="00E13E52">
        <w:t xml:space="preserve"> domácností bolo </w:t>
      </w:r>
      <w:r w:rsidR="0068581E">
        <w:t>v </w:t>
      </w:r>
      <w:r w:rsidRPr="00E13E52">
        <w:t xml:space="preserve">tomto riziku už pred krízou. Spolu ide približne </w:t>
      </w:r>
      <w:r w:rsidR="0068581E">
        <w:t>o </w:t>
      </w:r>
      <w:r w:rsidRPr="00E13E52">
        <w:t>70</w:t>
      </w:r>
      <w:r w:rsidR="00187229">
        <w:t>-</w:t>
      </w:r>
      <w:r w:rsidRPr="00E13E52">
        <w:t>tisíc domácností.</w:t>
      </w:r>
      <w:r>
        <w:rPr>
          <w:rStyle w:val="FootnoteReference"/>
        </w:rPr>
        <w:footnoteReference w:id="12"/>
      </w:r>
      <w:r w:rsidRPr="00E13E52">
        <w:rPr>
          <w:b/>
          <w:bCs/>
        </w:rPr>
        <w:t xml:space="preserve"> </w:t>
      </w:r>
      <w:r w:rsidRPr="001B46E6">
        <w:t xml:space="preserve">Podľa druhého prieskumu sa </w:t>
      </w:r>
      <w:r w:rsidR="0068581E">
        <w:t>v </w:t>
      </w:r>
      <w:r w:rsidRPr="001B46E6">
        <w:t xml:space="preserve">priebehu augusta časť domácností </w:t>
      </w:r>
      <w:r w:rsidR="0068581E">
        <w:t>z </w:t>
      </w:r>
      <w:r w:rsidRPr="001B46E6">
        <w:t>tohto rizika dostala a</w:t>
      </w:r>
      <w:r>
        <w:t xml:space="preserve"> ich počet klesol </w:t>
      </w:r>
      <w:r w:rsidR="0068581E">
        <w:t>o </w:t>
      </w:r>
      <w:r>
        <w:t>tretinu.</w:t>
      </w:r>
      <w:r>
        <w:rPr>
          <w:rStyle w:val="FootnoteReference"/>
        </w:rPr>
        <w:footnoteReference w:id="13"/>
      </w:r>
      <w:r>
        <w:t xml:space="preserve"> </w:t>
      </w:r>
      <w:r w:rsidRPr="0087075D">
        <w:t xml:space="preserve">Časť </w:t>
      </w:r>
      <w:r w:rsidR="0068581E">
        <w:t>z </w:t>
      </w:r>
      <w:r w:rsidRPr="0087075D">
        <w:t xml:space="preserve">nich </w:t>
      </w:r>
      <w:r>
        <w:t xml:space="preserve">sa tomuto riziku môže vyhnúť opätovným obnovením príjmov, alebo môže byť schopná pokryť dočasný výpadok príjmov prostredníctvom úspor (ktoré však neboli predmetom prieskumu), šetrením na strane výdavkov alebo finančnou výpomocou </w:t>
      </w:r>
      <w:r w:rsidR="0068581E">
        <w:t>v </w:t>
      </w:r>
      <w:r>
        <w:t xml:space="preserve">rámci rodiny. </w:t>
      </w:r>
    </w:p>
    <w:p w14:paraId="04560B0A" w14:textId="76A79DD5" w:rsidR="00225672" w:rsidRDefault="00225672" w:rsidP="00125E19">
      <w:bookmarkStart w:id="17" w:name="_Hlk49235546"/>
      <w:r w:rsidRPr="005F1AA9">
        <w:rPr>
          <w:b/>
          <w:bCs/>
        </w:rPr>
        <w:t>Významným faktorom rizika je, ak domácnosť už pred krízou mala vzhľadom na svoj príjem príliš vysoké splátky,</w:t>
      </w:r>
      <w:r>
        <w:t xml:space="preserve"> ktoré jej neumožňovali ponechať si dostatočnú rezervu </w:t>
      </w:r>
      <w:r w:rsidR="0068581E">
        <w:t>z </w:t>
      </w:r>
      <w:r>
        <w:t xml:space="preserve">príjmu. </w:t>
      </w:r>
      <w:r w:rsidR="0068581E">
        <w:t>Z </w:t>
      </w:r>
      <w:r>
        <w:t xml:space="preserve">domácností, pri ktorých podiel splátok </w:t>
      </w:r>
      <w:r w:rsidR="0068581E">
        <w:t>k </w:t>
      </w:r>
      <w:r>
        <w:t xml:space="preserve">príjmu zníženému </w:t>
      </w:r>
      <w:r w:rsidR="0068581E">
        <w:t>o </w:t>
      </w:r>
      <w:r>
        <w:t>životné minimum prevyšoval 6</w:t>
      </w:r>
      <w:r w:rsidR="0068581E">
        <w:t>0 %</w:t>
      </w:r>
      <w:r>
        <w:t>, sa do rizika neschopnosti pokryť splátky a bežné výdavky môže dostať až tretina.</w:t>
      </w:r>
      <w:bookmarkEnd w:id="17"/>
    </w:p>
    <w:p w14:paraId="2C4E3B4C" w14:textId="242416B8" w:rsidR="00225672" w:rsidRDefault="00225672" w:rsidP="007A1EB1">
      <w:pPr>
        <w:pStyle w:val="Nadpisgrafu"/>
      </w:pPr>
      <w:r w:rsidRPr="002264FC">
        <w:t>Graf</w:t>
      </w:r>
      <w:r>
        <w:t xml:space="preserve"> </w:t>
      </w:r>
      <w:fldSimple w:instr=" SEQ Graf \* ARABIC ">
        <w:r w:rsidR="00A02A40">
          <w:rPr>
            <w:noProof/>
          </w:rPr>
          <w:t>5</w:t>
        </w:r>
      </w:fldSimple>
      <w:r>
        <w:t xml:space="preserve"> Vysoko zadlžené domácnosti sú vystavené vyššiemu riziku</w:t>
      </w:r>
    </w:p>
    <w:p w14:paraId="50458C61" w14:textId="77777777" w:rsidR="00225672" w:rsidRPr="000302CF" w:rsidRDefault="00225672" w:rsidP="00F324A1">
      <w:pPr>
        <w:pStyle w:val="Podnadpisgrafu"/>
      </w:pPr>
      <w:r w:rsidRPr="000302CF">
        <w:t>Podiel domácností, ktorých príjmy nepokrývali splátky a náklady na živobytie</w:t>
      </w:r>
    </w:p>
    <w:p w14:paraId="172740CE" w14:textId="577C3F86" w:rsidR="00225672" w:rsidRDefault="00F324A1" w:rsidP="00225672">
      <w:pPr>
        <w:spacing w:after="0"/>
        <w:rPr>
          <w:b/>
          <w:bCs/>
        </w:rPr>
      </w:pPr>
      <w:r>
        <w:rPr>
          <w:noProof/>
        </w:rPr>
        <w:drawing>
          <wp:inline distT="0" distB="0" distL="0" distR="0" wp14:anchorId="549DE539" wp14:editId="469EAAC3">
            <wp:extent cx="4611370" cy="2371061"/>
            <wp:effectExtent l="0" t="0" r="0" b="0"/>
            <wp:docPr id="31" name="Chart 31">
              <a:extLst xmlns:a="http://schemas.openxmlformats.org/drawingml/2006/main">
                <a:ext uri="{FF2B5EF4-FFF2-40B4-BE49-F238E27FC236}">
                  <a16:creationId xmlns:a16="http://schemas.microsoft.com/office/drawing/2014/main" id="{58177325-B45F-45D0-AB8D-532CC7FEE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EDD0F6" w14:textId="77777777" w:rsidR="00225672" w:rsidRDefault="00225672" w:rsidP="00225672">
      <w:pPr>
        <w:pStyle w:val="Podgrafom"/>
      </w:pPr>
      <w:r>
        <w:t>Zdroj: NBS (júlový prieskum medzi zadlženými domácnosťami)</w:t>
      </w:r>
    </w:p>
    <w:p w14:paraId="59765B10" w14:textId="77777777" w:rsidR="00225672" w:rsidRDefault="00225672" w:rsidP="00225672">
      <w:pPr>
        <w:pStyle w:val="Podgrafom"/>
      </w:pPr>
    </w:p>
    <w:p w14:paraId="4E7AA535" w14:textId="24C2CA6B" w:rsidR="00E66481" w:rsidRDefault="00225672" w:rsidP="00225672">
      <w:pPr>
        <w:spacing w:after="0"/>
      </w:pPr>
      <w:r w:rsidRPr="001019C7">
        <w:rPr>
          <w:b/>
          <w:bCs/>
        </w:rPr>
        <w:t xml:space="preserve">Očakávania väčšiny domácností, že so splácaním budú schopné pokračovať, je </w:t>
      </w:r>
      <w:r w:rsidR="0068581E">
        <w:rPr>
          <w:b/>
          <w:bCs/>
        </w:rPr>
        <w:t>v </w:t>
      </w:r>
      <w:r w:rsidRPr="001019C7">
        <w:rPr>
          <w:b/>
          <w:bCs/>
        </w:rPr>
        <w:t xml:space="preserve">súlade </w:t>
      </w:r>
      <w:r w:rsidR="0068581E">
        <w:rPr>
          <w:b/>
          <w:bCs/>
        </w:rPr>
        <w:t>s </w:t>
      </w:r>
      <w:r w:rsidRPr="001019C7">
        <w:rPr>
          <w:b/>
          <w:bCs/>
        </w:rPr>
        <w:t xml:space="preserve">aktuálnym </w:t>
      </w:r>
      <w:proofErr w:type="spellStart"/>
      <w:r w:rsidRPr="001019C7">
        <w:rPr>
          <w:b/>
          <w:bCs/>
        </w:rPr>
        <w:t>sentimentom</w:t>
      </w:r>
      <w:proofErr w:type="spellEnd"/>
      <w:r w:rsidRPr="001019C7">
        <w:rPr>
          <w:b/>
          <w:bCs/>
        </w:rPr>
        <w:t xml:space="preserve"> a očakávaniami ďalšieho vývoja ekonomiky.</w:t>
      </w:r>
      <w:r w:rsidRPr="001019C7">
        <w:t xml:space="preserve"> Podľa strednodobej predikcie NBS sa očakáva kríza </w:t>
      </w:r>
      <w:r w:rsidR="0068581E">
        <w:t>v </w:t>
      </w:r>
      <w:r w:rsidRPr="001019C7">
        <w:t xml:space="preserve">tvare písmena „V“, t. j. prepad ekonomiky by mala vystriedať pomerne rýchla fáza oživenia. </w:t>
      </w:r>
    </w:p>
    <w:p w14:paraId="2C904BA8" w14:textId="1D900AF6" w:rsidR="00225672" w:rsidRPr="00CA70CF" w:rsidRDefault="00225672" w:rsidP="00225672">
      <w:pPr>
        <w:spacing w:after="0"/>
        <w:rPr>
          <w:sz w:val="16"/>
          <w:szCs w:val="16"/>
        </w:rPr>
      </w:pPr>
      <w:r w:rsidRPr="00E66481">
        <w:rPr>
          <w:b/>
          <w:bCs/>
        </w:rPr>
        <w:lastRenderedPageBreak/>
        <w:t>Na druhej strane, tieto očakávania zároveň čelia zvýšenej neistote a rizikám opätovného zhoršenia situácie</w:t>
      </w:r>
      <w:r w:rsidR="00E66481">
        <w:rPr>
          <w:b/>
          <w:bCs/>
        </w:rPr>
        <w:t xml:space="preserve">. </w:t>
      </w:r>
      <w:r w:rsidR="00E66481" w:rsidRPr="00E66481">
        <w:t xml:space="preserve">Týka sa to </w:t>
      </w:r>
      <w:r w:rsidRPr="001019C7">
        <w:t xml:space="preserve">najmä </w:t>
      </w:r>
      <w:r w:rsidR="00E66481">
        <w:t>prípadu</w:t>
      </w:r>
      <w:r w:rsidRPr="001019C7">
        <w:t xml:space="preserve">, ak by </w:t>
      </w:r>
      <w:r>
        <w:t xml:space="preserve">aj </w:t>
      </w:r>
      <w:r w:rsidRPr="001019C7">
        <w:t>druhá vlna pandémie</w:t>
      </w:r>
      <w:r>
        <w:t xml:space="preserve"> priniesla výraznejšie ekonomické dôsledky</w:t>
      </w:r>
      <w:r w:rsidRPr="001019C7">
        <w:t xml:space="preserve">. </w:t>
      </w:r>
      <w:r w:rsidR="00E66481" w:rsidRPr="00E66481">
        <w:t xml:space="preserve">Treba pripomenúť, že pomerne </w:t>
      </w:r>
      <w:r w:rsidR="00E66481">
        <w:t xml:space="preserve">veľa domácností bolo vystavených výraznému poklesu príjmov a takmer </w:t>
      </w:r>
      <w:r w:rsidR="0068581E">
        <w:t>v </w:t>
      </w:r>
      <w:r w:rsidR="00E66481">
        <w:t>tretine zadlžených domácností sa príjmy neobnovili na predkrízovú úroveň ani do augusta</w:t>
      </w:r>
      <w:r w:rsidR="00E66481" w:rsidRPr="00E66481">
        <w:t>.</w:t>
      </w:r>
    </w:p>
    <w:p w14:paraId="36B33384" w14:textId="63715C15" w:rsidR="00225672" w:rsidRDefault="00225672" w:rsidP="00225672">
      <w:pPr>
        <w:spacing w:after="0"/>
      </w:pPr>
      <w:r w:rsidRPr="0064319B">
        <w:rPr>
          <w:b/>
          <w:bCs/>
        </w:rPr>
        <w:t xml:space="preserve">Celkovo možno zhrnúť, že možnosť odkladu splátok výrazným spôsobom prispela </w:t>
      </w:r>
      <w:r w:rsidR="0068581E">
        <w:rPr>
          <w:b/>
          <w:bCs/>
        </w:rPr>
        <w:t>k </w:t>
      </w:r>
      <w:r w:rsidRPr="0064319B">
        <w:rPr>
          <w:b/>
          <w:bCs/>
        </w:rPr>
        <w:t xml:space="preserve">možnosti preklenutia obdobia výpadku príjmov, ktorému počas </w:t>
      </w:r>
      <w:proofErr w:type="spellStart"/>
      <w:r w:rsidRPr="0064319B">
        <w:rPr>
          <w:b/>
          <w:bCs/>
        </w:rPr>
        <w:t>koronakrízy</w:t>
      </w:r>
      <w:proofErr w:type="spellEnd"/>
      <w:r w:rsidRPr="0064319B">
        <w:rPr>
          <w:b/>
          <w:bCs/>
        </w:rPr>
        <w:t xml:space="preserve"> čelilo značné množstvo domácností.</w:t>
      </w:r>
      <w:r w:rsidRPr="0064319B">
        <w:rPr>
          <w:b/>
          <w:bCs/>
          <w:color w:val="FF0000"/>
        </w:rPr>
        <w:t xml:space="preserve"> </w:t>
      </w:r>
      <w:r w:rsidRPr="0064319B">
        <w:t>Doterajšie údaje naznačujú, že zhoršenie kreditnej kvality portfólia po ukončení odkladov by malo byť pre bank</w:t>
      </w:r>
      <w:r>
        <w:t>ový sektor ako celok</w:t>
      </w:r>
      <w:r w:rsidRPr="0064319B">
        <w:t xml:space="preserve"> zvládnuteľné. Rizikom je však otázna miera druhej vlny pandémie a jej ekonomické </w:t>
      </w:r>
      <w:r w:rsidR="008D5FE6">
        <w:t>vplyvy</w:t>
      </w:r>
      <w:r w:rsidRPr="0064319B">
        <w:t xml:space="preserve">, ale aj načasovanie ukončenia rôznych podporných programov, ktoré zmiernili </w:t>
      </w:r>
      <w:r w:rsidR="008D5FE6">
        <w:t>vplyv</w:t>
      </w:r>
      <w:r w:rsidR="008D5FE6" w:rsidRPr="0064319B">
        <w:t xml:space="preserve"> </w:t>
      </w:r>
      <w:r w:rsidRPr="0064319B">
        <w:t xml:space="preserve">krízy na domácnosti (napr. </w:t>
      </w:r>
      <w:proofErr w:type="spellStart"/>
      <w:r w:rsidRPr="0064319B">
        <w:t>pandemick</w:t>
      </w:r>
      <w:r w:rsidR="00484F10">
        <w:t>é</w:t>
      </w:r>
      <w:proofErr w:type="spellEnd"/>
      <w:r w:rsidRPr="0064319B">
        <w:t xml:space="preserve"> OČR, kompenzácia výpadku príjmov živnostníkom, opatrenia na podporu a udržanie zamestnanosti a pod.).</w:t>
      </w:r>
      <w:r>
        <w:t xml:space="preserve"> Pokiaľ istá časť domácností dokáže pokračovať </w:t>
      </w:r>
      <w:r w:rsidR="0068581E">
        <w:t>v </w:t>
      </w:r>
      <w:r>
        <w:t xml:space="preserve">splácaní iba vďaka týmto opatreniam, ich ukončenie </w:t>
      </w:r>
      <w:r w:rsidR="0068581E">
        <w:t>v </w:t>
      </w:r>
      <w:r>
        <w:t xml:space="preserve">čase vypršania odkladov splátok by mohlo skutočné riziko </w:t>
      </w:r>
      <w:r w:rsidR="0068581E">
        <w:t>v </w:t>
      </w:r>
      <w:r>
        <w:t xml:space="preserve">porovnaní </w:t>
      </w:r>
      <w:r w:rsidR="0068581E">
        <w:t>s </w:t>
      </w:r>
      <w:r>
        <w:t>predchádzajúcimi odhadmi zvýšiť.</w:t>
      </w:r>
      <w:r>
        <w:rPr>
          <w:rStyle w:val="FootnoteReference"/>
        </w:rPr>
        <w:footnoteReference w:id="14"/>
      </w:r>
      <w:r>
        <w:t xml:space="preserve"> </w:t>
      </w:r>
    </w:p>
    <w:p w14:paraId="13CC0D5F" w14:textId="23638F1C" w:rsidR="00225672" w:rsidRDefault="00225672" w:rsidP="00225672">
      <w:pPr>
        <w:spacing w:after="0"/>
      </w:pPr>
      <w:proofErr w:type="spellStart"/>
      <w:r w:rsidRPr="004C35F7">
        <w:rPr>
          <w:b/>
          <w:bCs/>
        </w:rPr>
        <w:t>Koronakríza</w:t>
      </w:r>
      <w:proofErr w:type="spellEnd"/>
      <w:r w:rsidRPr="004C35F7">
        <w:rPr>
          <w:b/>
          <w:bCs/>
        </w:rPr>
        <w:t xml:space="preserve"> potvrdila, že domácnosti nemôžu pri zadlžovaní považovať svoje príjmy za stabilné (alebo dokonca trvalo rastúce), ale je potrebné počítať aj </w:t>
      </w:r>
      <w:r w:rsidR="0068581E">
        <w:rPr>
          <w:b/>
          <w:bCs/>
        </w:rPr>
        <w:t>s </w:t>
      </w:r>
      <w:r w:rsidRPr="004C35F7">
        <w:rPr>
          <w:b/>
          <w:bCs/>
        </w:rPr>
        <w:t>ich prípadným poklesom.</w:t>
      </w:r>
      <w:r>
        <w:t xml:space="preserve"> </w:t>
      </w:r>
      <w:r w:rsidR="0068581E">
        <w:t>V </w:t>
      </w:r>
      <w:r>
        <w:t xml:space="preserve">kríze sa ako najzraniteľnejšie domácnosti ukázali tie, ktoré nemali vytvorenú finančnú rezervu a ich splátky tvorili veľkú časť príjmu. Práve úprava limitu na maximálny podiel splátok </w:t>
      </w:r>
      <w:r w:rsidR="0068581E">
        <w:t>k </w:t>
      </w:r>
      <w:r>
        <w:t xml:space="preserve">príjmu zo strany NBS od začiatku roka 2020 mala cieľ zmierniť toto riziko, vzhľadom na postupný nábeh tohto limitu sa však pred krízou už nestihla dostatočne prejaviť. Mnohé domácnosti sa však podľa prieskumu </w:t>
      </w:r>
      <w:r w:rsidR="0068581E">
        <w:t>v </w:t>
      </w:r>
      <w:r>
        <w:t xml:space="preserve">reakcii na skúsenosť </w:t>
      </w:r>
      <w:r w:rsidR="0068581E">
        <w:t>z </w:t>
      </w:r>
      <w:r>
        <w:t xml:space="preserve">krízy rozhodli zmeniť </w:t>
      </w:r>
      <w:r w:rsidR="0068581E">
        <w:t>v </w:t>
      </w:r>
      <w:r>
        <w:t>budúcnosti svoje finančné správanie, väčšina (7</w:t>
      </w:r>
      <w:r w:rsidR="0068581E">
        <w:t>3 %</w:t>
      </w:r>
      <w:r>
        <w:t xml:space="preserve">) </w:t>
      </w:r>
      <w:r w:rsidR="0068581E">
        <w:t>z </w:t>
      </w:r>
      <w:r>
        <w:t xml:space="preserve">nich najmä vo forme udržiavania vyššej finančnej rezervy. </w:t>
      </w:r>
    </w:p>
    <w:p w14:paraId="75FC65E8" w14:textId="0C1D6A33" w:rsidR="00441218" w:rsidRPr="00441218" w:rsidRDefault="00441218" w:rsidP="00906D52">
      <w:pPr>
        <w:pStyle w:val="sloboxu"/>
      </w:pPr>
      <w:r>
        <w:t xml:space="preserve">Box </w:t>
      </w:r>
      <w:fldSimple w:instr=" SEQ Box \* ARABIC ">
        <w:r w:rsidR="00A02A40">
          <w:rPr>
            <w:noProof/>
          </w:rPr>
          <w:t>1</w:t>
        </w:r>
      </w:fldSimple>
    </w:p>
    <w:p w14:paraId="1CC4D475" w14:textId="11333EC9" w:rsidR="00441218" w:rsidRDefault="00441218" w:rsidP="00906D52">
      <w:pPr>
        <w:pStyle w:val="Nzovboxu"/>
        <w:rPr>
          <w:rStyle w:val="ModrnadpisChar"/>
        </w:rPr>
      </w:pPr>
      <w:bookmarkStart w:id="18" w:name="_Toc52285640"/>
      <w:r>
        <w:rPr>
          <w:rStyle w:val="ModrnadpisChar"/>
        </w:rPr>
        <w:t xml:space="preserve">Nastavenie limitov pri poskytovaní úverov domácnostiam v čase </w:t>
      </w:r>
      <w:proofErr w:type="spellStart"/>
      <w:r>
        <w:rPr>
          <w:rStyle w:val="ModrnadpisChar"/>
        </w:rPr>
        <w:t>koronakrízy</w:t>
      </w:r>
      <w:proofErr w:type="spellEnd"/>
      <w:r>
        <w:rPr>
          <w:rStyle w:val="ModrnadpisChar"/>
        </w:rPr>
        <w:t xml:space="preserve"> zo strany NBS</w:t>
      </w:r>
      <w:bookmarkEnd w:id="18"/>
    </w:p>
    <w:p w14:paraId="46174E97" w14:textId="77777777" w:rsidR="00441218" w:rsidRDefault="00441218" w:rsidP="00906D52">
      <w:pPr>
        <w:pStyle w:val="Textvboxe"/>
      </w:pPr>
      <w:r w:rsidRPr="00C07985">
        <w:rPr>
          <w:b/>
        </w:rPr>
        <w:t>NBS od roku 2014 postupne sprísňovala pravidlá pre poskytovanie nových úverov.</w:t>
      </w:r>
      <w:r>
        <w:t xml:space="preserve"> Medzi najdôležitejšie obmedzenia patrí limit na výšku zabezpečenia úverov na bývanie (LTV), maximálnu výšku splátky (DSTI), celkovú zadlženosť (DTI), splatnosť úverov a viaceré súvisiace kvalitatívne a technické požiadavky. </w:t>
      </w:r>
      <w:r w:rsidRPr="00C07985">
        <w:rPr>
          <w:bCs/>
        </w:rPr>
        <w:t>Cieľom opatrení NBS bolo najmä zmiernenie rizík</w:t>
      </w:r>
      <w:r>
        <w:rPr>
          <w:b/>
          <w:bCs/>
        </w:rPr>
        <w:t xml:space="preserve"> </w:t>
      </w:r>
      <w:r w:rsidRPr="007F072C">
        <w:t>spojených s rýchlym rastom zadlženosti domácností. S</w:t>
      </w:r>
      <w:r>
        <w:t xml:space="preserve"> tým súvisia aj </w:t>
      </w:r>
      <w:r w:rsidRPr="007F072C">
        <w:t>ďalšie riziká, napr. nerovnováhy na trhu nehnuteľností</w:t>
      </w:r>
      <w:r>
        <w:t xml:space="preserve"> či</w:t>
      </w:r>
      <w:r w:rsidRPr="007F072C">
        <w:t xml:space="preserve"> vyššia citlivosť domácností na príp. krízu. </w:t>
      </w:r>
      <w:r>
        <w:t xml:space="preserve">Hoci tieto pravidlá boli nastavované v čase rastovej fázy cyklu, cielené riziká nezanikajú automaticky s otočením finančného alebo ekonomického cyklu. Na druhej strane, nástup </w:t>
      </w:r>
      <w:proofErr w:type="spellStart"/>
      <w:r>
        <w:lastRenderedPageBreak/>
        <w:t>koronakrízy</w:t>
      </w:r>
      <w:proofErr w:type="spellEnd"/>
      <w:r>
        <w:t xml:space="preserve"> </w:t>
      </w:r>
      <w:r w:rsidRPr="00906D52">
        <w:t>prirodzene</w:t>
      </w:r>
      <w:r>
        <w:t xml:space="preserve"> vedie k otázke, či popri iných formách štátnej pomoci nie je vhodné uvoľniť aj reguláciu na trhu úverov domácnostiam. </w:t>
      </w:r>
    </w:p>
    <w:p w14:paraId="072ED8A4" w14:textId="07D6B0BE" w:rsidR="00441218" w:rsidRDefault="00441218" w:rsidP="00906D52">
      <w:pPr>
        <w:pStyle w:val="Textvboxe"/>
      </w:pPr>
      <w:r w:rsidRPr="00654D9B">
        <w:rPr>
          <w:b/>
        </w:rPr>
        <w:t xml:space="preserve">Tok úverov na bývanie </w:t>
      </w:r>
      <w:r>
        <w:rPr>
          <w:b/>
        </w:rPr>
        <w:t xml:space="preserve">na Slovensku </w:t>
      </w:r>
      <w:r w:rsidRPr="00654D9B">
        <w:rPr>
          <w:b/>
        </w:rPr>
        <w:t>je</w:t>
      </w:r>
      <w:r>
        <w:rPr>
          <w:b/>
        </w:rPr>
        <w:t xml:space="preserve"> aj napriek </w:t>
      </w:r>
      <w:proofErr w:type="spellStart"/>
      <w:r>
        <w:rPr>
          <w:b/>
        </w:rPr>
        <w:t>koronakríze</w:t>
      </w:r>
      <w:proofErr w:type="spellEnd"/>
      <w:r w:rsidRPr="00654D9B">
        <w:rPr>
          <w:b/>
        </w:rPr>
        <w:t xml:space="preserve"> stále pomerne silný.</w:t>
      </w:r>
      <w:r>
        <w:t xml:space="preserve"> Augustový medziročný rast na úrovni 9,4 % naznačuje, že dostupnosť úverov je vysoká. Pokles v nových úvero</w:t>
      </w:r>
      <w:r w:rsidR="005C67E9">
        <w:t>ch</w:t>
      </w:r>
      <w:r>
        <w:t xml:space="preserve"> bol zaznamenaný najmä v mesiacoch marec a apríl. V nasledujúcich mesiacoch však banky zaznamenali pomerne významné zlepšenie prírastkov nových úverov na bývanie. Úrokové sadzby stúpli len minimálne, čo naznačuje stále silnú konkurenciu na trhu. Rast úverov je pomerne silný aj napriek tomu, že v</w:t>
      </w:r>
      <w:r w:rsidRPr="007F072C">
        <w:t xml:space="preserve">o všeobecnosti sú banky od vypuknutia </w:t>
      </w:r>
      <w:proofErr w:type="spellStart"/>
      <w:r w:rsidRPr="007F072C">
        <w:t>koronakrízy</w:t>
      </w:r>
      <w:proofErr w:type="spellEnd"/>
      <w:r w:rsidRPr="007F072C">
        <w:t xml:space="preserve"> opatrnejšie a interné limity majú </w:t>
      </w:r>
      <w:r>
        <w:t>v niektorých prípadoch</w:t>
      </w:r>
      <w:r w:rsidRPr="007F072C">
        <w:t xml:space="preserve"> prísnejšie, </w:t>
      </w:r>
      <w:r>
        <w:t>ako samotné limity</w:t>
      </w:r>
      <w:r w:rsidRPr="007F072C">
        <w:t xml:space="preserve"> NBS.</w:t>
      </w:r>
      <w:r>
        <w:t xml:space="preserve"> Príkladom je nevyčerpaná výnimka pre úvery s LTV nad 80 %.</w:t>
      </w:r>
    </w:p>
    <w:p w14:paraId="2B39C0A1" w14:textId="14394EF6" w:rsidR="00441218" w:rsidRDefault="00441218" w:rsidP="00906D52">
      <w:pPr>
        <w:pStyle w:val="Textvboxe"/>
      </w:pPr>
      <w:r w:rsidRPr="00721B15">
        <w:rPr>
          <w:b/>
        </w:rPr>
        <w:t xml:space="preserve">NBS v súčasnosti vyhodnocuje </w:t>
      </w:r>
      <w:r w:rsidR="00D06CC7">
        <w:rPr>
          <w:b/>
        </w:rPr>
        <w:t>vplyvy</w:t>
      </w:r>
      <w:r w:rsidRPr="00721B15">
        <w:rPr>
          <w:b/>
        </w:rPr>
        <w:t xml:space="preserve"> súčasnej krízy na domácnosti.</w:t>
      </w:r>
      <w:r>
        <w:t xml:space="preserve"> Okrem iného aj samotný vplyv limitov NBS na odolnosť domácností. Napríklad prieskum medzi domácnosťami ukazuje dobre nastavený limit v prípade DSTI. Domácnosti s vyššou mierou zaťaženia úverovými splátkami (nad 60</w:t>
      </w:r>
      <w:r w:rsidR="009D7688">
        <w:t> </w:t>
      </w:r>
      <w:r>
        <w:t xml:space="preserve">%) vykazujú vyššiu mieru citlivosti na súčasnú krízu. </w:t>
      </w:r>
    </w:p>
    <w:p w14:paraId="619FAB0A" w14:textId="54A870C0" w:rsidR="00441218" w:rsidRDefault="00441218" w:rsidP="00906D52">
      <w:pPr>
        <w:pStyle w:val="Textvboxe"/>
      </w:pPr>
      <w:r w:rsidRPr="00721B15">
        <w:rPr>
          <w:b/>
        </w:rPr>
        <w:t>V súčasnej situácii nevnímame ako potrebné a vhodné z</w:t>
      </w:r>
      <w:r w:rsidR="00CC5107">
        <w:rPr>
          <w:b/>
        </w:rPr>
        <w:t>á</w:t>
      </w:r>
      <w:r w:rsidRPr="00721B15">
        <w:rPr>
          <w:b/>
        </w:rPr>
        <w:t>sadne zmierňovať nastavenie limitov zo strany NBS.</w:t>
      </w:r>
      <w:r w:rsidRPr="00654D9B">
        <w:t xml:space="preserve"> </w:t>
      </w:r>
      <w:r>
        <w:t>Z pohľadu rizikovosti nových úverov je dôležité, že vývoj vo viacerých ukazovateľoch (trh práce, príjmy obyvateľstva, trh nehnuteľnost</w:t>
      </w:r>
      <w:r w:rsidR="00CC5107">
        <w:t>í</w:t>
      </w:r>
      <w:r>
        <w:t xml:space="preserve">) podlieha stále vysokej neistote. Ich prípadný negatívny vývoj by mohol zhoršiť schopnosť domácností splácať svoje záväzky bankám. </w:t>
      </w:r>
    </w:p>
    <w:p w14:paraId="45719492" w14:textId="427CA5FF" w:rsidR="00441218" w:rsidRDefault="00441218" w:rsidP="00906D52">
      <w:pPr>
        <w:pStyle w:val="Textvboxe"/>
      </w:pPr>
      <w:r>
        <w:t>V súčasnosti je pri každom limite definovaná aj výnimka pre určitú skupinu domácnost</w:t>
      </w:r>
      <w:r w:rsidR="00CC5107">
        <w:t>í</w:t>
      </w:r>
      <w:r>
        <w:t>, ktorú je možné využiť aj počas krízového obdobia. Cieľom je</w:t>
      </w:r>
      <w:r w:rsidR="00CC5107">
        <w:t>,</w:t>
      </w:r>
      <w:r>
        <w:t xml:space="preserve"> aby limity NBS neobmedzovali úverovanie „zdravým“ skupinám domácností. Ak sa to ukáže ako potrebné, </w:t>
      </w:r>
      <w:r w:rsidRPr="00BB357E">
        <w:rPr>
          <w:b/>
          <w:bCs/>
        </w:rPr>
        <w:t>priestor</w:t>
      </w:r>
      <w:r w:rsidRPr="0063058A">
        <w:rPr>
          <w:b/>
        </w:rPr>
        <w:t xml:space="preserve"> pre zmierňovanie limitov NBS vidíme najmä pri výnimkách pri ukazovateli DTI.</w:t>
      </w:r>
      <w:r>
        <w:t xml:space="preserve"> Miernejšie nastavenie výnimiek pri tomto ukazovateli by mohlo zvýšiť dostupnosť úverovania pri menej rizikových skupinách klientov.</w:t>
      </w:r>
    </w:p>
    <w:p w14:paraId="315D7B22" w14:textId="308524AA" w:rsidR="00441218" w:rsidRDefault="00441218" w:rsidP="00906D52">
      <w:pPr>
        <w:pStyle w:val="Textvboxe"/>
      </w:pPr>
      <w:r w:rsidRPr="00654D9B">
        <w:rPr>
          <w:b/>
        </w:rPr>
        <w:t>V prípade uvoľňovania podmienok bude dôležitú úlohu z</w:t>
      </w:r>
      <w:r>
        <w:rPr>
          <w:b/>
        </w:rPr>
        <w:t>o</w:t>
      </w:r>
      <w:r w:rsidRPr="00654D9B">
        <w:rPr>
          <w:b/>
        </w:rPr>
        <w:t>hrávať načasovanie takýchto krokov.</w:t>
      </w:r>
      <w:r>
        <w:t xml:space="preserve"> Skúsenosti z iných štátov, ako aj odporúčania medzinárodných inštitúcií (najmä MMF) hovoria o zmierňovaní štandardov až v čase ekonomického oživovania. V prípade úverov domácnostiam by malo ísť najmä o oživovanie v oblasti trhu práce, príjmov domácností alebo trhu nehnuteľností. Príliš skoré uvoľnenie by mohlo vyvolať skôr nechcený efekt vyššej rizikovosti nových úverov. Naopak dobre načasované uvoľnenie môže podporiť zdravý rast úverov</w:t>
      </w:r>
      <w:r w:rsidR="00EA0D31">
        <w:t>,</w:t>
      </w:r>
      <w:r>
        <w:t xml:space="preserve"> a tým aj oživovanie ekonomiky.</w:t>
      </w:r>
    </w:p>
    <w:p w14:paraId="3D75DB0C" w14:textId="77777777" w:rsidR="00125E19" w:rsidRDefault="00125E19" w:rsidP="00225672">
      <w:pPr>
        <w:spacing w:after="0"/>
      </w:pPr>
    </w:p>
    <w:p w14:paraId="6A3FBC34" w14:textId="42B8F66E" w:rsidR="00E80C86" w:rsidRDefault="00E80C86" w:rsidP="007A1EB1">
      <w:pPr>
        <w:pStyle w:val="Heading2"/>
      </w:pPr>
      <w:bookmarkStart w:id="19" w:name="_Toc43204206"/>
      <w:bookmarkStart w:id="20" w:name="_Toc52285631"/>
      <w:r w:rsidRPr="00C70E80">
        <w:t xml:space="preserve">Trendy a riziká </w:t>
      </w:r>
      <w:r w:rsidR="0068581E">
        <w:t>v </w:t>
      </w:r>
      <w:r w:rsidRPr="00C70E80">
        <w:t>sektore podnikov</w:t>
      </w:r>
      <w:bookmarkEnd w:id="19"/>
      <w:bookmarkEnd w:id="20"/>
    </w:p>
    <w:p w14:paraId="6B7444F4" w14:textId="2E326E3E" w:rsidR="00237EB4" w:rsidRPr="0061744A" w:rsidRDefault="00237EB4" w:rsidP="00237EB4">
      <w:pPr>
        <w:pStyle w:val="Modrnadpis"/>
      </w:pPr>
      <w:r>
        <w:t>Dynamika podnikových úverov zaznamenal</w:t>
      </w:r>
      <w:r w:rsidR="00F56C1F">
        <w:t>a</w:t>
      </w:r>
      <w:r>
        <w:t xml:space="preserve"> stabilný vývoj počas </w:t>
      </w:r>
      <w:proofErr w:type="spellStart"/>
      <w:r>
        <w:t>koronakrízy</w:t>
      </w:r>
      <w:proofErr w:type="spellEnd"/>
      <w:r>
        <w:t xml:space="preserve">, júl priniesol jej zrýchlenie </w:t>
      </w:r>
    </w:p>
    <w:p w14:paraId="66864644" w14:textId="1920A8CB" w:rsidR="00237EB4" w:rsidRDefault="00237EB4" w:rsidP="00237EB4">
      <w:pPr>
        <w:rPr>
          <w:bCs/>
        </w:rPr>
      </w:pPr>
      <w:r>
        <w:rPr>
          <w:b/>
        </w:rPr>
        <w:t xml:space="preserve">Úvery podnikom zaznamenali </w:t>
      </w:r>
      <w:r w:rsidR="0068581E">
        <w:rPr>
          <w:b/>
        </w:rPr>
        <w:t>v </w:t>
      </w:r>
      <w:r w:rsidR="003B2261">
        <w:rPr>
          <w:b/>
        </w:rPr>
        <w:t xml:space="preserve">prvom polroku 2020 </w:t>
      </w:r>
      <w:r>
        <w:rPr>
          <w:b/>
        </w:rPr>
        <w:t>stabilný rast počas trvania pandémiou vyvolaných opatrení na úrovni 3,</w:t>
      </w:r>
      <w:r w:rsidR="0068581E">
        <w:rPr>
          <w:b/>
        </w:rPr>
        <w:t>6 %</w:t>
      </w:r>
      <w:r w:rsidRPr="004A6CEB">
        <w:rPr>
          <w:b/>
        </w:rPr>
        <w:t xml:space="preserve">. </w:t>
      </w:r>
      <w:r>
        <w:rPr>
          <w:b/>
        </w:rPr>
        <w:t xml:space="preserve">Úverová aktivita </w:t>
      </w:r>
      <w:r w:rsidR="0068581E">
        <w:rPr>
          <w:b/>
        </w:rPr>
        <w:t>v </w:t>
      </w:r>
      <w:r>
        <w:rPr>
          <w:b/>
        </w:rPr>
        <w:t xml:space="preserve">júli </w:t>
      </w:r>
      <w:r w:rsidR="003B2261">
        <w:rPr>
          <w:b/>
        </w:rPr>
        <w:t xml:space="preserve">dokonca </w:t>
      </w:r>
      <w:r>
        <w:rPr>
          <w:b/>
        </w:rPr>
        <w:t>zrýchlila a dosiahla 4,</w:t>
      </w:r>
      <w:r w:rsidR="0068581E">
        <w:rPr>
          <w:b/>
        </w:rPr>
        <w:t>7 %</w:t>
      </w:r>
      <w:r>
        <w:rPr>
          <w:b/>
        </w:rPr>
        <w:t xml:space="preserve">. </w:t>
      </w:r>
      <w:r w:rsidRPr="005A5094">
        <w:rPr>
          <w:bCs/>
        </w:rPr>
        <w:t>Na raste úverov sa tak takmer nepremietol výrazný prepad ekonomiky</w:t>
      </w:r>
      <w:r>
        <w:rPr>
          <w:bCs/>
        </w:rPr>
        <w:t xml:space="preserve">. </w:t>
      </w:r>
      <w:r w:rsidR="0068581E">
        <w:rPr>
          <w:bCs/>
        </w:rPr>
        <w:t>V </w:t>
      </w:r>
      <w:r w:rsidRPr="00850C17">
        <w:rPr>
          <w:bCs/>
        </w:rPr>
        <w:t>porovnaní so začiatkom roka</w:t>
      </w:r>
      <w:r>
        <w:rPr>
          <w:bCs/>
        </w:rPr>
        <w:t xml:space="preserve"> úverová dynamika </w:t>
      </w:r>
      <w:r w:rsidR="0068581E">
        <w:rPr>
          <w:bCs/>
        </w:rPr>
        <w:t>v </w:t>
      </w:r>
      <w:r>
        <w:rPr>
          <w:bCs/>
        </w:rPr>
        <w:t xml:space="preserve">tomto období (marec až jún) dokonca vzrástla. </w:t>
      </w:r>
      <w:r w:rsidR="0068581E">
        <w:rPr>
          <w:bCs/>
        </w:rPr>
        <w:t>V </w:t>
      </w:r>
      <w:r>
        <w:rPr>
          <w:bCs/>
        </w:rPr>
        <w:t xml:space="preserve">marci a apríli zaznamenali výrazný nárast krátkodobé úvery </w:t>
      </w:r>
      <w:r w:rsidR="0068581E">
        <w:rPr>
          <w:bCs/>
        </w:rPr>
        <w:t>v </w:t>
      </w:r>
      <w:r>
        <w:rPr>
          <w:bCs/>
        </w:rPr>
        <w:t xml:space="preserve">podobe dočerpávania schválených úverových liniek, čo sa premietlo do zrýchlenia úverovej aktivity </w:t>
      </w:r>
      <w:r w:rsidR="0068581E">
        <w:rPr>
          <w:bCs/>
        </w:rPr>
        <w:lastRenderedPageBreak/>
        <w:t>z </w:t>
      </w:r>
      <w:r>
        <w:rPr>
          <w:bCs/>
        </w:rPr>
        <w:t>februárových 3,</w:t>
      </w:r>
      <w:r w:rsidR="0068581E">
        <w:rPr>
          <w:bCs/>
        </w:rPr>
        <w:t>0 %</w:t>
      </w:r>
      <w:r>
        <w:rPr>
          <w:bCs/>
        </w:rPr>
        <w:t xml:space="preserve"> na 3,</w:t>
      </w:r>
      <w:r w:rsidR="0068581E">
        <w:rPr>
          <w:bCs/>
        </w:rPr>
        <w:t>7 %</w:t>
      </w:r>
      <w:r>
        <w:rPr>
          <w:bCs/>
        </w:rPr>
        <w:t xml:space="preserve"> </w:t>
      </w:r>
      <w:r w:rsidR="0068581E">
        <w:rPr>
          <w:bCs/>
        </w:rPr>
        <w:t>v </w:t>
      </w:r>
      <w:r>
        <w:rPr>
          <w:bCs/>
        </w:rPr>
        <w:t xml:space="preserve">marci. Druhý štvrťrok už zaznamenal stabilný vývoj, pričom medzimesačné prírastky </w:t>
      </w:r>
      <w:r w:rsidR="0068581E">
        <w:rPr>
          <w:bCs/>
        </w:rPr>
        <w:t>v </w:t>
      </w:r>
      <w:r>
        <w:rPr>
          <w:bCs/>
        </w:rPr>
        <w:t xml:space="preserve">tomto období boli na úrovni priemeru predchádzajúcich rokov. </w:t>
      </w:r>
    </w:p>
    <w:p w14:paraId="484281D5" w14:textId="7B1629FF" w:rsidR="00237EB4" w:rsidRDefault="00237EB4" w:rsidP="00237EB4">
      <w:pPr>
        <w:rPr>
          <w:bCs/>
        </w:rPr>
      </w:pPr>
      <w:r w:rsidRPr="003B2261">
        <w:rPr>
          <w:b/>
        </w:rPr>
        <w:t xml:space="preserve">Situácia naprieč ekonomickými odvetviami bola pomerne rôznorodá, keď viaceré </w:t>
      </w:r>
      <w:r w:rsidR="0068581E">
        <w:rPr>
          <w:b/>
        </w:rPr>
        <w:t>z </w:t>
      </w:r>
      <w:r w:rsidRPr="003B2261">
        <w:rPr>
          <w:b/>
        </w:rPr>
        <w:t>nich zaznamenali spomalenie toku úverov.</w:t>
      </w:r>
      <w:r>
        <w:rPr>
          <w:bCs/>
        </w:rPr>
        <w:t xml:space="preserve"> Rast úverov výrazne formoval vývoj </w:t>
      </w:r>
      <w:r w:rsidR="0068581E">
        <w:rPr>
          <w:bCs/>
        </w:rPr>
        <w:t>v </w:t>
      </w:r>
      <w:r>
        <w:rPr>
          <w:bCs/>
        </w:rPr>
        <w:t xml:space="preserve">priemysle, ktorý tvoril takmer polovicu rastu. Okrem priemyslu úvery rástli aj </w:t>
      </w:r>
      <w:r w:rsidR="0068581E">
        <w:rPr>
          <w:bCs/>
        </w:rPr>
        <w:t>v </w:t>
      </w:r>
      <w:r>
        <w:rPr>
          <w:bCs/>
        </w:rPr>
        <w:t xml:space="preserve">prípade predaja automobilov, ubytovacích služieb a vybraných odborných činností. Júl bol </w:t>
      </w:r>
      <w:r w:rsidR="0068581E">
        <w:rPr>
          <w:bCs/>
        </w:rPr>
        <w:t>v </w:t>
      </w:r>
      <w:r>
        <w:rPr>
          <w:bCs/>
        </w:rPr>
        <w:t xml:space="preserve">kontexte ekonomických odvetví naďalej pomerne rôznorodý aj keď došlo </w:t>
      </w:r>
      <w:r w:rsidR="0068581E">
        <w:rPr>
          <w:bCs/>
        </w:rPr>
        <w:t>k </w:t>
      </w:r>
      <w:r>
        <w:rPr>
          <w:bCs/>
        </w:rPr>
        <w:t xml:space="preserve">určitému zlepšeniu situácie </w:t>
      </w:r>
      <w:r w:rsidR="0068581E">
        <w:rPr>
          <w:bCs/>
        </w:rPr>
        <w:t>v </w:t>
      </w:r>
      <w:r>
        <w:rPr>
          <w:bCs/>
        </w:rPr>
        <w:t xml:space="preserve">niektorých ďalších odvetviach. </w:t>
      </w:r>
      <w:r w:rsidR="0068581E">
        <w:rPr>
          <w:bCs/>
        </w:rPr>
        <w:t>K </w:t>
      </w:r>
      <w:r>
        <w:rPr>
          <w:bCs/>
        </w:rPr>
        <w:t xml:space="preserve">spomínaným odvetviam </w:t>
      </w:r>
      <w:r w:rsidR="0068581E">
        <w:rPr>
          <w:bCs/>
        </w:rPr>
        <w:t>s </w:t>
      </w:r>
      <w:r>
        <w:rPr>
          <w:bCs/>
        </w:rPr>
        <w:t xml:space="preserve">oživením rastu úverov sa tak pridalo stavebníctvo a odborné činnosti. </w:t>
      </w:r>
    </w:p>
    <w:p w14:paraId="3A7BAE22" w14:textId="2E3E4273" w:rsidR="00237EB4" w:rsidRDefault="00237EB4" w:rsidP="007A1EB1">
      <w:pPr>
        <w:pStyle w:val="Nadpisgrafu"/>
        <w:rPr>
          <w:noProof/>
        </w:rPr>
      </w:pPr>
      <w:r w:rsidRPr="006D482E">
        <w:t xml:space="preserve">Graf </w:t>
      </w:r>
      <w:fldSimple w:instr=" SEQ Graf \* ARABIC ">
        <w:r w:rsidR="00A02A40">
          <w:rPr>
            <w:noProof/>
          </w:rPr>
          <w:t>6</w:t>
        </w:r>
      </w:fldSimple>
      <w:r w:rsidRPr="006D482E">
        <w:t xml:space="preserve"> </w:t>
      </w:r>
      <w:r>
        <w:t xml:space="preserve">Úverová aktivita bez vplyvu krízy, </w:t>
      </w:r>
      <w:r>
        <w:rPr>
          <w:bCs/>
        </w:rPr>
        <w:t xml:space="preserve">rast úverov výrazne formoval vývoj </w:t>
      </w:r>
      <w:r w:rsidR="0068581E">
        <w:rPr>
          <w:bCs/>
        </w:rPr>
        <w:t>v </w:t>
      </w:r>
      <w:r>
        <w:rPr>
          <w:bCs/>
        </w:rPr>
        <w:t>priemysle</w:t>
      </w:r>
      <w:r>
        <w:rPr>
          <w:noProof/>
        </w:rPr>
        <w:t xml:space="preserve"> </w:t>
      </w:r>
    </w:p>
    <w:p w14:paraId="35D41B74" w14:textId="393ECDE6" w:rsidR="00237EB4" w:rsidRDefault="00237EB4" w:rsidP="007A1EB1">
      <w:pPr>
        <w:pStyle w:val="Podnadpisgrafu"/>
        <w:rPr>
          <w:noProof/>
        </w:rPr>
      </w:pPr>
      <w:r>
        <w:rPr>
          <w:noProof/>
        </w:rPr>
        <w:t>Medziročný rast úverov podnikom (%)</w:t>
      </w:r>
    </w:p>
    <w:p w14:paraId="252E0776" w14:textId="77777777" w:rsidR="00237EB4" w:rsidRDefault="00237EB4" w:rsidP="007A1EB1">
      <w:pPr>
        <w:pStyle w:val="Nadpisgrafu"/>
      </w:pPr>
      <w:r>
        <w:rPr>
          <w:noProof/>
        </w:rPr>
        <w:drawing>
          <wp:inline distT="0" distB="0" distL="0" distR="0" wp14:anchorId="475EF4DD" wp14:editId="21217F85">
            <wp:extent cx="4572000" cy="2988310"/>
            <wp:effectExtent l="0" t="0" r="0" b="2540"/>
            <wp:docPr id="4" name="Chart 4">
              <a:extLst xmlns:a="http://schemas.openxmlformats.org/drawingml/2006/main">
                <a:ext uri="{FF2B5EF4-FFF2-40B4-BE49-F238E27FC236}">
                  <a16:creationId xmlns:a16="http://schemas.microsoft.com/office/drawing/2014/main" id="{43B22475-7F95-40CD-9A31-EDF1CBB20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5BBC64" w14:textId="4EDE6B37" w:rsidR="007B04CC" w:rsidRDefault="007B04CC" w:rsidP="007B04CC">
      <w:pPr>
        <w:pStyle w:val="Podgrafom"/>
      </w:pPr>
      <w:r w:rsidRPr="00BC6DFC">
        <w:t xml:space="preserve">Zdroj: </w:t>
      </w:r>
      <w:r>
        <w:t>NBS</w:t>
      </w:r>
    </w:p>
    <w:p w14:paraId="43574C5A" w14:textId="2778A1F4" w:rsidR="007B04CC" w:rsidRDefault="007B04CC" w:rsidP="007B04CC">
      <w:pPr>
        <w:pStyle w:val="Podgrafom"/>
      </w:pPr>
      <w:r>
        <w:t xml:space="preserve">Poznámka: Na grafe je zobrazené </w:t>
      </w:r>
      <w:proofErr w:type="spellStart"/>
      <w:r>
        <w:t>medzikvarti</w:t>
      </w:r>
      <w:r w:rsidR="007A1A89">
        <w:t>l</w:t>
      </w:r>
      <w:r>
        <w:t>ové</w:t>
      </w:r>
      <w:proofErr w:type="spellEnd"/>
      <w:r>
        <w:t xml:space="preserve"> rozpätie medziročného rastu úverov v jednotlivých ekonomických odvetviach.</w:t>
      </w:r>
    </w:p>
    <w:p w14:paraId="5E6E0A16" w14:textId="77777777" w:rsidR="00237EB4" w:rsidRPr="004E25E2" w:rsidRDefault="00237EB4" w:rsidP="00237EB4">
      <w:pPr>
        <w:spacing w:after="0" w:line="240" w:lineRule="auto"/>
        <w:rPr>
          <w:sz w:val="16"/>
          <w:szCs w:val="16"/>
        </w:rPr>
      </w:pPr>
    </w:p>
    <w:p w14:paraId="3E85D11F" w14:textId="2E93978F" w:rsidR="00237EB4" w:rsidRPr="00C90F74" w:rsidRDefault="00237EB4" w:rsidP="00237EB4">
      <w:pPr>
        <w:rPr>
          <w:bCs/>
        </w:rPr>
      </w:pPr>
      <w:r w:rsidRPr="0054325A">
        <w:rPr>
          <w:b/>
        </w:rPr>
        <w:t xml:space="preserve">Medzi krajinami EÚ možno </w:t>
      </w:r>
      <w:r w:rsidR="0068581E">
        <w:rPr>
          <w:b/>
        </w:rPr>
        <w:t>v </w:t>
      </w:r>
      <w:r w:rsidRPr="0054325A">
        <w:rPr>
          <w:b/>
        </w:rPr>
        <w:t>kontexte vývoja objemu podnikových úverov pozorovať dva trendy.</w:t>
      </w:r>
      <w:r>
        <w:rPr>
          <w:bCs/>
        </w:rPr>
        <w:t xml:space="preserve"> Prvým je postupné spomaľovanie úverovej dynamiky </w:t>
      </w:r>
      <w:r w:rsidR="0068581E">
        <w:rPr>
          <w:bCs/>
        </w:rPr>
        <w:t>v </w:t>
      </w:r>
      <w:r>
        <w:rPr>
          <w:bCs/>
        </w:rPr>
        <w:t xml:space="preserve">krajinách regiónu strednej a východnej </w:t>
      </w:r>
      <w:r w:rsidR="004A6CEB">
        <w:rPr>
          <w:bCs/>
        </w:rPr>
        <w:t xml:space="preserve">časti </w:t>
      </w:r>
      <w:r w:rsidR="00352995">
        <w:rPr>
          <w:bCs/>
        </w:rPr>
        <w:t>EÚ</w:t>
      </w:r>
      <w:r>
        <w:rPr>
          <w:bCs/>
        </w:rPr>
        <w:t xml:space="preserve">. Ako dôsledok sa Slovensko posunulo </w:t>
      </w:r>
      <w:r w:rsidR="0068581E">
        <w:rPr>
          <w:bCs/>
        </w:rPr>
        <w:t>v </w:t>
      </w:r>
      <w:r>
        <w:rPr>
          <w:bCs/>
        </w:rPr>
        <w:t xml:space="preserve">rámci týchto krajín na prvé miesto </w:t>
      </w:r>
      <w:r w:rsidR="0068581E">
        <w:rPr>
          <w:bCs/>
        </w:rPr>
        <w:t>v </w:t>
      </w:r>
      <w:r>
        <w:rPr>
          <w:bCs/>
        </w:rPr>
        <w:t xml:space="preserve">dynamike podnikových úverov. Druhým trendom je vývoj vo viacerých veľkých západných krajinách EÚ, kde došlo </w:t>
      </w:r>
      <w:r w:rsidR="0068581E">
        <w:rPr>
          <w:bCs/>
        </w:rPr>
        <w:t>k </w:t>
      </w:r>
      <w:r>
        <w:rPr>
          <w:bCs/>
        </w:rPr>
        <w:t xml:space="preserve">výraznej akcelerácii úverovania podnikového sektora na pozadí výrazných fiškálnych stimulov. </w:t>
      </w:r>
    </w:p>
    <w:p w14:paraId="2EB47804" w14:textId="77777777" w:rsidR="00237EB4" w:rsidRPr="00E845D1" w:rsidRDefault="00237EB4" w:rsidP="00237EB4">
      <w:pPr>
        <w:spacing w:after="0" w:line="240" w:lineRule="auto"/>
        <w:rPr>
          <w:sz w:val="16"/>
          <w:szCs w:val="16"/>
        </w:rPr>
      </w:pPr>
    </w:p>
    <w:p w14:paraId="5C6CFE8E" w14:textId="4392037E" w:rsidR="00237EB4" w:rsidRDefault="00237EB4" w:rsidP="007A1EB1">
      <w:pPr>
        <w:pStyle w:val="Nadpisgrafu"/>
        <w:rPr>
          <w:noProof/>
        </w:rPr>
      </w:pPr>
      <w:r w:rsidRPr="006D482E">
        <w:lastRenderedPageBreak/>
        <w:t xml:space="preserve">Graf </w:t>
      </w:r>
      <w:fldSimple w:instr=" SEQ Graf \* ARABIC ">
        <w:r w:rsidR="00A02A40">
          <w:rPr>
            <w:noProof/>
          </w:rPr>
          <w:t>7</w:t>
        </w:r>
      </w:fldSimple>
      <w:r w:rsidRPr="006D482E">
        <w:t xml:space="preserve"> </w:t>
      </w:r>
      <w:r>
        <w:t xml:space="preserve">Pokles úverovej aktivity </w:t>
      </w:r>
      <w:r w:rsidR="0068581E">
        <w:t>v </w:t>
      </w:r>
      <w:r>
        <w:t>krajinách strednej a</w:t>
      </w:r>
      <w:r w:rsidR="00D14FE1">
        <w:t> </w:t>
      </w:r>
      <w:r>
        <w:t>východnej</w:t>
      </w:r>
      <w:r w:rsidR="00D14FE1">
        <w:t xml:space="preserve"> časti</w:t>
      </w:r>
      <w:r>
        <w:t xml:space="preserve"> EÚ, kým úvery výrazne rástli </w:t>
      </w:r>
      <w:r w:rsidR="0068581E">
        <w:t>v </w:t>
      </w:r>
      <w:r>
        <w:t>západnej a južnej časti EÚ</w:t>
      </w:r>
    </w:p>
    <w:p w14:paraId="5C6E63E7" w14:textId="2E98BC23" w:rsidR="00237EB4" w:rsidRDefault="00237EB4" w:rsidP="007A1EB1">
      <w:pPr>
        <w:pStyle w:val="Podnadpisgrafu"/>
        <w:rPr>
          <w:noProof/>
        </w:rPr>
      </w:pPr>
      <w:r>
        <w:rPr>
          <w:noProof/>
        </w:rPr>
        <w:t xml:space="preserve">Medziročný rast úverov podnikom a jeho zmena </w:t>
      </w:r>
      <w:r w:rsidR="0068581E">
        <w:rPr>
          <w:noProof/>
        </w:rPr>
        <w:t>v </w:t>
      </w:r>
      <w:r w:rsidR="00745068">
        <w:rPr>
          <w:noProof/>
        </w:rPr>
        <w:t xml:space="preserve">období január až júl </w:t>
      </w:r>
      <w:r>
        <w:rPr>
          <w:noProof/>
        </w:rPr>
        <w:t>2020 (%)</w:t>
      </w:r>
    </w:p>
    <w:p w14:paraId="11FB785A" w14:textId="6E20BE35" w:rsidR="00237EB4" w:rsidRDefault="00D952B7" w:rsidP="007A1EB1">
      <w:pPr>
        <w:pStyle w:val="Nadpisgrafu"/>
      </w:pPr>
      <w:r>
        <w:rPr>
          <w:noProof/>
        </w:rPr>
        <w:drawing>
          <wp:inline distT="0" distB="0" distL="0" distR="0" wp14:anchorId="792DE074" wp14:editId="4EF8E262">
            <wp:extent cx="4596130" cy="2825087"/>
            <wp:effectExtent l="0" t="0" r="0" b="0"/>
            <wp:docPr id="226" name="Chart 226">
              <a:extLst xmlns:a="http://schemas.openxmlformats.org/drawingml/2006/main">
                <a:ext uri="{FF2B5EF4-FFF2-40B4-BE49-F238E27FC236}">
                  <a16:creationId xmlns:a16="http://schemas.microsoft.com/office/drawing/2014/main" id="{2791A340-F60A-43A0-9304-5DA5D81BB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44C997" w14:textId="65564729" w:rsidR="00237EB4" w:rsidRDefault="00237EB4" w:rsidP="00237EB4">
      <w:pPr>
        <w:pStyle w:val="Podgrafom"/>
      </w:pPr>
      <w:r w:rsidRPr="00BC6DFC">
        <w:t xml:space="preserve">Zdroj: </w:t>
      </w:r>
      <w:r w:rsidR="00745068">
        <w:t>ECB</w:t>
      </w:r>
    </w:p>
    <w:p w14:paraId="39F4D4E6" w14:textId="75F32B26" w:rsidR="00D14FE1" w:rsidRDefault="00D14FE1" w:rsidP="00237EB4">
      <w:pPr>
        <w:pStyle w:val="Podgrafom"/>
      </w:pPr>
      <w:r>
        <w:t xml:space="preserve">Poznámka: CEE – krajiny strednej </w:t>
      </w:r>
      <w:r w:rsidR="0068581E">
        <w:t>s </w:t>
      </w:r>
      <w:r>
        <w:t>východnej časti EÚ.</w:t>
      </w:r>
    </w:p>
    <w:p w14:paraId="1D895998" w14:textId="77777777" w:rsidR="00237EB4" w:rsidRDefault="00237EB4" w:rsidP="00237EB4">
      <w:pPr>
        <w:pStyle w:val="Podgrafom"/>
      </w:pPr>
    </w:p>
    <w:p w14:paraId="26AC0F6C" w14:textId="186B1F4B" w:rsidR="00237EB4" w:rsidRPr="00981E2A" w:rsidRDefault="0068581E" w:rsidP="00237EB4">
      <w:pPr>
        <w:rPr>
          <w:bCs/>
        </w:rPr>
      </w:pPr>
      <w:r>
        <w:rPr>
          <w:b/>
        </w:rPr>
        <w:t>V </w:t>
      </w:r>
      <w:r w:rsidR="00237EB4">
        <w:rPr>
          <w:b/>
        </w:rPr>
        <w:t xml:space="preserve">júli 2020 úverová aktivita zrýchlila na pozadí zlepšovania situácie </w:t>
      </w:r>
      <w:r>
        <w:rPr>
          <w:b/>
        </w:rPr>
        <w:t>v</w:t>
      </w:r>
      <w:r w:rsidR="001D5B4A">
        <w:rPr>
          <w:b/>
        </w:rPr>
        <w:t> </w:t>
      </w:r>
      <w:r w:rsidR="00237EB4">
        <w:rPr>
          <w:b/>
        </w:rPr>
        <w:t>ekonomike</w:t>
      </w:r>
      <w:r w:rsidR="001D5B4A">
        <w:rPr>
          <w:b/>
        </w:rPr>
        <w:t xml:space="preserve"> po uvoľnení epidemiologických opatrení</w:t>
      </w:r>
      <w:r w:rsidR="00237EB4">
        <w:rPr>
          <w:b/>
        </w:rPr>
        <w:t xml:space="preserve">. </w:t>
      </w:r>
      <w:r w:rsidR="00237EB4" w:rsidRPr="00173518">
        <w:rPr>
          <w:bCs/>
        </w:rPr>
        <w:t xml:space="preserve">Od </w:t>
      </w:r>
      <w:r w:rsidR="00237EB4">
        <w:rPr>
          <w:bCs/>
        </w:rPr>
        <w:t xml:space="preserve">nástupu krízy zaznamenali viaceré dôležité ekonomické odvetvia </w:t>
      </w:r>
      <w:r>
        <w:rPr>
          <w:bCs/>
        </w:rPr>
        <w:t>v </w:t>
      </w:r>
      <w:r w:rsidR="00237EB4">
        <w:rPr>
          <w:bCs/>
        </w:rPr>
        <w:t xml:space="preserve">mesiacoch marec až máj výrazné prepady tržieb. Koniec prvého polroka už priniesol pomerne výrazné zlepšenie situácie vo vývoji tržieb podnikov. </w:t>
      </w:r>
      <w:r>
        <w:rPr>
          <w:bCs/>
        </w:rPr>
        <w:t>K </w:t>
      </w:r>
      <w:r w:rsidR="00237EB4">
        <w:rPr>
          <w:bCs/>
        </w:rPr>
        <w:t xml:space="preserve">oživeniu došlo aj </w:t>
      </w:r>
      <w:r>
        <w:rPr>
          <w:bCs/>
        </w:rPr>
        <w:t>v </w:t>
      </w:r>
      <w:r w:rsidR="00237EB4">
        <w:rPr>
          <w:bCs/>
        </w:rPr>
        <w:t xml:space="preserve">prípade najviac zasiahnutých odvetví. </w:t>
      </w:r>
      <w:r w:rsidR="00A4297A">
        <w:rPr>
          <w:bCs/>
        </w:rPr>
        <w:t>Ú</w:t>
      </w:r>
      <w:r w:rsidR="00237EB4">
        <w:rPr>
          <w:bCs/>
        </w:rPr>
        <w:t>daj</w:t>
      </w:r>
      <w:r w:rsidR="00A4297A">
        <w:rPr>
          <w:bCs/>
        </w:rPr>
        <w:t>e</w:t>
      </w:r>
      <w:r w:rsidR="00237EB4">
        <w:rPr>
          <w:bCs/>
        </w:rPr>
        <w:t xml:space="preserve"> </w:t>
      </w:r>
      <w:r>
        <w:rPr>
          <w:bCs/>
        </w:rPr>
        <w:t>z</w:t>
      </w:r>
      <w:r w:rsidR="00A4297A">
        <w:rPr>
          <w:bCs/>
        </w:rPr>
        <w:t> </w:t>
      </w:r>
      <w:proofErr w:type="spellStart"/>
      <w:r w:rsidR="00237EB4">
        <w:rPr>
          <w:bCs/>
        </w:rPr>
        <w:t>eKasy</w:t>
      </w:r>
      <w:proofErr w:type="spellEnd"/>
      <w:r w:rsidR="00A4297A">
        <w:rPr>
          <w:bCs/>
        </w:rPr>
        <w:t xml:space="preserve"> zároveň naznačujú, že</w:t>
      </w:r>
      <w:r w:rsidR="00237EB4">
        <w:rPr>
          <w:bCs/>
        </w:rPr>
        <w:t xml:space="preserve"> možno očakávať ďalšie zvýšenie tržieb aj počas letných mesiacov, a to predovšetkým </w:t>
      </w:r>
      <w:r>
        <w:rPr>
          <w:bCs/>
        </w:rPr>
        <w:t>v </w:t>
      </w:r>
      <w:r w:rsidR="00237EB4">
        <w:rPr>
          <w:bCs/>
        </w:rPr>
        <w:t xml:space="preserve">prípade najviac zasiahnutých ekonomických odvetví. Podobný vývoj zaznamenal aj zahraničný obchod, keď po výraznom prepade obchodnej aktivity počas prvých mesiacov krízy dosiahol export </w:t>
      </w:r>
      <w:r>
        <w:rPr>
          <w:bCs/>
        </w:rPr>
        <w:t>v </w:t>
      </w:r>
      <w:r w:rsidR="00237EB4">
        <w:rPr>
          <w:bCs/>
        </w:rPr>
        <w:t xml:space="preserve">júni takmer porovnateľný objem </w:t>
      </w:r>
      <w:r>
        <w:rPr>
          <w:bCs/>
        </w:rPr>
        <w:t>s </w:t>
      </w:r>
      <w:r w:rsidR="00237EB4">
        <w:rPr>
          <w:bCs/>
        </w:rPr>
        <w:t xml:space="preserve">predchádzajúcim rokom. Indikátor ekonomického </w:t>
      </w:r>
      <w:proofErr w:type="spellStart"/>
      <w:r w:rsidR="00237EB4">
        <w:rPr>
          <w:bCs/>
        </w:rPr>
        <w:t>sentimentu</w:t>
      </w:r>
      <w:proofErr w:type="spellEnd"/>
      <w:r w:rsidR="00237EB4">
        <w:rPr>
          <w:bCs/>
        </w:rPr>
        <w:t xml:space="preserve"> je však napriek zlepšeniu tržieb ako aj zahraničného obchodu naďalej na nízkej úrovni, čo naznačuje pretrvávanie neistoty medzi trhovými účastníkmi. </w:t>
      </w:r>
    </w:p>
    <w:p w14:paraId="31D8582F" w14:textId="6003C2FA" w:rsidR="00237EB4" w:rsidRDefault="00AA137C" w:rsidP="00237EB4">
      <w:pPr>
        <w:pStyle w:val="Modrnadpis"/>
      </w:pPr>
      <w:r>
        <w:t>Vplyv</w:t>
      </w:r>
      <w:r w:rsidR="00237EB4">
        <w:t xml:space="preserve"> </w:t>
      </w:r>
      <w:proofErr w:type="spellStart"/>
      <w:r w:rsidR="00237EB4">
        <w:t>koronakrízy</w:t>
      </w:r>
      <w:proofErr w:type="spellEnd"/>
      <w:r w:rsidR="00237EB4">
        <w:t xml:space="preserve"> vidieť </w:t>
      </w:r>
      <w:r w:rsidR="0068581E">
        <w:t>v </w:t>
      </w:r>
      <w:r w:rsidR="00237EB4">
        <w:t xml:space="preserve">podobe obmedzenia dostupnosti financovania </w:t>
      </w:r>
      <w:r w:rsidR="0068581E">
        <w:t>v </w:t>
      </w:r>
      <w:r w:rsidR="00237EB4">
        <w:t>prípade rizikovejších skupín klientov</w:t>
      </w:r>
    </w:p>
    <w:p w14:paraId="53BBD485" w14:textId="0D692FEE" w:rsidR="00237EB4" w:rsidRDefault="00237EB4" w:rsidP="00237EB4">
      <w:pPr>
        <w:rPr>
          <w:bCs/>
        </w:rPr>
      </w:pPr>
      <w:r>
        <w:rPr>
          <w:b/>
        </w:rPr>
        <w:t xml:space="preserve">Aj keď na celkových číslach rastu podnikových úverov nevidieť takmer žiadny </w:t>
      </w:r>
      <w:r w:rsidR="00732DF8">
        <w:rPr>
          <w:b/>
        </w:rPr>
        <w:t>vplyv</w:t>
      </w:r>
      <w:r>
        <w:rPr>
          <w:b/>
        </w:rPr>
        <w:t xml:space="preserve"> </w:t>
      </w:r>
      <w:proofErr w:type="spellStart"/>
      <w:r>
        <w:rPr>
          <w:b/>
        </w:rPr>
        <w:t>koronakrízy</w:t>
      </w:r>
      <w:proofErr w:type="spellEnd"/>
      <w:r>
        <w:rPr>
          <w:b/>
        </w:rPr>
        <w:t xml:space="preserve">, dostupnosť financovania bola obmedzená </w:t>
      </w:r>
      <w:r w:rsidR="0068581E">
        <w:rPr>
          <w:b/>
        </w:rPr>
        <w:t>v </w:t>
      </w:r>
      <w:r>
        <w:rPr>
          <w:b/>
        </w:rPr>
        <w:t xml:space="preserve">prípade rizikovejších skupín podnikov. </w:t>
      </w:r>
      <w:r w:rsidR="0068581E">
        <w:rPr>
          <w:bCs/>
        </w:rPr>
        <w:t>Z </w:t>
      </w:r>
      <w:r>
        <w:rPr>
          <w:bCs/>
        </w:rPr>
        <w:t xml:space="preserve">pohľadu veľkosti podniku ťahali rast úverov predovšetkým veľké podniky, </w:t>
      </w:r>
      <w:r w:rsidR="0068581E">
        <w:rPr>
          <w:bCs/>
        </w:rPr>
        <w:t>z </w:t>
      </w:r>
      <w:r>
        <w:rPr>
          <w:bCs/>
        </w:rPr>
        <w:t xml:space="preserve">ktorých značnú časť tvorili podniky </w:t>
      </w:r>
      <w:r w:rsidR="0068581E">
        <w:rPr>
          <w:bCs/>
        </w:rPr>
        <w:t>v </w:t>
      </w:r>
      <w:r>
        <w:rPr>
          <w:bCs/>
        </w:rPr>
        <w:t xml:space="preserve">štátnom vlastníctve. Úverová aktivita </w:t>
      </w:r>
      <w:r w:rsidR="0068581E">
        <w:rPr>
          <w:bCs/>
        </w:rPr>
        <w:t>v </w:t>
      </w:r>
      <w:r>
        <w:rPr>
          <w:bCs/>
        </w:rPr>
        <w:t xml:space="preserve">prípade malých a stredných podnikov, ktoré sú rizikovejšou skupinou podnikov, zostala výrazne utlmená </w:t>
      </w:r>
      <w:r w:rsidR="0068581E">
        <w:rPr>
          <w:bCs/>
        </w:rPr>
        <w:t>s </w:t>
      </w:r>
      <w:r>
        <w:rPr>
          <w:bCs/>
        </w:rPr>
        <w:t xml:space="preserve">priemerným rastom prevyšujúcim </w:t>
      </w:r>
      <w:r w:rsidR="0068581E">
        <w:rPr>
          <w:bCs/>
        </w:rPr>
        <w:t>1 %</w:t>
      </w:r>
      <w:r>
        <w:rPr>
          <w:bCs/>
        </w:rPr>
        <w:t xml:space="preserve">. Dôležité je však poznamenať, že </w:t>
      </w:r>
      <w:r w:rsidR="0068581E">
        <w:rPr>
          <w:bCs/>
        </w:rPr>
        <w:t>k </w:t>
      </w:r>
      <w:r>
        <w:rPr>
          <w:bCs/>
        </w:rPr>
        <w:t xml:space="preserve">útlmu úverovania malých a stredných podnikov došlo už aj pred </w:t>
      </w:r>
      <w:proofErr w:type="spellStart"/>
      <w:r>
        <w:rPr>
          <w:bCs/>
        </w:rPr>
        <w:t>koronakrízou</w:t>
      </w:r>
      <w:proofErr w:type="spellEnd"/>
      <w:r>
        <w:rPr>
          <w:bCs/>
        </w:rPr>
        <w:t xml:space="preserve"> na prelome rokov 2019 a 2020. Júl však už priniesol mierne zlepšenie aj </w:t>
      </w:r>
      <w:r w:rsidR="0068581E">
        <w:rPr>
          <w:bCs/>
        </w:rPr>
        <w:t>v </w:t>
      </w:r>
      <w:r w:rsidR="000A7C59">
        <w:rPr>
          <w:bCs/>
        </w:rPr>
        <w:t>prípade</w:t>
      </w:r>
      <w:r>
        <w:rPr>
          <w:bCs/>
        </w:rPr>
        <w:t xml:space="preserve"> rastu úverov </w:t>
      </w:r>
      <w:r>
        <w:rPr>
          <w:bCs/>
        </w:rPr>
        <w:lastRenderedPageBreak/>
        <w:t xml:space="preserve">malým a stredným podnikom. Významnú úlohu </w:t>
      </w:r>
      <w:r w:rsidR="0068581E">
        <w:rPr>
          <w:bCs/>
        </w:rPr>
        <w:t>v </w:t>
      </w:r>
      <w:r>
        <w:rPr>
          <w:bCs/>
        </w:rPr>
        <w:t xml:space="preserve">zachovaní rastu úverov zohralo úverovanie predovšetkým veľkých štátom vlastnených podnikov. Tok úverov podnikom </w:t>
      </w:r>
      <w:r w:rsidR="0068581E">
        <w:rPr>
          <w:bCs/>
        </w:rPr>
        <w:t>v </w:t>
      </w:r>
      <w:r>
        <w:rPr>
          <w:bCs/>
        </w:rPr>
        <w:t xml:space="preserve">súkromnom vlastníctve sa naopak výrazne spomalil. Júlové zlepšenie sa </w:t>
      </w:r>
      <w:r w:rsidR="0068581E">
        <w:rPr>
          <w:bCs/>
        </w:rPr>
        <w:t>v </w:t>
      </w:r>
      <w:r>
        <w:rPr>
          <w:bCs/>
        </w:rPr>
        <w:t xml:space="preserve">tomto prípade prejavilo len čiastočne, keď úverová dynamika </w:t>
      </w:r>
      <w:r w:rsidR="0068581E">
        <w:rPr>
          <w:bCs/>
        </w:rPr>
        <w:t>v </w:t>
      </w:r>
      <w:r>
        <w:rPr>
          <w:bCs/>
        </w:rPr>
        <w:t xml:space="preserve">prípade podnikov pod zahraničnou kontrolou vzrástla medzi júnom a júlom </w:t>
      </w:r>
      <w:r w:rsidR="0068581E">
        <w:rPr>
          <w:bCs/>
        </w:rPr>
        <w:t>z </w:t>
      </w:r>
      <w:r>
        <w:rPr>
          <w:bCs/>
        </w:rPr>
        <w:t>5,</w:t>
      </w:r>
      <w:r w:rsidR="0068581E">
        <w:rPr>
          <w:bCs/>
        </w:rPr>
        <w:t>5 %</w:t>
      </w:r>
      <w:r>
        <w:rPr>
          <w:bCs/>
        </w:rPr>
        <w:t xml:space="preserve"> na 8,</w:t>
      </w:r>
      <w:r w:rsidR="0068581E">
        <w:rPr>
          <w:bCs/>
        </w:rPr>
        <w:t>3 %</w:t>
      </w:r>
      <w:r>
        <w:rPr>
          <w:bCs/>
        </w:rPr>
        <w:t xml:space="preserve">, kým </w:t>
      </w:r>
      <w:r w:rsidR="0068581E">
        <w:rPr>
          <w:bCs/>
        </w:rPr>
        <w:t>v </w:t>
      </w:r>
      <w:r>
        <w:rPr>
          <w:bCs/>
        </w:rPr>
        <w:t xml:space="preserve">prípade podnikov </w:t>
      </w:r>
      <w:r w:rsidR="0068581E">
        <w:rPr>
          <w:bCs/>
        </w:rPr>
        <w:t>v </w:t>
      </w:r>
      <w:r>
        <w:rPr>
          <w:bCs/>
        </w:rPr>
        <w:t xml:space="preserve">súkromnom vlastníctve rast úverov zotrval na utlmenej úrovni </w:t>
      </w:r>
      <w:r w:rsidR="0068581E">
        <w:rPr>
          <w:bCs/>
        </w:rPr>
        <w:t>1 %</w:t>
      </w:r>
      <w:r>
        <w:rPr>
          <w:bCs/>
        </w:rPr>
        <w:t xml:space="preserve">. </w:t>
      </w:r>
    </w:p>
    <w:p w14:paraId="7632EC01" w14:textId="173833DD" w:rsidR="00A0661A" w:rsidRDefault="00A0661A" w:rsidP="004A6CEB">
      <w:pPr>
        <w:rPr>
          <w:bCs/>
        </w:rPr>
      </w:pPr>
      <w:r w:rsidRPr="00B87B52">
        <w:rPr>
          <w:b/>
        </w:rPr>
        <w:t xml:space="preserve">Už spomínaný nárast krátkodobých úverov </w:t>
      </w:r>
      <w:r w:rsidR="0068581E">
        <w:rPr>
          <w:b/>
        </w:rPr>
        <w:t>v </w:t>
      </w:r>
      <w:r w:rsidRPr="00B87B52">
        <w:rPr>
          <w:b/>
        </w:rPr>
        <w:t xml:space="preserve">marci a apríli podporili </w:t>
      </w:r>
      <w:r w:rsidR="0068581E">
        <w:rPr>
          <w:b/>
        </w:rPr>
        <w:t>v </w:t>
      </w:r>
      <w:r w:rsidRPr="00B87B52">
        <w:rPr>
          <w:b/>
        </w:rPr>
        <w:t>ďalšom období aj úvery so splatnosťou nad 5 rokov.</w:t>
      </w:r>
      <w:r>
        <w:rPr>
          <w:bCs/>
        </w:rPr>
        <w:t xml:space="preserve"> </w:t>
      </w:r>
      <w:r w:rsidR="0068581E">
        <w:rPr>
          <w:bCs/>
        </w:rPr>
        <w:t>V </w:t>
      </w:r>
      <w:r>
        <w:rPr>
          <w:bCs/>
        </w:rPr>
        <w:t xml:space="preserve">tomto prípade sa však jednalo </w:t>
      </w:r>
      <w:r w:rsidR="0068581E">
        <w:rPr>
          <w:bCs/>
        </w:rPr>
        <w:t>o </w:t>
      </w:r>
      <w:r>
        <w:rPr>
          <w:bCs/>
        </w:rPr>
        <w:t>investičné úvery</w:t>
      </w:r>
      <w:r w:rsidR="004A098D">
        <w:rPr>
          <w:bCs/>
        </w:rPr>
        <w:t xml:space="preserve"> len čiastočne</w:t>
      </w:r>
      <w:r w:rsidR="0073676C">
        <w:rPr>
          <w:bCs/>
        </w:rPr>
        <w:t>, keď významnú časť rastu tvorila kategória ostatných úverov</w:t>
      </w:r>
      <w:r w:rsidR="009F63A6">
        <w:rPr>
          <w:bCs/>
        </w:rPr>
        <w:t>.</w:t>
      </w:r>
      <w:r>
        <w:rPr>
          <w:bCs/>
        </w:rPr>
        <w:t xml:space="preserve"> </w:t>
      </w:r>
      <w:r w:rsidR="0073676C">
        <w:rPr>
          <w:bCs/>
        </w:rPr>
        <w:t>M</w:t>
      </w:r>
      <w:r>
        <w:rPr>
          <w:bCs/>
        </w:rPr>
        <w:t>edzimesačné prírastky</w:t>
      </w:r>
      <w:r w:rsidR="0073676C">
        <w:rPr>
          <w:bCs/>
        </w:rPr>
        <w:t xml:space="preserve"> celkových investičných úverov</w:t>
      </w:r>
      <w:r>
        <w:rPr>
          <w:bCs/>
        </w:rPr>
        <w:t xml:space="preserve"> </w:t>
      </w:r>
      <w:r w:rsidR="009F63A6">
        <w:rPr>
          <w:bCs/>
        </w:rPr>
        <w:t>(úvery so splatnosťou nad jeden rok</w:t>
      </w:r>
      <w:r w:rsidR="009F63A6" w:rsidRPr="00784EB2">
        <w:rPr>
          <w:bCs/>
        </w:rPr>
        <w:t>)</w:t>
      </w:r>
      <w:r w:rsidR="009F63A6">
        <w:rPr>
          <w:bCs/>
        </w:rPr>
        <w:t xml:space="preserve"> </w:t>
      </w:r>
      <w:r>
        <w:rPr>
          <w:bCs/>
        </w:rPr>
        <w:t xml:space="preserve">sa pohybovali hlboko pod priemerom predchádzajúcich rokov. </w:t>
      </w:r>
      <w:r w:rsidR="0068581E">
        <w:rPr>
          <w:bCs/>
        </w:rPr>
        <w:t>V </w:t>
      </w:r>
      <w:r>
        <w:rPr>
          <w:bCs/>
        </w:rPr>
        <w:t xml:space="preserve">júli už nastalo oživenie aj </w:t>
      </w:r>
      <w:r w:rsidR="0068581E">
        <w:rPr>
          <w:bCs/>
        </w:rPr>
        <w:t>v </w:t>
      </w:r>
      <w:r>
        <w:rPr>
          <w:bCs/>
        </w:rPr>
        <w:t>prípade investičných úverov.</w:t>
      </w:r>
    </w:p>
    <w:p w14:paraId="1A94DD66" w14:textId="1A986B65" w:rsidR="00A0661A" w:rsidRDefault="00A0661A" w:rsidP="00A0661A">
      <w:pPr>
        <w:rPr>
          <w:bCs/>
        </w:rPr>
      </w:pPr>
      <w:r w:rsidRPr="003F7CB7">
        <w:rPr>
          <w:b/>
        </w:rPr>
        <w:t>Banky počas krízy zvýšili podiel úverov poskytnutých svojim klientom.</w:t>
      </w:r>
      <w:r>
        <w:rPr>
          <w:bCs/>
        </w:rPr>
        <w:t xml:space="preserve"> Nárast neistoty spojenej </w:t>
      </w:r>
      <w:r w:rsidR="0068581E">
        <w:rPr>
          <w:bCs/>
        </w:rPr>
        <w:t>s </w:t>
      </w:r>
      <w:r>
        <w:rPr>
          <w:bCs/>
        </w:rPr>
        <w:t>pandémiou ochorenia COVID-19 sa premietol do čiastočného obmedzenia financovania tak novým klientom</w:t>
      </w:r>
      <w:r>
        <w:rPr>
          <w:rStyle w:val="FootnoteReference"/>
          <w:bCs/>
        </w:rPr>
        <w:footnoteReference w:id="15"/>
      </w:r>
      <w:r>
        <w:rPr>
          <w:bCs/>
        </w:rPr>
        <w:t xml:space="preserve"> ako aj klientom ostatných bánk. Kým </w:t>
      </w:r>
      <w:r w:rsidR="0068581E">
        <w:rPr>
          <w:bCs/>
        </w:rPr>
        <w:t>v </w:t>
      </w:r>
      <w:r>
        <w:rPr>
          <w:bCs/>
        </w:rPr>
        <w:t xml:space="preserve">roku 2019 dosahoval podiel úverov poskytnutých klientom mimo vlastného úverového portfólia takmer </w:t>
      </w:r>
      <w:r w:rsidR="0068581E">
        <w:rPr>
          <w:bCs/>
        </w:rPr>
        <w:t>8 %</w:t>
      </w:r>
      <w:r>
        <w:rPr>
          <w:bCs/>
        </w:rPr>
        <w:t xml:space="preserve">, tak </w:t>
      </w:r>
      <w:r w:rsidR="0068581E">
        <w:rPr>
          <w:bCs/>
        </w:rPr>
        <w:t>v </w:t>
      </w:r>
      <w:r>
        <w:rPr>
          <w:bCs/>
        </w:rPr>
        <w:t xml:space="preserve">prvej polovici roka to bolo len niečo viac ako </w:t>
      </w:r>
      <w:r w:rsidR="0068581E">
        <w:rPr>
          <w:bCs/>
        </w:rPr>
        <w:t>5 %</w:t>
      </w:r>
      <w:r>
        <w:rPr>
          <w:bCs/>
        </w:rPr>
        <w:t xml:space="preserve">. </w:t>
      </w:r>
      <w:r w:rsidR="0068581E">
        <w:rPr>
          <w:bCs/>
        </w:rPr>
        <w:t>V </w:t>
      </w:r>
      <w:r>
        <w:rPr>
          <w:bCs/>
        </w:rPr>
        <w:t xml:space="preserve">prípade nových klientov sa tak jednalo </w:t>
      </w:r>
      <w:r w:rsidR="0068581E">
        <w:rPr>
          <w:bCs/>
        </w:rPr>
        <w:t>o </w:t>
      </w:r>
      <w:r>
        <w:rPr>
          <w:bCs/>
        </w:rPr>
        <w:t xml:space="preserve">redukciu úverovania </w:t>
      </w:r>
      <w:r w:rsidR="0068581E">
        <w:rPr>
          <w:bCs/>
        </w:rPr>
        <w:t>o </w:t>
      </w:r>
      <w:r>
        <w:rPr>
          <w:bCs/>
        </w:rPr>
        <w:t>viac ako štvrtinu a </w:t>
      </w:r>
      <w:r w:rsidR="0068581E">
        <w:rPr>
          <w:bCs/>
        </w:rPr>
        <w:t>v </w:t>
      </w:r>
      <w:r>
        <w:rPr>
          <w:bCs/>
        </w:rPr>
        <w:t xml:space="preserve">prípade podnikov </w:t>
      </w:r>
      <w:r w:rsidR="0068581E">
        <w:rPr>
          <w:bCs/>
        </w:rPr>
        <w:t>s </w:t>
      </w:r>
      <w:r>
        <w:rPr>
          <w:bCs/>
        </w:rPr>
        <w:t xml:space="preserve">úverom </w:t>
      </w:r>
      <w:r w:rsidR="0068581E">
        <w:rPr>
          <w:bCs/>
        </w:rPr>
        <w:t>v </w:t>
      </w:r>
      <w:r>
        <w:rPr>
          <w:bCs/>
        </w:rPr>
        <w:t xml:space="preserve">inej banke sa jednalo </w:t>
      </w:r>
      <w:r w:rsidR="0068581E">
        <w:rPr>
          <w:bCs/>
        </w:rPr>
        <w:t>o </w:t>
      </w:r>
      <w:r>
        <w:rPr>
          <w:bCs/>
        </w:rPr>
        <w:t>ešte výraznejšie obmedzenie financovania, a to až na úrovni 4</w:t>
      </w:r>
      <w:r w:rsidR="0068581E">
        <w:rPr>
          <w:bCs/>
        </w:rPr>
        <w:t>0 %</w:t>
      </w:r>
      <w:r>
        <w:rPr>
          <w:bCs/>
        </w:rPr>
        <w:t>. Júl už priniesol čiastočnú korekciu.</w:t>
      </w:r>
    </w:p>
    <w:p w14:paraId="3CD20C1E" w14:textId="217C7B0C" w:rsidR="00237EB4" w:rsidRDefault="00237EB4" w:rsidP="007A1EB1">
      <w:pPr>
        <w:pStyle w:val="Nadpisgrafu"/>
      </w:pPr>
      <w:r w:rsidRPr="006D482E">
        <w:t xml:space="preserve">Graf </w:t>
      </w:r>
      <w:fldSimple w:instr=" SEQ Graf \* ARABIC ">
        <w:r w:rsidR="00A02A40">
          <w:rPr>
            <w:noProof/>
          </w:rPr>
          <w:t>8</w:t>
        </w:r>
      </w:fldSimple>
      <w:r w:rsidRPr="006D482E">
        <w:t xml:space="preserve"> </w:t>
      </w:r>
      <w:r>
        <w:t xml:space="preserve">Útlm úverovania </w:t>
      </w:r>
      <w:r w:rsidR="0068581E">
        <w:t>v </w:t>
      </w:r>
      <w:r>
        <w:t>prípade malých a stredných podnikov</w:t>
      </w:r>
    </w:p>
    <w:p w14:paraId="49A9DB37" w14:textId="7EF62D89" w:rsidR="00237EB4" w:rsidRDefault="00A0661A" w:rsidP="00237EB4">
      <w:pPr>
        <w:pStyle w:val="Podgrafom"/>
      </w:pPr>
      <w:r w:rsidRPr="00A0661A">
        <w:rPr>
          <w:noProof/>
        </w:rPr>
        <w:drawing>
          <wp:inline distT="0" distB="0" distL="0" distR="0" wp14:anchorId="453DDF19" wp14:editId="0DEDDA51">
            <wp:extent cx="4679378" cy="2743200"/>
            <wp:effectExtent l="0" t="0" r="6985" b="0"/>
            <wp:docPr id="15" name="Picture 1">
              <a:extLst xmlns:a="http://schemas.openxmlformats.org/drawingml/2006/main">
                <a:ext uri="{FF2B5EF4-FFF2-40B4-BE49-F238E27FC236}">
                  <a16:creationId xmlns:a16="http://schemas.microsoft.com/office/drawing/2014/main" id="{7C190756-D078-47DE-A810-0D10A37E6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190756-D078-47DE-A810-0D10A37E6756}"/>
                        </a:ext>
                      </a:extLst>
                    </pic:cNvPr>
                    <pic:cNvPicPr>
                      <a:picLocks noChangeAspect="1"/>
                    </pic:cNvPicPr>
                  </pic:nvPicPr>
                  <pic:blipFill>
                    <a:blip r:embed="rId20"/>
                    <a:stretch>
                      <a:fillRect/>
                    </a:stretch>
                  </pic:blipFill>
                  <pic:spPr>
                    <a:xfrm>
                      <a:off x="0" y="0"/>
                      <a:ext cx="4694977" cy="2752345"/>
                    </a:xfrm>
                    <a:prstGeom prst="rect">
                      <a:avLst/>
                    </a:prstGeom>
                  </pic:spPr>
                </pic:pic>
              </a:graphicData>
            </a:graphic>
          </wp:inline>
        </w:drawing>
      </w:r>
    </w:p>
    <w:p w14:paraId="63B01B91" w14:textId="77777777" w:rsidR="005973FC" w:rsidRDefault="00237EB4" w:rsidP="00685F7A">
      <w:pPr>
        <w:pStyle w:val="Podgrafom"/>
      </w:pPr>
      <w:r w:rsidRPr="00BC6DFC">
        <w:t xml:space="preserve">Zdroj: </w:t>
      </w:r>
      <w:r>
        <w:t>NBS</w:t>
      </w:r>
    </w:p>
    <w:p w14:paraId="3368ADB0" w14:textId="0715A0A2" w:rsidR="00237EB4" w:rsidRDefault="00237EB4" w:rsidP="00685F7A">
      <w:pPr>
        <w:pStyle w:val="Podgrafom"/>
      </w:pPr>
      <w:r>
        <w:t>Poznámka: Úvery podnikom predstavujú medziročný rast objemu podnikových úverov. Stĺp</w:t>
      </w:r>
      <w:r w:rsidR="00813262">
        <w:t>c</w:t>
      </w:r>
      <w:r>
        <w:t xml:space="preserve">ový graf zodpovedá príspevku jednotlivých kategórií podnikov </w:t>
      </w:r>
      <w:r w:rsidR="0068581E">
        <w:t>k </w:t>
      </w:r>
      <w:r>
        <w:t>medziročnému rastu podnikových úverov.</w:t>
      </w:r>
    </w:p>
    <w:p w14:paraId="5C9D44AD" w14:textId="77777777" w:rsidR="00237EB4" w:rsidRPr="005476A4" w:rsidRDefault="00237EB4" w:rsidP="00237EB4">
      <w:pPr>
        <w:pStyle w:val="Modrnadpis"/>
      </w:pPr>
      <w:r>
        <w:lastRenderedPageBreak/>
        <w:t>Sprísnenie úverových štandardov síce uviedli takmer všetky banky, ale obmedzenie dostupnosti financovania sa týkalo predovšetkým rizikovejších skupín klientov</w:t>
      </w:r>
    </w:p>
    <w:p w14:paraId="186094FD" w14:textId="5E87BA1D" w:rsidR="00237EB4" w:rsidRDefault="00237EB4" w:rsidP="00237EB4">
      <w:pPr>
        <w:rPr>
          <w:bCs/>
        </w:rPr>
      </w:pPr>
      <w:r w:rsidRPr="000962FC">
        <w:rPr>
          <w:b/>
        </w:rPr>
        <w:t>Obmedzenie ponuky na úverovom trhu</w:t>
      </w:r>
      <w:r>
        <w:rPr>
          <w:b/>
        </w:rPr>
        <w:t xml:space="preserve"> </w:t>
      </w:r>
      <w:r w:rsidR="0068581E">
        <w:rPr>
          <w:b/>
        </w:rPr>
        <w:t>v </w:t>
      </w:r>
      <w:r>
        <w:rPr>
          <w:b/>
        </w:rPr>
        <w:t>druhom štvrťroku 2020</w:t>
      </w:r>
      <w:r w:rsidRPr="000962FC">
        <w:rPr>
          <w:b/>
        </w:rPr>
        <w:t xml:space="preserve"> </w:t>
      </w:r>
      <w:r>
        <w:rPr>
          <w:b/>
        </w:rPr>
        <w:t xml:space="preserve">uviedli </w:t>
      </w:r>
      <w:r w:rsidRPr="000962FC">
        <w:rPr>
          <w:b/>
        </w:rPr>
        <w:t>takmer všetky banky</w:t>
      </w:r>
      <w:r w:rsidR="00797CEB">
        <w:rPr>
          <w:b/>
        </w:rPr>
        <w:t>,</w:t>
      </w:r>
      <w:r>
        <w:rPr>
          <w:b/>
        </w:rPr>
        <w:t xml:space="preserve"> avšak bez výrazného </w:t>
      </w:r>
      <w:r w:rsidR="00797CEB">
        <w:rPr>
          <w:b/>
        </w:rPr>
        <w:t xml:space="preserve">vplyvu </w:t>
      </w:r>
      <w:r>
        <w:rPr>
          <w:b/>
        </w:rPr>
        <w:t>na rast úverov</w:t>
      </w:r>
      <w:r w:rsidRPr="000962FC">
        <w:rPr>
          <w:b/>
        </w:rPr>
        <w:t>.</w:t>
      </w:r>
      <w:r>
        <w:rPr>
          <w:b/>
        </w:rPr>
        <w:t xml:space="preserve"> </w:t>
      </w:r>
      <w:r w:rsidRPr="00845AB2">
        <w:rPr>
          <w:bCs/>
        </w:rPr>
        <w:t xml:space="preserve">Opatrenia </w:t>
      </w:r>
      <w:r>
        <w:rPr>
          <w:bCs/>
        </w:rPr>
        <w:t xml:space="preserve">proti šíreniu nákazy prijaté tak domácou vládou ako aj vládami ostatných krajín sa takmer okamžite premietli do prepadu </w:t>
      </w:r>
      <w:proofErr w:type="spellStart"/>
      <w:r>
        <w:rPr>
          <w:bCs/>
        </w:rPr>
        <w:t>sentimentu</w:t>
      </w:r>
      <w:proofErr w:type="spellEnd"/>
      <w:r>
        <w:rPr>
          <w:bCs/>
        </w:rPr>
        <w:t xml:space="preserve"> a perspektívy jednotlivých ekonomických odvetví. Výsledkom tak bola rýchla reakcia jednotlivých bánk </w:t>
      </w:r>
      <w:r w:rsidR="0068581E">
        <w:rPr>
          <w:bCs/>
        </w:rPr>
        <w:t>v </w:t>
      </w:r>
      <w:r>
        <w:rPr>
          <w:bCs/>
        </w:rPr>
        <w:t xml:space="preserve">podobe sprísnenia úverových štandardov. Sprísňovanie sa dotklo všetkých úverových podmienok, najviac však výšky úveru a požadovaného zabezpečenia, </w:t>
      </w:r>
      <w:r w:rsidR="0068581E">
        <w:rPr>
          <w:bCs/>
        </w:rPr>
        <w:t>v </w:t>
      </w:r>
      <w:r>
        <w:rPr>
          <w:bCs/>
        </w:rPr>
        <w:t xml:space="preserve">menšej miere splatnosti úverov a </w:t>
      </w:r>
      <w:proofErr w:type="spellStart"/>
      <w:r>
        <w:rPr>
          <w:bCs/>
        </w:rPr>
        <w:t>kovenantov</w:t>
      </w:r>
      <w:proofErr w:type="spellEnd"/>
      <w:r>
        <w:rPr>
          <w:bCs/>
        </w:rPr>
        <w:t>. Najmenej dotknuté zostali neúrokové poplatky</w:t>
      </w:r>
      <w:r w:rsidRPr="00554941">
        <w:rPr>
          <w:bCs/>
        </w:rPr>
        <w:t xml:space="preserve">. Úroková marža rástla predovšetkým pri rizikovejších úveroch. Obmedzenia na strane požiadaviek na kapitál alebo likviditu alebo nákladov na zdroje banky uvádzali len </w:t>
      </w:r>
      <w:r w:rsidR="0068581E">
        <w:rPr>
          <w:bCs/>
        </w:rPr>
        <w:t>v </w:t>
      </w:r>
      <w:r w:rsidRPr="00554941">
        <w:rPr>
          <w:bCs/>
        </w:rPr>
        <w:t>malej miere ako faktory vplývajúce na sprísňovanie úverových štandardov.</w:t>
      </w:r>
      <w:r>
        <w:rPr>
          <w:bCs/>
        </w:rPr>
        <w:t xml:space="preserve"> Ako dôležitú skutočnosť vplývajúcu na sprísnenie úverových štandardov banky uviedli absenciu štátnych garančných schém.</w:t>
      </w:r>
      <w:r w:rsidRPr="00554941">
        <w:rPr>
          <w:bCs/>
        </w:rPr>
        <w:t xml:space="preserve"> </w:t>
      </w:r>
      <w:r>
        <w:rPr>
          <w:bCs/>
        </w:rPr>
        <w:t xml:space="preserve">Napriek sprísneniu na strane ponuky či už </w:t>
      </w:r>
      <w:r w:rsidR="0068581E">
        <w:rPr>
          <w:bCs/>
        </w:rPr>
        <w:t>z </w:t>
      </w:r>
      <w:r>
        <w:rPr>
          <w:bCs/>
        </w:rPr>
        <w:t xml:space="preserve">pohľadu bánk alebo jednotlivých úverových podmienok, zasiahnuté boli prevažne rizikovejšie skupiny klientov. Tomu zodpovedá aj vývoj objemu úverov, kde </w:t>
      </w:r>
      <w:r w:rsidR="0068581E">
        <w:rPr>
          <w:bCs/>
        </w:rPr>
        <w:t>k </w:t>
      </w:r>
      <w:r>
        <w:rPr>
          <w:bCs/>
        </w:rPr>
        <w:t xml:space="preserve">útlmu úverovej dynamiky došlo hlavne pri vybraných skupinách podnikov. </w:t>
      </w:r>
    </w:p>
    <w:p w14:paraId="4C407637" w14:textId="45E0BEFF" w:rsidR="00237EB4" w:rsidRDefault="00237EB4" w:rsidP="00237EB4">
      <w:pPr>
        <w:rPr>
          <w:bCs/>
        </w:rPr>
      </w:pPr>
      <w:r w:rsidRPr="00180624">
        <w:rPr>
          <w:b/>
        </w:rPr>
        <w:t xml:space="preserve">Ku korekcii došlo aj </w:t>
      </w:r>
      <w:r w:rsidR="0068581E">
        <w:rPr>
          <w:b/>
        </w:rPr>
        <w:t>v </w:t>
      </w:r>
      <w:r w:rsidRPr="00180624">
        <w:rPr>
          <w:b/>
        </w:rPr>
        <w:t>prípade dopytu po úveroch, predovšetkým pri financovaní investičných zámerov.</w:t>
      </w:r>
      <w:r>
        <w:rPr>
          <w:bCs/>
        </w:rPr>
        <w:t xml:space="preserve"> Dopyt naopak rástol </w:t>
      </w:r>
      <w:r w:rsidR="0068581E">
        <w:rPr>
          <w:bCs/>
        </w:rPr>
        <w:t>v </w:t>
      </w:r>
      <w:r>
        <w:rPr>
          <w:bCs/>
        </w:rPr>
        <w:t>prípade krátkodobého prevádzkového financovania</w:t>
      </w:r>
      <w:r w:rsidR="001D54FA">
        <w:rPr>
          <w:bCs/>
        </w:rPr>
        <w:t>,</w:t>
      </w:r>
      <w:r>
        <w:rPr>
          <w:bCs/>
        </w:rPr>
        <w:t xml:space="preserve"> ako reakcia na výpadok likvidity. </w:t>
      </w:r>
      <w:r w:rsidRPr="00554941">
        <w:rPr>
          <w:bCs/>
        </w:rPr>
        <w:t xml:space="preserve">Po rýchlom sprísnení </w:t>
      </w:r>
      <w:r>
        <w:rPr>
          <w:bCs/>
        </w:rPr>
        <w:t xml:space="preserve">úverových štandardov banky skôr očakávajú postupné uvoľňovanie </w:t>
      </w:r>
      <w:r w:rsidR="0068581E">
        <w:rPr>
          <w:bCs/>
        </w:rPr>
        <w:t>v </w:t>
      </w:r>
      <w:r>
        <w:rPr>
          <w:bCs/>
        </w:rPr>
        <w:t>nasledujúcom období. Rovnako sa očakáva aj postupné oživenie dopytu po úveroch.</w:t>
      </w:r>
    </w:p>
    <w:p w14:paraId="5891B62E" w14:textId="65D4C675" w:rsidR="00237EB4" w:rsidRPr="00A430B5" w:rsidRDefault="00237EB4" w:rsidP="00237EB4">
      <w:pPr>
        <w:pStyle w:val="Modrnadpis"/>
      </w:pPr>
      <w:r>
        <w:t xml:space="preserve">Na ukazovateľoch kreditnej kvality sa </w:t>
      </w:r>
      <w:proofErr w:type="spellStart"/>
      <w:r>
        <w:t>koronakríza</w:t>
      </w:r>
      <w:proofErr w:type="spellEnd"/>
      <w:r>
        <w:t xml:space="preserve"> zatiaľ neprejavila</w:t>
      </w:r>
    </w:p>
    <w:p w14:paraId="6906DD26" w14:textId="32A91187" w:rsidR="00237EB4" w:rsidRPr="00AE7B9E" w:rsidRDefault="00237EB4" w:rsidP="00237EB4">
      <w:pPr>
        <w:rPr>
          <w:b/>
        </w:rPr>
      </w:pPr>
      <w:r w:rsidRPr="003E1431">
        <w:rPr>
          <w:b/>
        </w:rPr>
        <w:t xml:space="preserve">Na ukazovateľoch kreditného rizika zatiaľ nie je možné pozorovať </w:t>
      </w:r>
      <w:r w:rsidR="001057CD">
        <w:rPr>
          <w:b/>
        </w:rPr>
        <w:t>vplyv</w:t>
      </w:r>
      <w:r w:rsidR="001057CD" w:rsidRPr="003E1431">
        <w:rPr>
          <w:b/>
        </w:rPr>
        <w:t xml:space="preserve"> </w:t>
      </w:r>
      <w:r w:rsidRPr="003E1431">
        <w:rPr>
          <w:b/>
        </w:rPr>
        <w:t xml:space="preserve">krízy spojenej </w:t>
      </w:r>
      <w:r w:rsidR="0068581E">
        <w:rPr>
          <w:b/>
        </w:rPr>
        <w:t>s </w:t>
      </w:r>
      <w:r w:rsidRPr="003E1431">
        <w:rPr>
          <w:b/>
        </w:rPr>
        <w:t>pandémi</w:t>
      </w:r>
      <w:r w:rsidR="001057CD">
        <w:rPr>
          <w:b/>
        </w:rPr>
        <w:t>o</w:t>
      </w:r>
      <w:r w:rsidRPr="003E1431">
        <w:rPr>
          <w:b/>
        </w:rPr>
        <w:t xml:space="preserve">u COVID–19. Viaceré trendy pokračovali vo vývoji </w:t>
      </w:r>
      <w:r w:rsidR="0068581E">
        <w:rPr>
          <w:b/>
        </w:rPr>
        <w:t>z </w:t>
      </w:r>
      <w:r>
        <w:rPr>
          <w:b/>
        </w:rPr>
        <w:t>predchádzajúcich rokov</w:t>
      </w:r>
      <w:r w:rsidRPr="003E1431">
        <w:rPr>
          <w:b/>
        </w:rPr>
        <w:t xml:space="preserve">. </w:t>
      </w:r>
      <w:r w:rsidRPr="003E1431">
        <w:rPr>
          <w:bCs/>
        </w:rPr>
        <w:t xml:space="preserve">Podiel </w:t>
      </w:r>
      <w:r>
        <w:rPr>
          <w:bCs/>
        </w:rPr>
        <w:t>zlyhaných úverov zotrval na svojich minimách</w:t>
      </w:r>
      <w:r w:rsidR="001057CD">
        <w:rPr>
          <w:bCs/>
        </w:rPr>
        <w:t>,</w:t>
      </w:r>
      <w:r>
        <w:rPr>
          <w:bCs/>
        </w:rPr>
        <w:t xml:space="preserve"> keď </w:t>
      </w:r>
      <w:r w:rsidR="0068581E">
        <w:rPr>
          <w:bCs/>
        </w:rPr>
        <w:t>k </w:t>
      </w:r>
      <w:r>
        <w:rPr>
          <w:bCs/>
        </w:rPr>
        <w:t>júlu dosiahol hodnotu 3,2</w:t>
      </w:r>
      <w:r w:rsidR="0068581E">
        <w:rPr>
          <w:bCs/>
        </w:rPr>
        <w:t>8 %</w:t>
      </w:r>
      <w:r>
        <w:rPr>
          <w:bCs/>
        </w:rPr>
        <w:t xml:space="preserve">. Na nízkych úrovniach zotrval aj objem </w:t>
      </w:r>
      <w:proofErr w:type="spellStart"/>
      <w:r>
        <w:rPr>
          <w:bCs/>
        </w:rPr>
        <w:t>novozlyhaných</w:t>
      </w:r>
      <w:proofErr w:type="spellEnd"/>
      <w:r>
        <w:rPr>
          <w:bCs/>
        </w:rPr>
        <w:t xml:space="preserve"> úverov. </w:t>
      </w:r>
      <w:r w:rsidR="00797CEB">
        <w:rPr>
          <w:bCs/>
        </w:rPr>
        <w:t>Vpl</w:t>
      </w:r>
      <w:r w:rsidR="001057CD">
        <w:rPr>
          <w:bCs/>
        </w:rPr>
        <w:t>y</w:t>
      </w:r>
      <w:r w:rsidR="00797CEB">
        <w:rPr>
          <w:bCs/>
        </w:rPr>
        <w:t xml:space="preserve">v </w:t>
      </w:r>
      <w:r>
        <w:rPr>
          <w:bCs/>
        </w:rPr>
        <w:t>pandémie na kreditné riziko podnikového portfólia sa tak ukáže až po ukončení odkladu splátok a podporných opatrení zo strany štátu.</w:t>
      </w:r>
    </w:p>
    <w:p w14:paraId="535412F8" w14:textId="5964646A" w:rsidR="00AF657A" w:rsidRDefault="00AF657A" w:rsidP="00906D52">
      <w:pPr>
        <w:pStyle w:val="sloboxu"/>
        <w:rPr>
          <w:noProof/>
        </w:rPr>
      </w:pPr>
      <w:r>
        <w:t xml:space="preserve">Box </w:t>
      </w:r>
      <w:fldSimple w:instr=" SEQ Box \* ARABIC ">
        <w:r w:rsidR="00A02A40">
          <w:rPr>
            <w:noProof/>
          </w:rPr>
          <w:t>2</w:t>
        </w:r>
      </w:fldSimple>
    </w:p>
    <w:p w14:paraId="5B68A7EE" w14:textId="331A16BD" w:rsidR="00AF657A" w:rsidRDefault="00AF657A" w:rsidP="00906D52">
      <w:pPr>
        <w:pStyle w:val="Nzovboxu"/>
      </w:pPr>
      <w:bookmarkStart w:id="21" w:name="_Toc52285641"/>
      <w:r w:rsidRPr="008173C2">
        <w:t xml:space="preserve">Odhad podielu podnikov </w:t>
      </w:r>
      <w:r w:rsidR="0068581E">
        <w:t>v </w:t>
      </w:r>
      <w:r w:rsidRPr="008173C2">
        <w:t>riziku a vplyv prijatých podporných opatrení</w:t>
      </w:r>
      <w:bookmarkEnd w:id="21"/>
      <w:r w:rsidRPr="008173C2">
        <w:t xml:space="preserve"> </w:t>
      </w:r>
    </w:p>
    <w:p w14:paraId="58FF4E9E" w14:textId="5A1C48A4" w:rsidR="00AF657A" w:rsidRPr="008173C2" w:rsidRDefault="00AF657A" w:rsidP="00906D52">
      <w:pPr>
        <w:pStyle w:val="Textvboxe"/>
      </w:pPr>
      <w:r w:rsidRPr="008173C2">
        <w:t>Cieľom tohto boxu je odhadnúť podiel podnikov, ktoré</w:t>
      </w:r>
      <w:r w:rsidR="00745068">
        <w:t xml:space="preserve"> by</w:t>
      </w:r>
      <w:r w:rsidRPr="008173C2">
        <w:t xml:space="preserve"> sa </w:t>
      </w:r>
      <w:r w:rsidR="00F52044">
        <w:t xml:space="preserve">ku </w:t>
      </w:r>
      <w:r w:rsidR="00745068">
        <w:t xml:space="preserve">koncu roka 2020 </w:t>
      </w:r>
      <w:r w:rsidR="0068581E">
        <w:t>v </w:t>
      </w:r>
      <w:r w:rsidRPr="008173C2">
        <w:t xml:space="preserve">dôsledku </w:t>
      </w:r>
      <w:proofErr w:type="spellStart"/>
      <w:r w:rsidRPr="008173C2">
        <w:t>koronakrízy</w:t>
      </w:r>
      <w:proofErr w:type="spellEnd"/>
      <w:r w:rsidRPr="008173C2">
        <w:t xml:space="preserve"> mohli stať nesolventnými alebo nelikvidnými. Zároveň odhadneme možný vplyv opatrení, ktoré boli </w:t>
      </w:r>
      <w:r w:rsidRPr="008173C2">
        <w:lastRenderedPageBreak/>
        <w:t xml:space="preserve">prijaté na zmiernenie </w:t>
      </w:r>
      <w:r w:rsidR="005027C7">
        <w:t>vplyvov</w:t>
      </w:r>
      <w:r w:rsidRPr="008173C2">
        <w:t xml:space="preserve"> </w:t>
      </w:r>
      <w:proofErr w:type="spellStart"/>
      <w:r w:rsidRPr="008173C2">
        <w:t>koronakrízy</w:t>
      </w:r>
      <w:proofErr w:type="spellEnd"/>
      <w:r w:rsidRPr="008173C2">
        <w:t xml:space="preserve"> na sektor podnikov. Najvýznamnejšími opatreniami, ktorých vplyv je </w:t>
      </w:r>
      <w:r w:rsidRPr="001E6A7B">
        <w:t>detailnejšie analyzovaný, je príspevok podnikom na náhradu mzdových nákladov a nájomné, odklad splá</w:t>
      </w:r>
      <w:r w:rsidRPr="008173C2">
        <w:t>tok úverov, štátne garančné schémy</w:t>
      </w:r>
      <w:r>
        <w:t>,</w:t>
      </w:r>
      <w:r w:rsidRPr="008173C2">
        <w:t xml:space="preserve"> odklad platieb daňových preddavkov a</w:t>
      </w:r>
      <w:r>
        <w:t> možnosť odpustenia odvodov</w:t>
      </w:r>
      <w:r w:rsidRPr="008173C2">
        <w:t xml:space="preserve">. </w:t>
      </w:r>
    </w:p>
    <w:p w14:paraId="5577F896" w14:textId="645CC13B" w:rsidR="00AF657A" w:rsidRDefault="00AF657A" w:rsidP="00906D52">
      <w:pPr>
        <w:pStyle w:val="Textvboxe"/>
        <w:rPr>
          <w:b/>
          <w:bCs/>
        </w:rPr>
      </w:pPr>
      <w:r w:rsidRPr="008173C2">
        <w:rPr>
          <w:b/>
          <w:bCs/>
        </w:rPr>
        <w:t xml:space="preserve">Odhad podielu podnikov </w:t>
      </w:r>
      <w:r w:rsidR="0068581E">
        <w:rPr>
          <w:b/>
          <w:bCs/>
        </w:rPr>
        <w:t>v </w:t>
      </w:r>
      <w:r w:rsidRPr="008173C2">
        <w:rPr>
          <w:b/>
          <w:bCs/>
        </w:rPr>
        <w:t xml:space="preserve">riziku je založený na simulácii vplyvu prepadu tržieb na jednotlivé podniky. </w:t>
      </w:r>
      <w:r w:rsidRPr="008173C2">
        <w:t xml:space="preserve">Vychádzame </w:t>
      </w:r>
      <w:r w:rsidR="0068581E">
        <w:t>z </w:t>
      </w:r>
      <w:r w:rsidRPr="008173C2">
        <w:t>individuálnych účtovných závierok jednotlivých podnikov ku konc</w:t>
      </w:r>
      <w:r w:rsidR="001D5B4A">
        <w:t>u</w:t>
      </w:r>
      <w:r w:rsidRPr="008173C2">
        <w:t xml:space="preserve"> roka 2019. Na jednotlivé podniky aplikujeme pokles tržieb, </w:t>
      </w:r>
      <w:r>
        <w:t xml:space="preserve">ktorý </w:t>
      </w:r>
      <w:r w:rsidRPr="008173C2">
        <w:t>závisí od ekonomického odvetvia podniku</w:t>
      </w:r>
      <w:r>
        <w:t xml:space="preserve"> a od veľkosti podniku</w:t>
      </w:r>
      <w:r w:rsidRPr="008173C2">
        <w:t>.</w:t>
      </w:r>
      <w:r>
        <w:rPr>
          <w:rStyle w:val="FootnoteReference"/>
        </w:rPr>
        <w:footnoteReference w:id="16"/>
      </w:r>
      <w:r w:rsidRPr="008173C2">
        <w:t xml:space="preserve"> Čím výraznejšie zasiahla </w:t>
      </w:r>
      <w:proofErr w:type="spellStart"/>
      <w:r w:rsidRPr="008173C2">
        <w:t>koronakríza</w:t>
      </w:r>
      <w:proofErr w:type="spellEnd"/>
      <w:r w:rsidRPr="008173C2">
        <w:t xml:space="preserve"> dané odvetvie, tým je predpokladaný prepad tržieb väčší. </w:t>
      </w:r>
      <w:r>
        <w:t xml:space="preserve">Ešte výraznejšiemu prepadu </w:t>
      </w:r>
      <w:r w:rsidR="0068581E">
        <w:t>v </w:t>
      </w:r>
      <w:r>
        <w:t xml:space="preserve">rámci jednotlivých odvetví čelia </w:t>
      </w:r>
      <w:proofErr w:type="spellStart"/>
      <w:r>
        <w:t>mikropodniky</w:t>
      </w:r>
      <w:proofErr w:type="spellEnd"/>
      <w:r>
        <w:t xml:space="preserve">. Priemerný simulovaný medziročný pokles tržieb </w:t>
      </w:r>
      <w:proofErr w:type="spellStart"/>
      <w:r>
        <w:t>mikropodnikov</w:t>
      </w:r>
      <w:proofErr w:type="spellEnd"/>
      <w:r>
        <w:t xml:space="preserve"> </w:t>
      </w:r>
      <w:r w:rsidR="0068581E">
        <w:t>k </w:t>
      </w:r>
      <w:r>
        <w:t xml:space="preserve">júnu </w:t>
      </w:r>
      <w:r w:rsidRPr="00CB44B7">
        <w:t>2020 je 2</w:t>
      </w:r>
      <w:r w:rsidR="0068581E">
        <w:t>0 %</w:t>
      </w:r>
      <w:r w:rsidRPr="00CB44B7">
        <w:t>, pri ostatných podnikoch 1</w:t>
      </w:r>
      <w:r w:rsidR="0068581E">
        <w:t>2 %</w:t>
      </w:r>
      <w:r w:rsidRPr="00CB44B7">
        <w:t xml:space="preserve">. </w:t>
      </w:r>
      <w:r>
        <w:t>Ku koncu rok</w:t>
      </w:r>
      <w:r w:rsidR="00F52044">
        <w:t>a</w:t>
      </w:r>
      <w:r>
        <w:t xml:space="preserve"> 2020 predpokladáme rovnaké hodnoty medziročných zmien, čo znamená, že počas druhého polroka sa obnoví približne tretina tržieb, ktoré vypadli </w:t>
      </w:r>
      <w:r w:rsidR="0068581E">
        <w:t>v </w:t>
      </w:r>
      <w:r>
        <w:t xml:space="preserve">prvej vlne </w:t>
      </w:r>
      <w:proofErr w:type="spellStart"/>
      <w:r>
        <w:t>koronakrízy</w:t>
      </w:r>
      <w:proofErr w:type="spellEnd"/>
      <w:r>
        <w:t>.</w:t>
      </w:r>
      <w:r>
        <w:rPr>
          <w:rStyle w:val="FootnoteReference"/>
        </w:rPr>
        <w:footnoteReference w:id="17"/>
      </w:r>
      <w:r>
        <w:t xml:space="preserve"> </w:t>
      </w:r>
      <w:r w:rsidRPr="008173C2">
        <w:t xml:space="preserve">Schéma simulácie vplyvu tržieb a úlohy jednotlivých podporných opatrení </w:t>
      </w:r>
      <w:r w:rsidR="00CB1709">
        <w:t>sú</w:t>
      </w:r>
      <w:r w:rsidRPr="008173C2">
        <w:t xml:space="preserve"> zobrazen</w:t>
      </w:r>
      <w:r w:rsidR="00CB1709">
        <w:t>é</w:t>
      </w:r>
      <w:r w:rsidRPr="008173C2">
        <w:t xml:space="preserve"> na nasledujúcom obrázku.</w:t>
      </w:r>
      <w:r w:rsidRPr="008173C2">
        <w:rPr>
          <w:b/>
          <w:bCs/>
        </w:rPr>
        <w:t xml:space="preserve"> </w:t>
      </w:r>
      <w:bookmarkStart w:id="22" w:name="_Ref39508192"/>
    </w:p>
    <w:p w14:paraId="76886FA0" w14:textId="06BA6B47" w:rsidR="00AF657A" w:rsidRPr="008173C2" w:rsidRDefault="00AF657A" w:rsidP="00906D52">
      <w:pPr>
        <w:pStyle w:val="Boxnadpisgrafu"/>
        <w:rPr>
          <w:bCs/>
        </w:rPr>
      </w:pPr>
      <w:r>
        <w:t xml:space="preserve">Schéma </w:t>
      </w:r>
      <w:fldSimple w:instr=" SEQ Schéma \* ARABIC ">
        <w:r w:rsidR="00A02A40">
          <w:rPr>
            <w:noProof/>
          </w:rPr>
          <w:t>2</w:t>
        </w:r>
      </w:fldSimple>
      <w:r>
        <w:t xml:space="preserve"> </w:t>
      </w:r>
      <w:r w:rsidRPr="00906D52">
        <w:t>Simulácia</w:t>
      </w:r>
      <w:r w:rsidRPr="008173C2">
        <w:t xml:space="preserve"> vplyvu prepadu tržieb na solventnosť a likviditu podnikov</w:t>
      </w:r>
    </w:p>
    <w:p w14:paraId="6B2F44DC" w14:textId="5CCB119F" w:rsidR="00AF657A" w:rsidRDefault="004A6CEB" w:rsidP="00906D52">
      <w:pPr>
        <w:pStyle w:val="Textvboxe"/>
        <w:rPr>
          <w:rStyle w:val="NadpisgrafuChar"/>
          <w:b w:val="0"/>
          <w:bCs/>
        </w:rPr>
      </w:pPr>
      <w:r>
        <w:rPr>
          <w:rStyle w:val="NadpisgrafuChar"/>
          <w:b w:val="0"/>
          <w:bCs/>
          <w:noProof/>
        </w:rPr>
        <w:drawing>
          <wp:inline distT="0" distB="0" distL="0" distR="0" wp14:anchorId="4FFE4F6C" wp14:editId="7A72DB73">
            <wp:extent cx="6092041" cy="310803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5" cy="3119773"/>
                    </a:xfrm>
                    <a:prstGeom prst="rect">
                      <a:avLst/>
                    </a:prstGeom>
                    <a:noFill/>
                    <a:ln>
                      <a:noFill/>
                    </a:ln>
                  </pic:spPr>
                </pic:pic>
              </a:graphicData>
            </a:graphic>
          </wp:inline>
        </w:drawing>
      </w:r>
    </w:p>
    <w:p w14:paraId="0F718FF4" w14:textId="77777777" w:rsidR="00AF657A" w:rsidRPr="00D01103" w:rsidRDefault="00AF657A" w:rsidP="00906D52">
      <w:pPr>
        <w:pStyle w:val="Boxpodgrafom"/>
        <w:rPr>
          <w:rStyle w:val="NadpisgrafuChar"/>
          <w:rFonts w:eastAsiaTheme="minorHAnsi" w:cstheme="minorBidi"/>
          <w:b w:val="0"/>
          <w:color w:val="auto"/>
          <w:sz w:val="18"/>
          <w:szCs w:val="18"/>
        </w:rPr>
      </w:pPr>
      <w:r w:rsidRPr="00D01103">
        <w:rPr>
          <w:rStyle w:val="NadpisgrafuChar"/>
          <w:rFonts w:eastAsiaTheme="minorHAnsi" w:cstheme="minorBidi"/>
          <w:b w:val="0"/>
          <w:color w:val="auto"/>
          <w:sz w:val="18"/>
          <w:szCs w:val="18"/>
        </w:rPr>
        <w:t>Zdroj: NBS</w:t>
      </w:r>
    </w:p>
    <w:p w14:paraId="12AC4A00" w14:textId="77777777" w:rsidR="00AF657A" w:rsidRDefault="00AF657A" w:rsidP="00906D52">
      <w:pPr>
        <w:pStyle w:val="Boxpodgrafom"/>
        <w:rPr>
          <w:rStyle w:val="NadpisgrafuChar"/>
          <w:b w:val="0"/>
          <w:color w:val="auto"/>
          <w:sz w:val="16"/>
          <w:szCs w:val="16"/>
        </w:rPr>
      </w:pPr>
    </w:p>
    <w:p w14:paraId="4E24E4BA" w14:textId="1FCC164F" w:rsidR="00AF657A" w:rsidRPr="005328EB" w:rsidRDefault="00AF657A" w:rsidP="00906D52">
      <w:pPr>
        <w:pStyle w:val="Textvboxe"/>
        <w:rPr>
          <w:rStyle w:val="NadpisgrafuChar"/>
          <w:rFonts w:ascii="Cambria" w:eastAsiaTheme="minorHAnsi" w:hAnsi="Cambria" w:cstheme="minorBidi"/>
          <w:b w:val="0"/>
          <w:color w:val="auto"/>
          <w:sz w:val="22"/>
          <w:szCs w:val="22"/>
        </w:rPr>
      </w:pPr>
      <w:r w:rsidRPr="00466AE1">
        <w:rPr>
          <w:rStyle w:val="NadpisgrafuChar"/>
          <w:rFonts w:ascii="Cambria" w:eastAsiaTheme="minorHAnsi" w:hAnsi="Cambria" w:cstheme="minorBidi"/>
          <w:bCs/>
          <w:color w:val="auto"/>
          <w:sz w:val="22"/>
          <w:szCs w:val="22"/>
        </w:rPr>
        <w:t>Výpadok tržieb spôsobí, že ku koncu roka 2020 sa do výrazného rizika nesolventnosti môže dostať približne 7,</w:t>
      </w:r>
      <w:r w:rsidR="0068581E">
        <w:rPr>
          <w:rStyle w:val="NadpisgrafuChar"/>
          <w:rFonts w:ascii="Cambria" w:eastAsiaTheme="minorHAnsi" w:hAnsi="Cambria" w:cstheme="minorBidi"/>
          <w:bCs/>
          <w:color w:val="auto"/>
          <w:sz w:val="22"/>
          <w:szCs w:val="22"/>
        </w:rPr>
        <w:t>3 %</w:t>
      </w:r>
      <w:r w:rsidRPr="00466AE1">
        <w:rPr>
          <w:rStyle w:val="NadpisgrafuChar"/>
          <w:rFonts w:ascii="Cambria" w:eastAsiaTheme="minorHAnsi" w:hAnsi="Cambria" w:cstheme="minorBidi"/>
          <w:bCs/>
          <w:color w:val="auto"/>
          <w:sz w:val="22"/>
          <w:szCs w:val="22"/>
        </w:rPr>
        <w:t xml:space="preserve"> všetkých podnikov</w:t>
      </w:r>
      <w:r w:rsidRPr="00466AE1">
        <w:rPr>
          <w:rStyle w:val="FootnoteReference"/>
        </w:rPr>
        <w:footnoteReference w:id="18"/>
      </w:r>
      <w:r w:rsidR="00466AE1">
        <w:rPr>
          <w:rStyle w:val="NadpisgrafuChar"/>
          <w:rFonts w:ascii="Cambria" w:eastAsiaTheme="minorHAnsi" w:hAnsi="Cambria" w:cstheme="minorBidi"/>
          <w:b w:val="0"/>
          <w:color w:val="auto"/>
          <w:sz w:val="22"/>
          <w:szCs w:val="22"/>
        </w:rPr>
        <w:t>.</w:t>
      </w:r>
      <w:r w:rsidRPr="005328EB">
        <w:rPr>
          <w:rStyle w:val="NadpisgrafuChar"/>
          <w:rFonts w:ascii="Cambria" w:eastAsiaTheme="minorHAnsi" w:hAnsi="Cambria" w:cstheme="minorBidi"/>
          <w:b w:val="0"/>
          <w:color w:val="auto"/>
          <w:sz w:val="22"/>
          <w:szCs w:val="22"/>
        </w:rPr>
        <w:t xml:space="preserve"> Na zmiernenie tohto rizika najvýznamnejšie vplýva možnosť </w:t>
      </w:r>
      <w:r w:rsidRPr="005328EB">
        <w:rPr>
          <w:rStyle w:val="NadpisgrafuChar"/>
          <w:rFonts w:ascii="Cambria" w:eastAsiaTheme="minorHAnsi" w:hAnsi="Cambria" w:cstheme="minorBidi"/>
          <w:b w:val="0"/>
          <w:color w:val="auto"/>
          <w:sz w:val="22"/>
          <w:szCs w:val="22"/>
        </w:rPr>
        <w:lastRenderedPageBreak/>
        <w:t xml:space="preserve">kompenzácie nákladov na mzdy a nájomné. Bez tohto opatrenia by bol podiel podnikov </w:t>
      </w:r>
      <w:r w:rsidR="0068581E">
        <w:rPr>
          <w:rStyle w:val="NadpisgrafuChar"/>
          <w:rFonts w:ascii="Cambria" w:eastAsiaTheme="minorHAnsi" w:hAnsi="Cambria" w:cstheme="minorBidi"/>
          <w:b w:val="0"/>
          <w:color w:val="auto"/>
          <w:sz w:val="22"/>
          <w:szCs w:val="22"/>
        </w:rPr>
        <w:t>v </w:t>
      </w:r>
      <w:r w:rsidRPr="005328EB">
        <w:rPr>
          <w:rStyle w:val="NadpisgrafuChar"/>
          <w:rFonts w:ascii="Cambria" w:eastAsiaTheme="minorHAnsi" w:hAnsi="Cambria" w:cstheme="minorBidi"/>
          <w:b w:val="0"/>
          <w:color w:val="auto"/>
          <w:sz w:val="22"/>
          <w:szCs w:val="22"/>
        </w:rPr>
        <w:t xml:space="preserve">riziku </w:t>
      </w:r>
      <w:r w:rsidR="0068581E">
        <w:rPr>
          <w:rStyle w:val="NadpisgrafuChar"/>
          <w:rFonts w:ascii="Cambria" w:eastAsiaTheme="minorHAnsi" w:hAnsi="Cambria" w:cstheme="minorBidi"/>
          <w:b w:val="0"/>
          <w:color w:val="auto"/>
          <w:sz w:val="22"/>
          <w:szCs w:val="22"/>
        </w:rPr>
        <w:t>o </w:t>
      </w:r>
      <w:r w:rsidRPr="005328EB">
        <w:rPr>
          <w:rStyle w:val="NadpisgrafuChar"/>
          <w:rFonts w:ascii="Cambria" w:eastAsiaTheme="minorHAnsi" w:hAnsi="Cambria" w:cstheme="minorBidi"/>
          <w:b w:val="0"/>
          <w:color w:val="auto"/>
          <w:sz w:val="22"/>
          <w:szCs w:val="22"/>
        </w:rPr>
        <w:t xml:space="preserve">viac ako tretinu vyšší. Najvyššej miere rizika sú vystavené </w:t>
      </w:r>
      <w:proofErr w:type="spellStart"/>
      <w:r w:rsidRPr="005328EB">
        <w:rPr>
          <w:rStyle w:val="NadpisgrafuChar"/>
          <w:rFonts w:ascii="Cambria" w:eastAsiaTheme="minorHAnsi" w:hAnsi="Cambria" w:cstheme="minorBidi"/>
          <w:b w:val="0"/>
          <w:color w:val="auto"/>
          <w:sz w:val="22"/>
          <w:szCs w:val="22"/>
        </w:rPr>
        <w:t>mikropodniky</w:t>
      </w:r>
      <w:proofErr w:type="spellEnd"/>
      <w:r w:rsidRPr="005328EB">
        <w:rPr>
          <w:rStyle w:val="NadpisgrafuChar"/>
          <w:rFonts w:ascii="Cambria" w:eastAsiaTheme="minorHAnsi" w:hAnsi="Cambria" w:cstheme="minorBidi"/>
          <w:b w:val="0"/>
          <w:color w:val="auto"/>
          <w:sz w:val="22"/>
          <w:szCs w:val="22"/>
        </w:rPr>
        <w:t xml:space="preserve"> a malé podniky. Naopak nižšiemu riziku nesolventnosti sú vystavené stredné a veľké podniky, ktorým môže kompenzácia miezd a nájomného pomôcť najvýraznejšie. Práve vo väčších podnikoch majú tieto náklady výraznejší podiel na celkových nákladoch.</w:t>
      </w:r>
    </w:p>
    <w:p w14:paraId="396EBF32" w14:textId="0DB7A941" w:rsidR="00DD7D07" w:rsidRPr="00AF657A" w:rsidRDefault="00DD7D07" w:rsidP="00DD7D07">
      <w:pPr>
        <w:pStyle w:val="Boxnadpisgrafu"/>
      </w:pPr>
      <w:bookmarkStart w:id="23" w:name="_Ref50637327"/>
      <w:r w:rsidRPr="00AF657A">
        <w:t xml:space="preserve">Graf </w:t>
      </w:r>
      <w:fldSimple w:instr=" SEQ Graf \* ARABIC ">
        <w:r w:rsidR="00A02A40">
          <w:rPr>
            <w:noProof/>
          </w:rPr>
          <w:t>9</w:t>
        </w:r>
      </w:fldSimple>
      <w:bookmarkEnd w:id="23"/>
      <w:r w:rsidRPr="00AF657A">
        <w:t xml:space="preserve"> Simulovaný prepad tržieb podľa jednotlivých odvetví a kategórií veľkostí podniku</w:t>
      </w:r>
    </w:p>
    <w:p w14:paraId="68A9C378" w14:textId="77777777" w:rsidR="00DD7D07" w:rsidRDefault="00DD7D07" w:rsidP="00DD7D07">
      <w:pPr>
        <w:pStyle w:val="Textvboxe"/>
      </w:pPr>
      <w:r>
        <w:rPr>
          <w:noProof/>
        </w:rPr>
        <mc:AlternateContent>
          <mc:Choice Requires="wpg">
            <w:drawing>
              <wp:inline distT="0" distB="0" distL="0" distR="0" wp14:anchorId="42C27236" wp14:editId="0B94AFA6">
                <wp:extent cx="6075680" cy="2495550"/>
                <wp:effectExtent l="0" t="0" r="1270" b="0"/>
                <wp:docPr id="229" name="Group 3"/>
                <wp:cNvGraphicFramePr/>
                <a:graphic xmlns:a="http://schemas.openxmlformats.org/drawingml/2006/main">
                  <a:graphicData uri="http://schemas.microsoft.com/office/word/2010/wordprocessingGroup">
                    <wpg:wgp>
                      <wpg:cNvGrpSpPr/>
                      <wpg:grpSpPr>
                        <a:xfrm>
                          <a:off x="0" y="0"/>
                          <a:ext cx="6075680" cy="2495550"/>
                          <a:chOff x="0" y="0"/>
                          <a:chExt cx="7667626" cy="3009900"/>
                        </a:xfrm>
                      </wpg:grpSpPr>
                      <wpg:graphicFrame>
                        <wpg:cNvPr id="230" name="Chart 230"/>
                        <wpg:cNvFrPr/>
                        <wpg:xfrm>
                          <a:off x="3638550" y="0"/>
                          <a:ext cx="4029076" cy="297180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231" name="Chart 231"/>
                        <wpg:cNvFrPr/>
                        <wpg:xfrm>
                          <a:off x="0" y="19049"/>
                          <a:ext cx="3638550" cy="2990851"/>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inline>
            </w:drawing>
          </mc:Choice>
          <mc:Fallback>
            <w:pict>
              <v:group w14:anchorId="6DFF83C2" id="Group 3" o:spid="_x0000_s1026" style="width:478.4pt;height:196.5pt;mso-position-horizontal-relative:char;mso-position-vertical-relative:line" coordsize="76676,3009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30" o:spid="_x0000_s1027" type="#_x0000_t75" style="position:absolute;left:36389;width:40312;height:29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">
                  <v:imagedata r:id="rId25" o:title=""/>
                  <o:lock v:ext="edit" aspectratio="f"/>
                </v:shape>
                <v:shape id="Chart 231" o:spid="_x0000_s1028" type="#_x0000_t75" style="position:absolute;top:220;width:36389;height:29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">
                  <v:imagedata r:id="rId26" o:title=""/>
                  <o:lock v:ext="edit" aspectratio="f"/>
                </v:shape>
                <w10:anchorlock/>
              </v:group>
            </w:pict>
          </mc:Fallback>
        </mc:AlternateContent>
      </w:r>
    </w:p>
    <w:p w14:paraId="53BCB86C" w14:textId="77777777" w:rsidR="00DD7D07" w:rsidRDefault="00DD7D07" w:rsidP="00DD7D07">
      <w:pPr>
        <w:pStyle w:val="Boxpodgrafom"/>
      </w:pPr>
      <w:r w:rsidRPr="008A7F07">
        <w:t>Zdroj: NBS</w:t>
      </w:r>
    </w:p>
    <w:p w14:paraId="09FBDB4F" w14:textId="77777777" w:rsidR="00DD7D07" w:rsidRDefault="00DD7D07" w:rsidP="00DD7D07">
      <w:pPr>
        <w:pStyle w:val="Boxpodgrafom"/>
      </w:pPr>
      <w:r>
        <w:t xml:space="preserve">Poznámka: Štatistické rozdelenie pre </w:t>
      </w:r>
      <w:proofErr w:type="spellStart"/>
      <w:r>
        <w:t>mikropodniky</w:t>
      </w:r>
      <w:proofErr w:type="spellEnd"/>
      <w:r>
        <w:t xml:space="preserve"> vychádza z rozdelenia priemernej zmeny tržieb v mesiacoch marec až júl oproti februáru 2020 na základe údajov z </w:t>
      </w:r>
      <w:proofErr w:type="spellStart"/>
      <w:r>
        <w:t>eKasy</w:t>
      </w:r>
      <w:proofErr w:type="spellEnd"/>
      <w:r>
        <w:t xml:space="preserve">. Štatistické rozdelenie pre ostatné podniky vychádza z rozdelenia medziročnej zmeny exportu za prvý polrok 2020 a z empirického pozorovania, že pokles tržieb zodpovedá približne 70 % poklesu exportu. </w:t>
      </w:r>
    </w:p>
    <w:p w14:paraId="1E191189" w14:textId="77777777" w:rsidR="00DD7D07" w:rsidRPr="000A7C59" w:rsidRDefault="00DD7D07" w:rsidP="00DD7D07">
      <w:pPr>
        <w:pStyle w:val="Boxpodgrafom"/>
        <w:rPr>
          <w:rStyle w:val="NadpisgrafuChar"/>
          <w:rFonts w:eastAsiaTheme="minorHAnsi" w:cstheme="minorBidi"/>
          <w:b w:val="0"/>
          <w:color w:val="auto"/>
          <w:sz w:val="16"/>
          <w:szCs w:val="16"/>
        </w:rPr>
      </w:pPr>
    </w:p>
    <w:p w14:paraId="7867A023" w14:textId="2601C73A" w:rsidR="00AF657A" w:rsidRPr="005328EB" w:rsidRDefault="00AF657A" w:rsidP="00906D52">
      <w:pPr>
        <w:pStyle w:val="Textvboxe"/>
        <w:rPr>
          <w:rStyle w:val="NadpisgrafuChar"/>
          <w:rFonts w:ascii="Cambria" w:eastAsiaTheme="minorHAnsi" w:hAnsi="Cambria" w:cstheme="minorBidi"/>
          <w:b w:val="0"/>
          <w:color w:val="auto"/>
          <w:sz w:val="22"/>
          <w:szCs w:val="22"/>
        </w:rPr>
      </w:pPr>
      <w:r w:rsidRPr="000A7C59">
        <w:rPr>
          <w:rStyle w:val="NadpisgrafuChar"/>
          <w:rFonts w:ascii="Cambria" w:eastAsiaTheme="minorHAnsi" w:hAnsi="Cambria" w:cstheme="minorBidi"/>
          <w:b w:val="0"/>
          <w:color w:val="auto"/>
          <w:sz w:val="22"/>
          <w:szCs w:val="22"/>
        </w:rPr>
        <w:t>Bez zohľadnenia podporných opatrení nie je medzi malými a väčšími podnikmi výraznejší rozdiel.</w:t>
      </w:r>
      <w:r w:rsidRPr="00466AE1">
        <w:rPr>
          <w:rStyle w:val="NadpisgrafuChar"/>
          <w:rFonts w:ascii="Cambria" w:eastAsiaTheme="minorHAnsi" w:hAnsi="Cambria" w:cstheme="minorBidi"/>
          <w:bCs/>
          <w:color w:val="auto"/>
          <w:sz w:val="22"/>
          <w:szCs w:val="22"/>
        </w:rPr>
        <w:t xml:space="preserve"> </w:t>
      </w:r>
      <w:r w:rsidRPr="005328EB">
        <w:rPr>
          <w:rStyle w:val="NadpisgrafuChar"/>
          <w:rFonts w:ascii="Cambria" w:eastAsiaTheme="minorHAnsi" w:hAnsi="Cambria" w:cstheme="minorBidi"/>
          <w:b w:val="0"/>
          <w:color w:val="auto"/>
          <w:sz w:val="22"/>
          <w:szCs w:val="22"/>
        </w:rPr>
        <w:t xml:space="preserve">Väčšie podniky sú na jednej strane lepšie kapitálovo vybavené, na druhej strane je ich súvaha a výsledovka na výpadok tržieb citlivejšia. Ich pomer tržieb </w:t>
      </w:r>
      <w:r w:rsidR="0068581E">
        <w:rPr>
          <w:rStyle w:val="NadpisgrafuChar"/>
          <w:rFonts w:ascii="Cambria" w:eastAsiaTheme="minorHAnsi" w:hAnsi="Cambria" w:cstheme="minorBidi"/>
          <w:b w:val="0"/>
          <w:color w:val="auto"/>
          <w:sz w:val="22"/>
          <w:szCs w:val="22"/>
        </w:rPr>
        <w:t>k </w:t>
      </w:r>
      <w:r w:rsidRPr="005328EB">
        <w:rPr>
          <w:rStyle w:val="NadpisgrafuChar"/>
          <w:rFonts w:ascii="Cambria" w:eastAsiaTheme="minorHAnsi" w:hAnsi="Cambria" w:cstheme="minorBidi"/>
          <w:b w:val="0"/>
          <w:color w:val="auto"/>
          <w:sz w:val="22"/>
          <w:szCs w:val="22"/>
        </w:rPr>
        <w:t xml:space="preserve">aktívam je vyšší, preto aj výpadok tržieb predstavuje vyšší podiel na aktívach. </w:t>
      </w:r>
    </w:p>
    <w:p w14:paraId="3A77667C" w14:textId="17608386" w:rsidR="00AF657A" w:rsidRPr="005328EB" w:rsidRDefault="00AF657A" w:rsidP="00906D52">
      <w:pPr>
        <w:pStyle w:val="Textvboxe"/>
        <w:rPr>
          <w:rStyle w:val="NadpisgrafuChar"/>
          <w:rFonts w:ascii="Cambria" w:eastAsiaTheme="minorHAnsi" w:hAnsi="Cambria" w:cstheme="minorBidi"/>
          <w:b w:val="0"/>
          <w:color w:val="auto"/>
          <w:sz w:val="22"/>
          <w:szCs w:val="22"/>
        </w:rPr>
      </w:pPr>
      <w:r w:rsidRPr="00466AE1">
        <w:rPr>
          <w:rStyle w:val="NadpisgrafuChar"/>
          <w:rFonts w:ascii="Cambria" w:eastAsiaTheme="minorHAnsi" w:hAnsi="Cambria" w:cstheme="minorBidi"/>
          <w:bCs/>
          <w:color w:val="auto"/>
          <w:sz w:val="22"/>
          <w:szCs w:val="22"/>
        </w:rPr>
        <w:t xml:space="preserve">Podiel úverov poskytnutých podnikom </w:t>
      </w:r>
      <w:r w:rsidR="0068581E">
        <w:rPr>
          <w:rStyle w:val="NadpisgrafuChar"/>
          <w:rFonts w:ascii="Cambria" w:eastAsiaTheme="minorHAnsi" w:hAnsi="Cambria" w:cstheme="minorBidi"/>
          <w:bCs/>
          <w:color w:val="auto"/>
          <w:sz w:val="22"/>
          <w:szCs w:val="22"/>
        </w:rPr>
        <w:t>v </w:t>
      </w:r>
      <w:r w:rsidRPr="00466AE1">
        <w:rPr>
          <w:rStyle w:val="NadpisgrafuChar"/>
          <w:rFonts w:ascii="Cambria" w:eastAsiaTheme="minorHAnsi" w:hAnsi="Cambria" w:cstheme="minorBidi"/>
          <w:bCs/>
          <w:color w:val="auto"/>
          <w:sz w:val="22"/>
          <w:szCs w:val="22"/>
        </w:rPr>
        <w:t xml:space="preserve">riziku </w:t>
      </w:r>
      <w:r w:rsidR="00D37C9D">
        <w:rPr>
          <w:rStyle w:val="NadpisgrafuChar"/>
          <w:rFonts w:ascii="Cambria" w:eastAsiaTheme="minorHAnsi" w:hAnsi="Cambria" w:cstheme="minorBidi"/>
          <w:bCs/>
          <w:color w:val="auto"/>
          <w:sz w:val="22"/>
          <w:szCs w:val="22"/>
        </w:rPr>
        <w:t xml:space="preserve">možnej </w:t>
      </w:r>
      <w:r w:rsidRPr="00466AE1">
        <w:rPr>
          <w:rStyle w:val="NadpisgrafuChar"/>
          <w:rFonts w:ascii="Cambria" w:eastAsiaTheme="minorHAnsi" w:hAnsi="Cambria" w:cstheme="minorBidi"/>
          <w:bCs/>
          <w:color w:val="auto"/>
          <w:sz w:val="22"/>
          <w:szCs w:val="22"/>
        </w:rPr>
        <w:t>nesolventnosti je približne 3,</w:t>
      </w:r>
      <w:r w:rsidR="0068581E">
        <w:rPr>
          <w:rStyle w:val="NadpisgrafuChar"/>
          <w:rFonts w:ascii="Cambria" w:eastAsiaTheme="minorHAnsi" w:hAnsi="Cambria" w:cstheme="minorBidi"/>
          <w:bCs/>
          <w:color w:val="auto"/>
          <w:sz w:val="22"/>
          <w:szCs w:val="22"/>
        </w:rPr>
        <w:t>5 %</w:t>
      </w:r>
      <w:r w:rsidRPr="00466AE1">
        <w:rPr>
          <w:rStyle w:val="NadpisgrafuChar"/>
          <w:rFonts w:ascii="Cambria" w:eastAsiaTheme="minorHAnsi" w:hAnsi="Cambria" w:cstheme="minorBidi"/>
          <w:bCs/>
          <w:color w:val="auto"/>
          <w:sz w:val="22"/>
          <w:szCs w:val="22"/>
        </w:rPr>
        <w:t>.</w:t>
      </w:r>
      <w:r w:rsidRPr="005328EB">
        <w:rPr>
          <w:rStyle w:val="NadpisgrafuChar"/>
          <w:rFonts w:ascii="Cambria" w:eastAsiaTheme="minorHAnsi" w:hAnsi="Cambria" w:cstheme="minorBidi"/>
          <w:b w:val="0"/>
          <w:color w:val="auto"/>
          <w:sz w:val="22"/>
          <w:szCs w:val="22"/>
        </w:rPr>
        <w:t xml:space="preserve"> Tento podiel je nižší ako samotný podiel podnikov </w:t>
      </w:r>
      <w:r w:rsidR="0068581E">
        <w:rPr>
          <w:rStyle w:val="NadpisgrafuChar"/>
          <w:rFonts w:ascii="Cambria" w:eastAsiaTheme="minorHAnsi" w:hAnsi="Cambria" w:cstheme="minorBidi"/>
          <w:b w:val="0"/>
          <w:color w:val="auto"/>
          <w:sz w:val="22"/>
          <w:szCs w:val="22"/>
        </w:rPr>
        <w:t>v </w:t>
      </w:r>
      <w:r w:rsidRPr="005328EB">
        <w:rPr>
          <w:rStyle w:val="NadpisgrafuChar"/>
          <w:rFonts w:ascii="Cambria" w:eastAsiaTheme="minorHAnsi" w:hAnsi="Cambria" w:cstheme="minorBidi"/>
          <w:b w:val="0"/>
          <w:color w:val="auto"/>
          <w:sz w:val="22"/>
          <w:szCs w:val="22"/>
        </w:rPr>
        <w:t>riziku nesolventnosti (7,</w:t>
      </w:r>
      <w:r w:rsidR="0068581E">
        <w:rPr>
          <w:rStyle w:val="NadpisgrafuChar"/>
          <w:rFonts w:ascii="Cambria" w:eastAsiaTheme="minorHAnsi" w:hAnsi="Cambria" w:cstheme="minorBidi"/>
          <w:b w:val="0"/>
          <w:color w:val="auto"/>
          <w:sz w:val="22"/>
          <w:szCs w:val="22"/>
        </w:rPr>
        <w:t>3 %</w:t>
      </w:r>
      <w:r w:rsidRPr="005328EB">
        <w:rPr>
          <w:rStyle w:val="NadpisgrafuChar"/>
          <w:rFonts w:ascii="Cambria" w:eastAsiaTheme="minorHAnsi" w:hAnsi="Cambria" w:cstheme="minorBidi"/>
          <w:b w:val="0"/>
          <w:color w:val="auto"/>
          <w:sz w:val="22"/>
          <w:szCs w:val="22"/>
        </w:rPr>
        <w:t xml:space="preserve">). To potvrdzuje skutočnosť, že banky financujú rizikovejšie podniky </w:t>
      </w:r>
      <w:r w:rsidR="0068581E">
        <w:rPr>
          <w:rStyle w:val="NadpisgrafuChar"/>
          <w:rFonts w:ascii="Cambria" w:eastAsiaTheme="minorHAnsi" w:hAnsi="Cambria" w:cstheme="minorBidi"/>
          <w:b w:val="0"/>
          <w:color w:val="auto"/>
          <w:sz w:val="22"/>
          <w:szCs w:val="22"/>
        </w:rPr>
        <w:t>v </w:t>
      </w:r>
      <w:r w:rsidRPr="005328EB">
        <w:rPr>
          <w:rStyle w:val="NadpisgrafuChar"/>
          <w:rFonts w:ascii="Cambria" w:eastAsiaTheme="minorHAnsi" w:hAnsi="Cambria" w:cstheme="minorBidi"/>
          <w:b w:val="0"/>
          <w:color w:val="auto"/>
          <w:sz w:val="22"/>
          <w:szCs w:val="22"/>
        </w:rPr>
        <w:t xml:space="preserve">menšej miere. Vyššej miere </w:t>
      </w:r>
      <w:r w:rsidR="00797CEB">
        <w:rPr>
          <w:rStyle w:val="NadpisgrafuChar"/>
          <w:rFonts w:ascii="Cambria" w:eastAsiaTheme="minorHAnsi" w:hAnsi="Cambria" w:cstheme="minorBidi"/>
          <w:b w:val="0"/>
          <w:color w:val="auto"/>
          <w:sz w:val="22"/>
          <w:szCs w:val="22"/>
        </w:rPr>
        <w:t xml:space="preserve">pravdepodobnosti </w:t>
      </w:r>
      <w:r w:rsidRPr="005328EB">
        <w:rPr>
          <w:rStyle w:val="NadpisgrafuChar"/>
          <w:rFonts w:ascii="Cambria" w:eastAsiaTheme="minorHAnsi" w:hAnsi="Cambria" w:cstheme="minorBidi"/>
          <w:b w:val="0"/>
          <w:color w:val="auto"/>
          <w:sz w:val="22"/>
          <w:szCs w:val="22"/>
        </w:rPr>
        <w:t xml:space="preserve">zlyhania sú vystavené menšie podniky. To je </w:t>
      </w:r>
      <w:r w:rsidR="0068581E">
        <w:rPr>
          <w:rStyle w:val="NadpisgrafuChar"/>
          <w:rFonts w:ascii="Cambria" w:eastAsiaTheme="minorHAnsi" w:hAnsi="Cambria" w:cstheme="minorBidi"/>
          <w:b w:val="0"/>
          <w:color w:val="auto"/>
          <w:sz w:val="22"/>
          <w:szCs w:val="22"/>
        </w:rPr>
        <w:t>v </w:t>
      </w:r>
      <w:r w:rsidRPr="005328EB">
        <w:rPr>
          <w:rStyle w:val="NadpisgrafuChar"/>
          <w:rFonts w:ascii="Cambria" w:eastAsiaTheme="minorHAnsi" w:hAnsi="Cambria" w:cstheme="minorBidi"/>
          <w:b w:val="0"/>
          <w:color w:val="auto"/>
          <w:sz w:val="22"/>
          <w:szCs w:val="22"/>
        </w:rPr>
        <w:t xml:space="preserve">súlade </w:t>
      </w:r>
      <w:r w:rsidR="0068581E">
        <w:rPr>
          <w:rStyle w:val="NadpisgrafuChar"/>
          <w:rFonts w:ascii="Cambria" w:eastAsiaTheme="minorHAnsi" w:hAnsi="Cambria" w:cstheme="minorBidi"/>
          <w:b w:val="0"/>
          <w:color w:val="auto"/>
          <w:sz w:val="22"/>
          <w:szCs w:val="22"/>
        </w:rPr>
        <w:t>s </w:t>
      </w:r>
      <w:r w:rsidRPr="005328EB">
        <w:rPr>
          <w:rStyle w:val="NadpisgrafuChar"/>
          <w:rFonts w:ascii="Cambria" w:eastAsiaTheme="minorHAnsi" w:hAnsi="Cambria" w:cstheme="minorBidi"/>
          <w:b w:val="0"/>
          <w:color w:val="auto"/>
          <w:sz w:val="22"/>
          <w:szCs w:val="22"/>
        </w:rPr>
        <w:t xml:space="preserve">empirickou skúsenosťou </w:t>
      </w:r>
      <w:r w:rsidR="0068581E">
        <w:rPr>
          <w:rStyle w:val="NadpisgrafuChar"/>
          <w:rFonts w:ascii="Cambria" w:eastAsiaTheme="minorHAnsi" w:hAnsi="Cambria" w:cstheme="minorBidi"/>
          <w:b w:val="0"/>
          <w:color w:val="auto"/>
          <w:sz w:val="22"/>
          <w:szCs w:val="22"/>
        </w:rPr>
        <w:t>z </w:t>
      </w:r>
      <w:r w:rsidRPr="005328EB">
        <w:rPr>
          <w:rStyle w:val="NadpisgrafuChar"/>
          <w:rFonts w:ascii="Cambria" w:eastAsiaTheme="minorHAnsi" w:hAnsi="Cambria" w:cstheme="minorBidi"/>
          <w:b w:val="0"/>
          <w:color w:val="auto"/>
          <w:sz w:val="22"/>
          <w:szCs w:val="22"/>
        </w:rPr>
        <w:t xml:space="preserve">predchádzajúcej krízy a nižším tempom rastu úverov poskytnutých tomuto segmentu. </w:t>
      </w:r>
    </w:p>
    <w:p w14:paraId="11A381FC" w14:textId="253FB4A9" w:rsidR="00AF657A" w:rsidRPr="005328EB" w:rsidRDefault="00AF657A" w:rsidP="00906D52">
      <w:pPr>
        <w:pStyle w:val="Textvboxe"/>
        <w:rPr>
          <w:rStyle w:val="NadpisgrafuChar"/>
          <w:rFonts w:ascii="Cambria" w:eastAsiaTheme="minorHAnsi" w:hAnsi="Cambria" w:cstheme="minorBidi"/>
          <w:b w:val="0"/>
          <w:color w:val="auto"/>
          <w:sz w:val="22"/>
          <w:szCs w:val="22"/>
        </w:rPr>
      </w:pPr>
      <w:r w:rsidRPr="00466AE1">
        <w:rPr>
          <w:rStyle w:val="NadpisgrafuChar"/>
          <w:rFonts w:ascii="Cambria" w:eastAsiaTheme="minorHAnsi" w:hAnsi="Cambria" w:cstheme="minorBidi"/>
          <w:bCs/>
          <w:color w:val="auto"/>
          <w:sz w:val="22"/>
          <w:szCs w:val="22"/>
        </w:rPr>
        <w:t>Podniky</w:t>
      </w:r>
      <w:r w:rsidR="00797CEB">
        <w:rPr>
          <w:rStyle w:val="NadpisgrafuChar"/>
          <w:rFonts w:ascii="Cambria" w:eastAsiaTheme="minorHAnsi" w:hAnsi="Cambria" w:cstheme="minorBidi"/>
          <w:bCs/>
          <w:color w:val="auto"/>
          <w:sz w:val="22"/>
          <w:szCs w:val="22"/>
        </w:rPr>
        <w:t>,</w:t>
      </w:r>
      <w:r w:rsidRPr="00466AE1">
        <w:rPr>
          <w:rStyle w:val="NadpisgrafuChar"/>
          <w:rFonts w:ascii="Cambria" w:eastAsiaTheme="minorHAnsi" w:hAnsi="Cambria" w:cstheme="minorBidi"/>
          <w:bCs/>
          <w:color w:val="auto"/>
          <w:sz w:val="22"/>
          <w:szCs w:val="22"/>
        </w:rPr>
        <w:t xml:space="preserve"> ktoré požiadali </w:t>
      </w:r>
      <w:r w:rsidR="0068581E">
        <w:rPr>
          <w:rStyle w:val="NadpisgrafuChar"/>
          <w:rFonts w:ascii="Cambria" w:eastAsiaTheme="minorHAnsi" w:hAnsi="Cambria" w:cstheme="minorBidi"/>
          <w:bCs/>
          <w:color w:val="auto"/>
          <w:sz w:val="22"/>
          <w:szCs w:val="22"/>
        </w:rPr>
        <w:t>o </w:t>
      </w:r>
      <w:r w:rsidRPr="00466AE1">
        <w:rPr>
          <w:rStyle w:val="NadpisgrafuChar"/>
          <w:rFonts w:ascii="Cambria" w:eastAsiaTheme="minorHAnsi" w:hAnsi="Cambria" w:cstheme="minorBidi"/>
          <w:bCs/>
          <w:color w:val="auto"/>
          <w:sz w:val="22"/>
          <w:szCs w:val="22"/>
        </w:rPr>
        <w:t>odklad splátky aspoň na jednom úvere</w:t>
      </w:r>
      <w:r w:rsidR="00797CEB">
        <w:rPr>
          <w:rStyle w:val="NadpisgrafuChar"/>
          <w:rFonts w:ascii="Cambria" w:eastAsiaTheme="minorHAnsi" w:hAnsi="Cambria" w:cstheme="minorBidi"/>
          <w:bCs/>
          <w:color w:val="auto"/>
          <w:sz w:val="22"/>
          <w:szCs w:val="22"/>
        </w:rPr>
        <w:t>,</w:t>
      </w:r>
      <w:r w:rsidRPr="00466AE1">
        <w:rPr>
          <w:rStyle w:val="NadpisgrafuChar"/>
          <w:rFonts w:ascii="Cambria" w:eastAsiaTheme="minorHAnsi" w:hAnsi="Cambria" w:cstheme="minorBidi"/>
          <w:bCs/>
          <w:color w:val="auto"/>
          <w:sz w:val="22"/>
          <w:szCs w:val="22"/>
        </w:rPr>
        <w:t xml:space="preserve"> sú menej rizikové </w:t>
      </w:r>
      <w:r w:rsidR="0068581E">
        <w:rPr>
          <w:rStyle w:val="NadpisgrafuChar"/>
          <w:rFonts w:ascii="Cambria" w:eastAsiaTheme="minorHAnsi" w:hAnsi="Cambria" w:cstheme="minorBidi"/>
          <w:bCs/>
          <w:color w:val="auto"/>
          <w:sz w:val="22"/>
          <w:szCs w:val="22"/>
        </w:rPr>
        <w:t>z </w:t>
      </w:r>
      <w:r w:rsidRPr="00466AE1">
        <w:rPr>
          <w:rStyle w:val="NadpisgrafuChar"/>
          <w:rFonts w:ascii="Cambria" w:eastAsiaTheme="minorHAnsi" w:hAnsi="Cambria" w:cstheme="minorBidi"/>
          <w:bCs/>
          <w:color w:val="auto"/>
          <w:sz w:val="22"/>
          <w:szCs w:val="22"/>
        </w:rPr>
        <w:t>pohľadu testu solventnosti.</w:t>
      </w:r>
      <w:r w:rsidRPr="005328EB">
        <w:rPr>
          <w:rStyle w:val="NadpisgrafuChar"/>
          <w:rFonts w:ascii="Cambria" w:eastAsiaTheme="minorHAnsi" w:hAnsi="Cambria" w:cstheme="minorBidi"/>
          <w:b w:val="0"/>
          <w:color w:val="auto"/>
          <w:sz w:val="22"/>
          <w:szCs w:val="22"/>
        </w:rPr>
        <w:t xml:space="preserve"> Podiel úverov poskytnutých týmto podnikom, a ktoré sú </w:t>
      </w:r>
      <w:r w:rsidR="0068581E">
        <w:rPr>
          <w:rStyle w:val="NadpisgrafuChar"/>
          <w:rFonts w:ascii="Cambria" w:eastAsiaTheme="minorHAnsi" w:hAnsi="Cambria" w:cstheme="minorBidi"/>
          <w:b w:val="0"/>
          <w:color w:val="auto"/>
          <w:sz w:val="22"/>
          <w:szCs w:val="22"/>
        </w:rPr>
        <w:t>v </w:t>
      </w:r>
      <w:r w:rsidRPr="005328EB">
        <w:rPr>
          <w:rStyle w:val="NadpisgrafuChar"/>
          <w:rFonts w:ascii="Cambria" w:eastAsiaTheme="minorHAnsi" w:hAnsi="Cambria" w:cstheme="minorBidi"/>
          <w:b w:val="0"/>
          <w:color w:val="auto"/>
          <w:sz w:val="22"/>
          <w:szCs w:val="22"/>
        </w:rPr>
        <w:t>riziku solventnosti</w:t>
      </w:r>
      <w:r w:rsidR="00797CEB">
        <w:rPr>
          <w:rStyle w:val="NadpisgrafuChar"/>
          <w:rFonts w:ascii="Cambria" w:eastAsiaTheme="minorHAnsi" w:hAnsi="Cambria" w:cstheme="minorBidi"/>
          <w:b w:val="0"/>
          <w:color w:val="auto"/>
          <w:sz w:val="22"/>
          <w:szCs w:val="22"/>
        </w:rPr>
        <w:t>,</w:t>
      </w:r>
      <w:r w:rsidRPr="005328EB">
        <w:rPr>
          <w:rStyle w:val="NadpisgrafuChar"/>
          <w:rFonts w:ascii="Cambria" w:eastAsiaTheme="minorHAnsi" w:hAnsi="Cambria" w:cstheme="minorBidi"/>
          <w:b w:val="0"/>
          <w:color w:val="auto"/>
          <w:sz w:val="22"/>
          <w:szCs w:val="22"/>
        </w:rPr>
        <w:t xml:space="preserve"> predstavuje 2,</w:t>
      </w:r>
      <w:r w:rsidR="0068581E">
        <w:rPr>
          <w:rStyle w:val="NadpisgrafuChar"/>
          <w:rFonts w:ascii="Cambria" w:eastAsiaTheme="minorHAnsi" w:hAnsi="Cambria" w:cstheme="minorBidi"/>
          <w:b w:val="0"/>
          <w:color w:val="auto"/>
          <w:sz w:val="22"/>
          <w:szCs w:val="22"/>
        </w:rPr>
        <w:t>6 %</w:t>
      </w:r>
      <w:r w:rsidRPr="005328EB">
        <w:rPr>
          <w:rStyle w:val="NadpisgrafuChar"/>
          <w:rFonts w:ascii="Cambria" w:eastAsiaTheme="minorHAnsi" w:hAnsi="Cambria" w:cstheme="minorBidi"/>
          <w:b w:val="0"/>
          <w:color w:val="auto"/>
          <w:sz w:val="22"/>
          <w:szCs w:val="22"/>
        </w:rPr>
        <w:t xml:space="preserve">. Platí to však len </w:t>
      </w:r>
      <w:r w:rsidR="0068581E">
        <w:rPr>
          <w:rStyle w:val="NadpisgrafuChar"/>
          <w:rFonts w:ascii="Cambria" w:eastAsiaTheme="minorHAnsi" w:hAnsi="Cambria" w:cstheme="minorBidi"/>
          <w:b w:val="0"/>
          <w:color w:val="auto"/>
          <w:sz w:val="22"/>
          <w:szCs w:val="22"/>
        </w:rPr>
        <w:t>v </w:t>
      </w:r>
      <w:r w:rsidRPr="005328EB">
        <w:rPr>
          <w:rStyle w:val="NadpisgrafuChar"/>
          <w:rFonts w:ascii="Cambria" w:eastAsiaTheme="minorHAnsi" w:hAnsi="Cambria" w:cstheme="minorBidi"/>
          <w:b w:val="0"/>
          <w:color w:val="auto"/>
          <w:sz w:val="22"/>
          <w:szCs w:val="22"/>
        </w:rPr>
        <w:t xml:space="preserve">prípade použitia opatrenia zameraného na kompenzáciu nákladov na mzdy a nájomné. Bez tejto možnosti vykazujú podniky </w:t>
      </w:r>
      <w:r w:rsidR="0068581E">
        <w:rPr>
          <w:rStyle w:val="NadpisgrafuChar"/>
          <w:rFonts w:ascii="Cambria" w:eastAsiaTheme="minorHAnsi" w:hAnsi="Cambria" w:cstheme="minorBidi"/>
          <w:b w:val="0"/>
          <w:color w:val="auto"/>
          <w:sz w:val="22"/>
          <w:szCs w:val="22"/>
        </w:rPr>
        <w:t>s </w:t>
      </w:r>
      <w:r w:rsidRPr="005328EB">
        <w:rPr>
          <w:rStyle w:val="NadpisgrafuChar"/>
          <w:rFonts w:ascii="Cambria" w:eastAsiaTheme="minorHAnsi" w:hAnsi="Cambria" w:cstheme="minorBidi"/>
          <w:b w:val="0"/>
          <w:color w:val="auto"/>
          <w:sz w:val="22"/>
          <w:szCs w:val="22"/>
        </w:rPr>
        <w:t xml:space="preserve">odkladom splátok mierne vyššiu rizikovosť. </w:t>
      </w:r>
    </w:p>
    <w:p w14:paraId="48BE5958" w14:textId="6F8A399B" w:rsidR="00AF657A" w:rsidRPr="00AF657A" w:rsidRDefault="00AF657A" w:rsidP="00906D52">
      <w:pPr>
        <w:pStyle w:val="Boxnadpisgrafu"/>
      </w:pPr>
      <w:r w:rsidRPr="00AF657A">
        <w:rPr>
          <w:rStyle w:val="NadpisgrafuChar"/>
          <w:b/>
        </w:rPr>
        <w:lastRenderedPageBreak/>
        <w:t xml:space="preserve">Graf </w:t>
      </w:r>
      <w:r w:rsidRPr="00AF657A">
        <w:rPr>
          <w:rStyle w:val="NadpisgrafuChar"/>
          <w:b/>
        </w:rPr>
        <w:fldChar w:fldCharType="begin"/>
      </w:r>
      <w:r w:rsidRPr="00AF657A">
        <w:rPr>
          <w:rStyle w:val="NadpisgrafuChar"/>
          <w:b/>
        </w:rPr>
        <w:instrText xml:space="preserve"> SEQ Graf \* ARABIC </w:instrText>
      </w:r>
      <w:r w:rsidRPr="00AF657A">
        <w:rPr>
          <w:rStyle w:val="NadpisgrafuChar"/>
          <w:b/>
        </w:rPr>
        <w:fldChar w:fldCharType="separate"/>
      </w:r>
      <w:r w:rsidR="00A02A40">
        <w:rPr>
          <w:rStyle w:val="NadpisgrafuChar"/>
          <w:b/>
          <w:noProof/>
        </w:rPr>
        <w:t>10</w:t>
      </w:r>
      <w:r w:rsidRPr="00AF657A">
        <w:rPr>
          <w:rStyle w:val="NadpisgrafuChar"/>
          <w:b/>
        </w:rPr>
        <w:fldChar w:fldCharType="end"/>
      </w:r>
      <w:bookmarkEnd w:id="22"/>
      <w:r w:rsidRPr="00AF657A">
        <w:t xml:space="preserve"> Podiel podnikov </w:t>
      </w:r>
      <w:r w:rsidR="0068581E">
        <w:t>v </w:t>
      </w:r>
      <w:r w:rsidRPr="00AF657A">
        <w:t>riziku nesolventnosti a vplyv prijatých opatrení</w:t>
      </w:r>
    </w:p>
    <w:p w14:paraId="497652AB" w14:textId="0CF1F949" w:rsidR="00AF657A" w:rsidRDefault="00AF657A" w:rsidP="00906D52">
      <w:pPr>
        <w:pStyle w:val="Boxpodnadpisgrafu"/>
      </w:pPr>
      <w:r>
        <w:t xml:space="preserve">Podiel podnikov, resp. úverov podnikom, ktoré sa </w:t>
      </w:r>
      <w:r w:rsidR="0068581E">
        <w:t>v </w:t>
      </w:r>
      <w:r>
        <w:t>dôsledku prepadu tržieb môžu stať nesolventné</w:t>
      </w:r>
    </w:p>
    <w:p w14:paraId="5B4E51D2" w14:textId="5DB63C8A" w:rsidR="00AF657A" w:rsidRDefault="005328EB" w:rsidP="00906D52">
      <w:pPr>
        <w:pStyle w:val="Textvboxe"/>
      </w:pPr>
      <w:r w:rsidRPr="005328EB">
        <w:rPr>
          <w:noProof/>
        </w:rPr>
        <w:drawing>
          <wp:inline distT="0" distB="0" distL="0" distR="0" wp14:anchorId="333D5E63" wp14:editId="1A3F9818">
            <wp:extent cx="6193790" cy="2825087"/>
            <wp:effectExtent l="0" t="0" r="0" b="0"/>
            <wp:docPr id="232" name="Chart 232">
              <a:extLst xmlns:a="http://schemas.openxmlformats.org/drawingml/2006/main">
                <a:ext uri="{FF2B5EF4-FFF2-40B4-BE49-F238E27FC236}">
                  <a16:creationId xmlns:a16="http://schemas.microsoft.com/office/drawing/2014/main" id="{A6F1A1D0-8358-4C42-B4DE-48740F57A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A5CE1D" w14:textId="431776F3" w:rsidR="00AF657A" w:rsidRDefault="00AF657A" w:rsidP="00906D52">
      <w:pPr>
        <w:pStyle w:val="Boxpodgrafom"/>
      </w:pPr>
      <w:r w:rsidRPr="008A7F07">
        <w:t>Zdroj: NBS</w:t>
      </w:r>
      <w:r>
        <w:t xml:space="preserve">, </w:t>
      </w:r>
      <w:proofErr w:type="spellStart"/>
      <w:r>
        <w:t>Bisnode</w:t>
      </w:r>
      <w:proofErr w:type="spellEnd"/>
    </w:p>
    <w:p w14:paraId="01E10CCD" w14:textId="77777777" w:rsidR="00AF657A" w:rsidRDefault="00AF657A" w:rsidP="00906D52">
      <w:pPr>
        <w:pStyle w:val="Boxpodgrafom"/>
      </w:pPr>
    </w:p>
    <w:p w14:paraId="31B4B4EB" w14:textId="562215D6" w:rsidR="00AF657A" w:rsidRDefault="00AF657A" w:rsidP="00906D52">
      <w:pPr>
        <w:pStyle w:val="Textvboxe"/>
      </w:pPr>
      <w:r w:rsidRPr="005853D1">
        <w:t xml:space="preserve">Analýza dodatočnej potreby likvidity je založená na odhade schopnosti podnikov, ktoré zostali solventné, absorbovať prepad tržieb </w:t>
      </w:r>
      <w:r w:rsidR="0068581E">
        <w:t>z </w:t>
      </w:r>
      <w:r w:rsidRPr="005853D1">
        <w:t>pohľadu likvidity.</w:t>
      </w:r>
      <w:r>
        <w:t xml:space="preserve"> Výpadok tržieb predstavuje pre podniky nielen </w:t>
      </w:r>
      <w:r w:rsidR="008A4D9D">
        <w:t>vplyv</w:t>
      </w:r>
      <w:r>
        <w:t xml:space="preserve"> na ziskovosť, ale aj na peňažné toky. Časť výpadku tržieb (znížen</w:t>
      </w:r>
      <w:r w:rsidR="00F41D56">
        <w:t>ého</w:t>
      </w:r>
      <w:r>
        <w:t xml:space="preserve"> </w:t>
      </w:r>
      <w:r w:rsidR="0068581E">
        <w:t>o </w:t>
      </w:r>
      <w:r>
        <w:t xml:space="preserve">pokles nákladov) môžu podniky pokryť prostredníctvom svojich finančných aktív na účtoch </w:t>
      </w:r>
      <w:r w:rsidR="0068581E">
        <w:t>v </w:t>
      </w:r>
      <w:r>
        <w:t xml:space="preserve">bankách. Ďalšiu časť je možné kompenzovať dočasným znížením iných záporných finančných tokov, najmä prostredníctvom využitia možnosti odkladu splátok a platieb daní. Zostávajúca časť predstavuje dodatočnú potrebu likvidity, t. j. potrebu dodatočného financovania sa. </w:t>
      </w:r>
    </w:p>
    <w:p w14:paraId="6CE9C930" w14:textId="581AC873" w:rsidR="003D53B7" w:rsidRPr="00AF657A" w:rsidRDefault="003D53B7" w:rsidP="00906D52">
      <w:pPr>
        <w:pStyle w:val="Boxnadpisgrafu"/>
      </w:pPr>
      <w:r w:rsidRPr="00AF657A">
        <w:rPr>
          <w:rStyle w:val="NadpisgrafuChar"/>
          <w:b/>
        </w:rPr>
        <w:t xml:space="preserve">Graf </w:t>
      </w:r>
      <w:r w:rsidRPr="00AF657A">
        <w:rPr>
          <w:rStyle w:val="NadpisgrafuChar"/>
          <w:b/>
        </w:rPr>
        <w:fldChar w:fldCharType="begin"/>
      </w:r>
      <w:r w:rsidRPr="00AF657A">
        <w:rPr>
          <w:rStyle w:val="NadpisgrafuChar"/>
          <w:b/>
        </w:rPr>
        <w:instrText xml:space="preserve"> SEQ Graf \* ARABIC </w:instrText>
      </w:r>
      <w:r w:rsidRPr="00AF657A">
        <w:rPr>
          <w:rStyle w:val="NadpisgrafuChar"/>
          <w:b/>
        </w:rPr>
        <w:fldChar w:fldCharType="separate"/>
      </w:r>
      <w:r w:rsidR="00A02A40">
        <w:rPr>
          <w:rStyle w:val="NadpisgrafuChar"/>
          <w:b/>
          <w:noProof/>
        </w:rPr>
        <w:t>11</w:t>
      </w:r>
      <w:r w:rsidRPr="00AF657A">
        <w:rPr>
          <w:rStyle w:val="NadpisgrafuChar"/>
          <w:b/>
        </w:rPr>
        <w:fldChar w:fldCharType="end"/>
      </w:r>
      <w:r w:rsidRPr="00AF657A">
        <w:t xml:space="preserve"> Podiel podnikov, ktoré potrebujú na preklenutie výpadku tržieb dodatočnú likviditu</w:t>
      </w:r>
    </w:p>
    <w:p w14:paraId="5FD81E36" w14:textId="77777777" w:rsidR="003D53B7" w:rsidRDefault="003D53B7" w:rsidP="00906D52">
      <w:pPr>
        <w:pStyle w:val="Boxpodgrafom"/>
      </w:pPr>
      <w:r>
        <w:rPr>
          <w:noProof/>
        </w:rPr>
        <w:drawing>
          <wp:inline distT="0" distB="0" distL="0" distR="0" wp14:anchorId="76CEFFF6" wp14:editId="7C2C2999">
            <wp:extent cx="6074410" cy="2634018"/>
            <wp:effectExtent l="0" t="0" r="2540" b="0"/>
            <wp:docPr id="233" name="Chart 233">
              <a:extLst xmlns:a="http://schemas.openxmlformats.org/drawingml/2006/main">
                <a:ext uri="{FF2B5EF4-FFF2-40B4-BE49-F238E27FC236}">
                  <a16:creationId xmlns:a16="http://schemas.microsoft.com/office/drawing/2014/main" id="{1552B7A2-0FF1-463A-810D-3912975B6C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0BED7D" w14:textId="77777777" w:rsidR="003D53B7" w:rsidRDefault="003D53B7" w:rsidP="00906D52">
      <w:pPr>
        <w:pStyle w:val="Boxpodgrafom"/>
      </w:pPr>
      <w:r w:rsidRPr="008A7F07">
        <w:t>Zdroj: NBS</w:t>
      </w:r>
      <w:r>
        <w:t xml:space="preserve">, </w:t>
      </w:r>
      <w:proofErr w:type="spellStart"/>
      <w:r>
        <w:t>Bisnode</w:t>
      </w:r>
      <w:proofErr w:type="spellEnd"/>
    </w:p>
    <w:p w14:paraId="41A28F27" w14:textId="77777777" w:rsidR="003D53B7" w:rsidRPr="00D70015" w:rsidRDefault="003D53B7" w:rsidP="00906D52">
      <w:pPr>
        <w:pStyle w:val="Boxpodgrafom"/>
      </w:pPr>
      <w:r>
        <w:t xml:space="preserve">Poznámka: </w:t>
      </w:r>
      <w:r w:rsidRPr="00D70015">
        <w:t xml:space="preserve">Podiely sú len na podnikoch, ktoré zostali solventné. </w:t>
      </w:r>
    </w:p>
    <w:p w14:paraId="145AB499" w14:textId="77777777" w:rsidR="003D53B7" w:rsidRPr="00546342" w:rsidRDefault="003D53B7" w:rsidP="00906D52">
      <w:pPr>
        <w:pStyle w:val="Boxpodgrafom"/>
      </w:pPr>
    </w:p>
    <w:p w14:paraId="7C8D67CC" w14:textId="325CB294" w:rsidR="00AF657A" w:rsidRDefault="00AF657A" w:rsidP="00906D52">
      <w:pPr>
        <w:pStyle w:val="Textvboxe"/>
      </w:pPr>
      <w:r w:rsidRPr="008354CD">
        <w:rPr>
          <w:b/>
          <w:bCs/>
        </w:rPr>
        <w:lastRenderedPageBreak/>
        <w:t>Na preklenutie výpadku tržieb bude dodatočnú likviditu potrebovať približne desatina podnikov</w:t>
      </w:r>
      <w:r>
        <w:rPr>
          <w:b/>
          <w:bCs/>
        </w:rPr>
        <w:t xml:space="preserve"> </w:t>
      </w:r>
      <w:r w:rsidR="0068581E">
        <w:rPr>
          <w:b/>
          <w:bCs/>
        </w:rPr>
        <w:t>z </w:t>
      </w:r>
      <w:r>
        <w:rPr>
          <w:b/>
          <w:bCs/>
        </w:rPr>
        <w:t>tých, ktoré zostali solventné</w:t>
      </w:r>
      <w:r w:rsidRPr="008354CD">
        <w:rPr>
          <w:b/>
          <w:bCs/>
        </w:rPr>
        <w:t>.</w:t>
      </w:r>
      <w:r>
        <w:t xml:space="preserve"> </w:t>
      </w:r>
      <w:proofErr w:type="spellStart"/>
      <w:r w:rsidRPr="00035E16">
        <w:t>Medi</w:t>
      </w:r>
      <w:r w:rsidR="00D01103">
        <w:t>á</w:t>
      </w:r>
      <w:r w:rsidRPr="00035E16">
        <w:t>nová</w:t>
      </w:r>
      <w:proofErr w:type="spellEnd"/>
      <w:r w:rsidRPr="00035E16">
        <w:t xml:space="preserve"> potreba likvidity sa pohybuje medzi </w:t>
      </w:r>
      <w:r w:rsidR="0068581E">
        <w:t>4 %</w:t>
      </w:r>
      <w:r w:rsidRPr="00035E16">
        <w:t xml:space="preserve"> až </w:t>
      </w:r>
      <w:r w:rsidR="0068581E">
        <w:t>5 %</w:t>
      </w:r>
      <w:r w:rsidRPr="00035E16">
        <w:t xml:space="preserve"> </w:t>
      </w:r>
      <w:r w:rsidR="0068581E">
        <w:t>z </w:t>
      </w:r>
      <w:r w:rsidRPr="00035E16">
        <w:t xml:space="preserve">celkových aktív podniku. </w:t>
      </w:r>
      <w:r>
        <w:t xml:space="preserve">Výraznejšej potrebe likvidity čelia najmä stredné a väčšie podniky. Tieto podniky výraznejšie optimalizujú toky likvidity, a preto udržiavajú nižšiu rezervu likvidity. </w:t>
      </w:r>
    </w:p>
    <w:p w14:paraId="2F08213D" w14:textId="116880D5" w:rsidR="00AF657A" w:rsidRDefault="00AF657A" w:rsidP="00906D52">
      <w:pPr>
        <w:pStyle w:val="Textvboxe"/>
      </w:pPr>
      <w:r>
        <w:t xml:space="preserve">Celkový odhadovaný objem </w:t>
      </w:r>
      <w:r w:rsidR="00A5526D">
        <w:t xml:space="preserve">potrebnej </w:t>
      </w:r>
      <w:r>
        <w:t>dodatočnej likvidity po zohľadnení podporných opatrení je na úrovni cca 0,</w:t>
      </w:r>
      <w:r w:rsidR="0068581E">
        <w:t>6 mld. €</w:t>
      </w:r>
      <w:r>
        <w:t xml:space="preserve"> až </w:t>
      </w:r>
      <w:r w:rsidR="0068581E">
        <w:t>1 mld. €</w:t>
      </w:r>
      <w:r>
        <w:t>. Odhad však výrazn</w:t>
      </w:r>
      <w:r w:rsidR="00AC6C1E">
        <w:t>e</w:t>
      </w:r>
      <w:r>
        <w:t xml:space="preserve"> závisí od miery využívania týchto opatrení, keďže ich vplyv je pomerne významný. Ak by neboli prijaté (alebo využívané), potreba likvidity by mohla byť 2,5</w:t>
      </w:r>
      <w:r w:rsidR="00AC6C1E">
        <w:noBreakHyphen/>
      </w:r>
      <w:r>
        <w:t>násobne až 3-násobne vyššia. Najvýznamnejší vplyv, najmä pri väčších podnikoch, majú opatrenia umožňujúce znížiť, resp. kompenzovať mzdové náklady. Dôležitý vplyv má aj možnosť odkladu splátok úverov. Ak by túto možnosť využili všetky podniky, ktoré potrebujú dodatočnú likviditu, celková úspora potreby dodatočnej likvidity by bola vo výške 0,</w:t>
      </w:r>
      <w:r w:rsidR="0068581E">
        <w:t>2 mld. €</w:t>
      </w:r>
      <w:r>
        <w:t xml:space="preserve"> až 0,</w:t>
      </w:r>
      <w:r w:rsidR="0068581E">
        <w:t>3 mld. €</w:t>
      </w:r>
      <w:r w:rsidRPr="007C6FF7">
        <w:t xml:space="preserve">. </w:t>
      </w:r>
      <w:r w:rsidR="0068581E">
        <w:t>V </w:t>
      </w:r>
      <w:r w:rsidRPr="007C6FF7">
        <w:t xml:space="preserve">priebehu prvej vlny </w:t>
      </w:r>
      <w:proofErr w:type="spellStart"/>
      <w:r w:rsidRPr="007C6FF7">
        <w:t>koronakrízy</w:t>
      </w:r>
      <w:proofErr w:type="spellEnd"/>
      <w:r w:rsidRPr="007C6FF7">
        <w:t xml:space="preserve"> problémy </w:t>
      </w:r>
      <w:r w:rsidR="0068581E">
        <w:t>s </w:t>
      </w:r>
      <w:r w:rsidRPr="007C6FF7">
        <w:t xml:space="preserve">likviditou pomohla zmierniť aj možnosť odkladu platenia dane </w:t>
      </w:r>
      <w:r w:rsidR="0068581E">
        <w:t>z </w:t>
      </w:r>
      <w:r w:rsidRPr="007C6FF7">
        <w:t xml:space="preserve">príjmov. Trvanie tohto odkladu je však kratšie ako pri odkladoch splátok, preto jeho efekt nie je </w:t>
      </w:r>
      <w:r w:rsidR="0068581E">
        <w:t>v </w:t>
      </w:r>
      <w:r w:rsidRPr="007C6FF7">
        <w:t xml:space="preserve">analýze zahrnutý. </w:t>
      </w:r>
    </w:p>
    <w:tbl>
      <w:tblPr>
        <w:tblW w:w="9639" w:type="dxa"/>
        <w:tblInd w:w="-2283" w:type="dxa"/>
        <w:tblLayout w:type="fixed"/>
        <w:tblCellMar>
          <w:left w:w="70" w:type="dxa"/>
          <w:right w:w="70" w:type="dxa"/>
        </w:tblCellMar>
        <w:tblLook w:val="04A0" w:firstRow="1" w:lastRow="0" w:firstColumn="1" w:lastColumn="0" w:noHBand="0" w:noVBand="1"/>
      </w:tblPr>
      <w:tblGrid>
        <w:gridCol w:w="6521"/>
        <w:gridCol w:w="3118"/>
      </w:tblGrid>
      <w:tr w:rsidR="00AF657A" w:rsidRPr="004C4FE3" w14:paraId="403E1A8A" w14:textId="77777777" w:rsidTr="007A1EB1">
        <w:trPr>
          <w:trHeight w:val="537"/>
        </w:trPr>
        <w:tc>
          <w:tcPr>
            <w:tcW w:w="9639" w:type="dxa"/>
            <w:gridSpan w:val="2"/>
            <w:tcBorders>
              <w:top w:val="single" w:sz="12" w:space="0" w:color="0067AC"/>
              <w:left w:val="single" w:sz="12" w:space="0" w:color="0067AC"/>
              <w:bottom w:val="single" w:sz="12" w:space="0" w:color="4472C4"/>
              <w:right w:val="single" w:sz="12" w:space="0" w:color="0067AC"/>
            </w:tcBorders>
            <w:shd w:val="clear" w:color="auto" w:fill="0067AC"/>
            <w:noWrap/>
            <w:vAlign w:val="center"/>
          </w:tcPr>
          <w:p w14:paraId="65EFEC03" w14:textId="06285ADC" w:rsidR="00AF657A" w:rsidRPr="00910BCF" w:rsidRDefault="00AF657A" w:rsidP="00E538F3">
            <w:pPr>
              <w:pStyle w:val="Nadpistabuky"/>
              <w:keepNext/>
              <w:spacing w:before="0"/>
              <w:jc w:val="left"/>
              <w:rPr>
                <w:b/>
                <w:bCs/>
              </w:rPr>
            </w:pPr>
            <w:bookmarkStart w:id="24" w:name="_Ref39135095"/>
            <w:r w:rsidRPr="00910BCF">
              <w:rPr>
                <w:b/>
                <w:bCs/>
              </w:rPr>
              <w:t xml:space="preserve">Tabuľka </w:t>
            </w:r>
            <w:r w:rsidRPr="00910BCF">
              <w:rPr>
                <w:b/>
                <w:bCs/>
              </w:rPr>
              <w:fldChar w:fldCharType="begin"/>
            </w:r>
            <w:r w:rsidRPr="00910BCF">
              <w:rPr>
                <w:b/>
                <w:bCs/>
              </w:rPr>
              <w:instrText xml:space="preserve"> SEQ Tabuľka \* ARABIC </w:instrText>
            </w:r>
            <w:r w:rsidRPr="00910BCF">
              <w:rPr>
                <w:b/>
                <w:bCs/>
              </w:rPr>
              <w:fldChar w:fldCharType="separate"/>
            </w:r>
            <w:r w:rsidR="00A02A40">
              <w:rPr>
                <w:b/>
                <w:bCs/>
                <w:noProof/>
              </w:rPr>
              <w:t>4</w:t>
            </w:r>
            <w:r w:rsidRPr="00910BCF">
              <w:rPr>
                <w:b/>
                <w:bCs/>
                <w:noProof/>
              </w:rPr>
              <w:fldChar w:fldCharType="end"/>
            </w:r>
            <w:bookmarkEnd w:id="24"/>
            <w:r w:rsidRPr="00910BCF">
              <w:rPr>
                <w:b/>
                <w:bCs/>
              </w:rPr>
              <w:t xml:space="preserve"> </w:t>
            </w:r>
            <w:r>
              <w:rPr>
                <w:b/>
                <w:bCs/>
              </w:rPr>
              <w:t>Odhadovaný objem potreby dodatočnej likvidity</w:t>
            </w:r>
          </w:p>
        </w:tc>
      </w:tr>
      <w:tr w:rsidR="00AF657A" w:rsidRPr="00300D25" w14:paraId="1994F7E7" w14:textId="77777777" w:rsidTr="00906D52">
        <w:trPr>
          <w:trHeight w:val="238"/>
        </w:trPr>
        <w:tc>
          <w:tcPr>
            <w:tcW w:w="6521" w:type="dxa"/>
            <w:tcBorders>
              <w:top w:val="single" w:sz="12" w:space="0" w:color="0067AC"/>
              <w:left w:val="single" w:sz="12" w:space="0" w:color="0067AC"/>
              <w:bottom w:val="single" w:sz="12" w:space="0" w:color="0067AC"/>
              <w:right w:val="single" w:sz="12" w:space="0" w:color="0067AC"/>
            </w:tcBorders>
            <w:shd w:val="clear" w:color="auto" w:fill="FFFFFF" w:themeFill="background1"/>
            <w:noWrap/>
            <w:vAlign w:val="center"/>
          </w:tcPr>
          <w:p w14:paraId="298CE5BE" w14:textId="77777777" w:rsidR="00AF657A" w:rsidRDefault="00AF657A" w:rsidP="00AF657A">
            <w:pPr>
              <w:keepNext/>
              <w:spacing w:after="0" w:line="240" w:lineRule="auto"/>
              <w:jc w:val="center"/>
              <w:rPr>
                <w:rFonts w:eastAsia="Times New Roman"/>
                <w:color w:val="0067AC"/>
              </w:rPr>
            </w:pPr>
          </w:p>
        </w:tc>
        <w:tc>
          <w:tcPr>
            <w:tcW w:w="3118" w:type="dxa"/>
            <w:tcBorders>
              <w:top w:val="single" w:sz="12" w:space="0" w:color="0067AC"/>
              <w:left w:val="single" w:sz="12" w:space="0" w:color="0067AC"/>
              <w:bottom w:val="single" w:sz="12" w:space="0" w:color="0067AC"/>
              <w:right w:val="single" w:sz="12" w:space="0" w:color="0067AC"/>
            </w:tcBorders>
            <w:shd w:val="clear" w:color="auto" w:fill="auto"/>
            <w:vAlign w:val="center"/>
          </w:tcPr>
          <w:p w14:paraId="1D567A0D" w14:textId="59AB813A" w:rsidR="00AF657A" w:rsidRDefault="00AF657A" w:rsidP="00AF657A">
            <w:pPr>
              <w:keepNext/>
              <w:spacing w:after="0" w:line="240" w:lineRule="auto"/>
              <w:jc w:val="center"/>
              <w:rPr>
                <w:rFonts w:eastAsia="Times New Roman"/>
                <w:color w:val="0067AC"/>
              </w:rPr>
            </w:pPr>
            <w:r>
              <w:rPr>
                <w:rFonts w:eastAsia="Times New Roman"/>
                <w:color w:val="0067AC"/>
              </w:rPr>
              <w:t xml:space="preserve">Odhadovaný objem potreby dodatočnej likvidity </w:t>
            </w:r>
            <w:r w:rsidR="0068581E">
              <w:rPr>
                <w:rFonts w:eastAsia="Times New Roman"/>
                <w:color w:val="0067AC"/>
              </w:rPr>
              <w:t>v </w:t>
            </w:r>
            <w:r>
              <w:rPr>
                <w:rFonts w:eastAsia="Times New Roman"/>
                <w:color w:val="0067AC"/>
              </w:rPr>
              <w:t>mld.</w:t>
            </w:r>
            <w:r w:rsidR="00AC6C1E">
              <w:rPr>
                <w:rFonts w:eastAsia="Times New Roman"/>
                <w:color w:val="0067AC"/>
              </w:rPr>
              <w:t xml:space="preserve"> EUR</w:t>
            </w:r>
          </w:p>
        </w:tc>
      </w:tr>
      <w:tr w:rsidR="00AF657A" w:rsidRPr="00300D25" w14:paraId="20D5ABCA" w14:textId="77777777" w:rsidTr="007A1EB1">
        <w:trPr>
          <w:trHeight w:val="238"/>
        </w:trPr>
        <w:tc>
          <w:tcPr>
            <w:tcW w:w="6521"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hideMark/>
          </w:tcPr>
          <w:p w14:paraId="02F70EB8" w14:textId="77777777" w:rsidR="00AF657A" w:rsidRPr="00481E67" w:rsidRDefault="00AF657A" w:rsidP="00AF657A">
            <w:pPr>
              <w:keepNext/>
              <w:spacing w:after="0" w:line="240" w:lineRule="auto"/>
              <w:rPr>
                <w:rFonts w:eastAsia="Times New Roman"/>
                <w:color w:val="0067AC" w:themeColor="accent1"/>
              </w:rPr>
            </w:pPr>
            <w:r>
              <w:rPr>
                <w:color w:val="0067AC" w:themeColor="accent1"/>
              </w:rPr>
              <w:t xml:space="preserve">Po zohľadnení všetkých opatrení vrátane možnosti odkladu splátok </w:t>
            </w:r>
          </w:p>
        </w:tc>
        <w:tc>
          <w:tcPr>
            <w:tcW w:w="3118" w:type="dxa"/>
            <w:tcBorders>
              <w:top w:val="single" w:sz="12" w:space="0" w:color="0067AC"/>
              <w:left w:val="single" w:sz="12" w:space="0" w:color="0067AC"/>
              <w:bottom w:val="nil"/>
              <w:right w:val="single" w:sz="12" w:space="0" w:color="0067AC"/>
            </w:tcBorders>
            <w:shd w:val="clear" w:color="auto" w:fill="BBE3FF" w:themeFill="accent1" w:themeFillTint="33"/>
            <w:noWrap/>
            <w:vAlign w:val="center"/>
          </w:tcPr>
          <w:p w14:paraId="5AFC6C5A" w14:textId="77777777" w:rsidR="00AF657A" w:rsidRPr="008B737F" w:rsidRDefault="00AF657A" w:rsidP="00AF657A">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0,6 až 1</w:t>
            </w:r>
          </w:p>
        </w:tc>
      </w:tr>
      <w:tr w:rsidR="00AF657A" w:rsidRPr="00300D25" w14:paraId="1DA5B10B" w14:textId="77777777" w:rsidTr="007A1EB1">
        <w:trPr>
          <w:trHeight w:val="238"/>
        </w:trPr>
        <w:tc>
          <w:tcPr>
            <w:tcW w:w="6521" w:type="dxa"/>
            <w:tcBorders>
              <w:top w:val="nil"/>
              <w:left w:val="single" w:sz="12" w:space="0" w:color="0067AC"/>
              <w:bottom w:val="nil"/>
              <w:right w:val="single" w:sz="12" w:space="0" w:color="0067AC"/>
            </w:tcBorders>
            <w:shd w:val="clear" w:color="auto" w:fill="FFFFFF" w:themeFill="background1"/>
            <w:noWrap/>
            <w:vAlign w:val="center"/>
            <w:hideMark/>
          </w:tcPr>
          <w:p w14:paraId="402C2EDD" w14:textId="62D4260E" w:rsidR="00AF657A" w:rsidRPr="00481E67" w:rsidRDefault="00AF657A" w:rsidP="00AF657A">
            <w:pPr>
              <w:keepNext/>
              <w:spacing w:after="0" w:line="240" w:lineRule="auto"/>
              <w:rPr>
                <w:color w:val="0067AC" w:themeColor="accent1"/>
              </w:rPr>
            </w:pPr>
            <w:r>
              <w:rPr>
                <w:color w:val="0067AC" w:themeColor="accent1"/>
              </w:rPr>
              <w:t>Po zohľadnení všetkých opatrení okrem možnosti odklad</w:t>
            </w:r>
            <w:r w:rsidR="00EA3CD0">
              <w:rPr>
                <w:color w:val="0067AC" w:themeColor="accent1"/>
              </w:rPr>
              <w:t>u</w:t>
            </w:r>
            <w:r>
              <w:rPr>
                <w:color w:val="0067AC" w:themeColor="accent1"/>
              </w:rPr>
              <w:t xml:space="preserve"> splátok </w:t>
            </w:r>
          </w:p>
        </w:tc>
        <w:tc>
          <w:tcPr>
            <w:tcW w:w="3118" w:type="dxa"/>
            <w:tcBorders>
              <w:top w:val="nil"/>
              <w:left w:val="single" w:sz="12" w:space="0" w:color="0067AC"/>
              <w:bottom w:val="nil"/>
              <w:right w:val="single" w:sz="12" w:space="0" w:color="0067AC"/>
            </w:tcBorders>
            <w:shd w:val="clear" w:color="auto" w:fill="FFFFFF" w:themeFill="background1"/>
            <w:noWrap/>
            <w:vAlign w:val="center"/>
          </w:tcPr>
          <w:p w14:paraId="7A0E9CE3" w14:textId="77777777" w:rsidR="00AF657A" w:rsidRPr="008B737F" w:rsidRDefault="00AF657A" w:rsidP="00AF657A">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0,8 až 1,3</w:t>
            </w:r>
          </w:p>
        </w:tc>
      </w:tr>
      <w:tr w:rsidR="00AF657A" w:rsidRPr="00300D25" w14:paraId="0DDDD81B" w14:textId="77777777" w:rsidTr="007A1EB1">
        <w:trPr>
          <w:trHeight w:val="499"/>
        </w:trPr>
        <w:tc>
          <w:tcPr>
            <w:tcW w:w="6521" w:type="dxa"/>
            <w:tcBorders>
              <w:top w:val="nil"/>
              <w:left w:val="single" w:sz="12" w:space="0" w:color="0067AC"/>
              <w:bottom w:val="single" w:sz="12" w:space="0" w:color="0067AC"/>
              <w:right w:val="single" w:sz="12" w:space="0" w:color="0067AC"/>
            </w:tcBorders>
            <w:shd w:val="clear" w:color="auto" w:fill="BBE3FF" w:themeFill="accent1" w:themeFillTint="33"/>
            <w:noWrap/>
            <w:vAlign w:val="center"/>
          </w:tcPr>
          <w:p w14:paraId="7885C125" w14:textId="77777777" w:rsidR="00AF657A" w:rsidRPr="00481E67" w:rsidRDefault="00AF657A" w:rsidP="00AF657A">
            <w:pPr>
              <w:keepNext/>
              <w:spacing w:after="0" w:line="240" w:lineRule="auto"/>
              <w:rPr>
                <w:color w:val="0067AC" w:themeColor="accent1"/>
              </w:rPr>
            </w:pPr>
            <w:r>
              <w:rPr>
                <w:color w:val="0067AC" w:themeColor="accent1"/>
              </w:rPr>
              <w:t>Bez zohľadnenia opatrení</w:t>
            </w:r>
          </w:p>
        </w:tc>
        <w:tc>
          <w:tcPr>
            <w:tcW w:w="3118" w:type="dxa"/>
            <w:tcBorders>
              <w:top w:val="nil"/>
              <w:left w:val="single" w:sz="12" w:space="0" w:color="0067AC"/>
              <w:bottom w:val="single" w:sz="12" w:space="0" w:color="0067AC"/>
              <w:right w:val="single" w:sz="12" w:space="0" w:color="0067AC"/>
            </w:tcBorders>
            <w:shd w:val="clear" w:color="auto" w:fill="BBE3FF" w:themeFill="accent1" w:themeFillTint="33"/>
            <w:noWrap/>
            <w:vAlign w:val="center"/>
          </w:tcPr>
          <w:p w14:paraId="3E4F9397" w14:textId="77777777" w:rsidR="00AF657A" w:rsidRPr="008B737F" w:rsidRDefault="00AF657A" w:rsidP="00AF657A">
            <w:pPr>
              <w:keepNext/>
              <w:spacing w:after="0" w:line="240" w:lineRule="auto"/>
              <w:jc w:val="center"/>
              <w:rPr>
                <w:rFonts w:eastAsia="Times New Roman"/>
                <w:color w:val="0067AC" w:themeColor="accent1"/>
                <w:sz w:val="18"/>
                <w:szCs w:val="18"/>
              </w:rPr>
            </w:pPr>
            <w:r>
              <w:rPr>
                <w:rFonts w:eastAsia="Times New Roman"/>
                <w:color w:val="0067AC" w:themeColor="accent1"/>
                <w:sz w:val="18"/>
                <w:szCs w:val="18"/>
              </w:rPr>
              <w:t>1,9 až 2,7</w:t>
            </w:r>
          </w:p>
        </w:tc>
      </w:tr>
    </w:tbl>
    <w:p w14:paraId="12B84BE5" w14:textId="77777777" w:rsidR="00AF657A" w:rsidRDefault="00AF657A" w:rsidP="00906D52">
      <w:pPr>
        <w:pStyle w:val="Boxpodgrafom"/>
      </w:pPr>
      <w:r>
        <w:t>Zdroj: NBS</w:t>
      </w:r>
    </w:p>
    <w:p w14:paraId="434439A0" w14:textId="77777777" w:rsidR="00AF657A" w:rsidRDefault="00AF657A" w:rsidP="00906D52">
      <w:pPr>
        <w:pStyle w:val="Boxpodgrafom"/>
      </w:pPr>
      <w:r>
        <w:t xml:space="preserve">Poznámka: Zohľadnené opatrenia zahŕňajú </w:t>
      </w:r>
      <w:r w:rsidRPr="002043AA">
        <w:t xml:space="preserve">príspevok podnikom na náhradu mzdových nákladov a nájomné, možnosť odpustenia odvodov </w:t>
      </w:r>
      <w:r>
        <w:t>a možnosť o</w:t>
      </w:r>
      <w:r w:rsidRPr="002043AA">
        <w:t>dklad</w:t>
      </w:r>
      <w:r>
        <w:t>u</w:t>
      </w:r>
      <w:r w:rsidRPr="002043AA">
        <w:t xml:space="preserve"> splátok úverov</w:t>
      </w:r>
      <w:r>
        <w:t>.</w:t>
      </w:r>
    </w:p>
    <w:p w14:paraId="2B639A20" w14:textId="77777777" w:rsidR="00AF657A" w:rsidRPr="007C6FF7" w:rsidRDefault="00AF657A" w:rsidP="00906D52">
      <w:pPr>
        <w:pStyle w:val="Boxpodgrafom"/>
      </w:pPr>
    </w:p>
    <w:p w14:paraId="271C7FCA" w14:textId="0D920BEB" w:rsidR="00AF657A" w:rsidRPr="00AF5876" w:rsidRDefault="00AF657A" w:rsidP="00906D52">
      <w:pPr>
        <w:pStyle w:val="Textvboxe"/>
      </w:pPr>
      <w:r w:rsidRPr="009C0F28">
        <w:rPr>
          <w:b/>
          <w:bCs/>
        </w:rPr>
        <w:t xml:space="preserve">Dodatočná potreba likvidity je nižšia ako schválený rámec garančných schém. </w:t>
      </w:r>
      <w:r>
        <w:t xml:space="preserve">Za predpokladu plne funkčného systému poskytovania </w:t>
      </w:r>
      <w:r w:rsidR="00A5526D">
        <w:t xml:space="preserve">úverov zo </w:t>
      </w:r>
      <w:r>
        <w:t>štátnych garan</w:t>
      </w:r>
      <w:r w:rsidR="00A5526D">
        <w:t>čných schém</w:t>
      </w:r>
      <w:r>
        <w:t xml:space="preserve"> by tak mohla byť krytá úvermi od bánk, pričom portfólio úverov </w:t>
      </w:r>
      <w:r w:rsidRPr="002043AA">
        <w:t xml:space="preserve">podnikom by vzrástlo </w:t>
      </w:r>
      <w:r w:rsidR="0068581E">
        <w:t>o 3 %</w:t>
      </w:r>
      <w:r w:rsidRPr="002043AA">
        <w:t xml:space="preserve"> až </w:t>
      </w:r>
      <w:r w:rsidR="0068581E">
        <w:t>5 %</w:t>
      </w:r>
      <w:r w:rsidRPr="002043AA">
        <w:t xml:space="preserve">. Implementáciu </w:t>
      </w:r>
      <w:r>
        <w:t xml:space="preserve">garančných schém však </w:t>
      </w:r>
      <w:r w:rsidR="0068581E">
        <w:t>v </w:t>
      </w:r>
      <w:r>
        <w:t>praxi komplikujú niektoré aspekty, ktoré sa týkajú najmä neistoty krytia rizika</w:t>
      </w:r>
      <w:r w:rsidR="000A7C59">
        <w:t xml:space="preserve"> </w:t>
      </w:r>
      <w:r>
        <w:t>a administratívnej záťaže. Celková výška garancií vyčerpaný</w:t>
      </w:r>
      <w:r w:rsidRPr="00CB44B7">
        <w:t>ch do júla 2020 (13</w:t>
      </w:r>
      <w:r w:rsidR="0068581E">
        <w:t>6 mil. €</w:t>
      </w:r>
      <w:r w:rsidRPr="00CB44B7">
        <w:t xml:space="preserve">) je výrazne nižšia ako odhadnutý objem potreby </w:t>
      </w:r>
      <w:r>
        <w:t xml:space="preserve">dodatočnej likvidity. </w:t>
      </w:r>
      <w:r w:rsidR="000A7C59">
        <w:t>Na druhej strane, samotný tok negarantovaných úverov zo strany bánk je pomerne silný.</w:t>
      </w:r>
    </w:p>
    <w:p w14:paraId="0B5F2AC6" w14:textId="5DC638A1" w:rsidR="00AF657A" w:rsidRDefault="00AF657A" w:rsidP="00906D52">
      <w:pPr>
        <w:pStyle w:val="Textvboxe"/>
      </w:pPr>
      <w:r w:rsidRPr="00635382">
        <w:t xml:space="preserve">Celkovo možno zhrnúť, že prijaté podporné opatrenia by mohli výrazne zmierniť </w:t>
      </w:r>
      <w:r w:rsidR="00BC68A7">
        <w:t>vplyv</w:t>
      </w:r>
      <w:r w:rsidR="00BC68A7" w:rsidRPr="00635382">
        <w:t xml:space="preserve"> </w:t>
      </w:r>
      <w:proofErr w:type="spellStart"/>
      <w:r w:rsidRPr="00635382">
        <w:t>koronakrízy</w:t>
      </w:r>
      <w:proofErr w:type="spellEnd"/>
      <w:r w:rsidRPr="00635382">
        <w:t xml:space="preserve"> na podnikový sektor. Predpokladom však je, že ich využívanie nebude čeliť prekážkam alebo nezáujmu podnikov, resp. bánk.</w:t>
      </w:r>
      <w:r>
        <w:t xml:space="preserve"> Aj </w:t>
      </w:r>
      <w:r w:rsidR="0068581E">
        <w:t>v </w:t>
      </w:r>
      <w:r>
        <w:t xml:space="preserve">prípade ich plného využitia však zostáva prítomné riziko nárastu miery zlyhania podnikových úverov, a to </w:t>
      </w:r>
      <w:r w:rsidR="0068581E">
        <w:t>o </w:t>
      </w:r>
      <w:r>
        <w:t>3,</w:t>
      </w:r>
      <w:r w:rsidR="0068581E">
        <w:t>5 p. b.</w:t>
      </w:r>
      <w:r>
        <w:t xml:space="preserve"> (t. j. </w:t>
      </w:r>
      <w:r w:rsidR="0068581E">
        <w:t>z </w:t>
      </w:r>
      <w:r>
        <w:t>1,</w:t>
      </w:r>
      <w:r w:rsidR="0068581E">
        <w:t>2 %</w:t>
      </w:r>
      <w:r>
        <w:t xml:space="preserve"> na konci roka 2019 na 4,</w:t>
      </w:r>
      <w:r w:rsidR="0068581E">
        <w:t>7 %</w:t>
      </w:r>
      <w:r>
        <w:t xml:space="preserve">). Pre banky to znamená dodatočný nárast opravných položiek </w:t>
      </w:r>
      <w:r w:rsidR="0068581E">
        <w:t>o </w:t>
      </w:r>
      <w:r>
        <w:t>cca 31</w:t>
      </w:r>
      <w:r w:rsidR="0068581E">
        <w:t>0 mil. €</w:t>
      </w:r>
      <w:r>
        <w:t>, čo je asi 4</w:t>
      </w:r>
      <w:r w:rsidR="0068581E">
        <w:t>0 %</w:t>
      </w:r>
      <w:r>
        <w:t xml:space="preserve"> hrubého zisku </w:t>
      </w:r>
      <w:r w:rsidR="006E7D3B">
        <w:t>za rok</w:t>
      </w:r>
      <w:r>
        <w:t xml:space="preserve"> 2019. </w:t>
      </w:r>
    </w:p>
    <w:p w14:paraId="3A025314" w14:textId="6B525D9B" w:rsidR="009F53B1" w:rsidRDefault="009F53B1" w:rsidP="00EC2B89">
      <w:pPr>
        <w:pStyle w:val="Modrnadpis"/>
      </w:pPr>
      <w:r>
        <w:lastRenderedPageBreak/>
        <w:t>Opatrenia prijaté na zmiernenie následkov COVID</w:t>
      </w:r>
      <w:r w:rsidR="00EC2B89">
        <w:noBreakHyphen/>
      </w:r>
      <w:r>
        <w:t>19</w:t>
      </w:r>
    </w:p>
    <w:p w14:paraId="0639F34C" w14:textId="0A4931D2" w:rsidR="009F53B1" w:rsidRDefault="009F53B1" w:rsidP="00BC5452">
      <w:r w:rsidRPr="00BC5452">
        <w:rPr>
          <w:b/>
          <w:bCs/>
        </w:rPr>
        <w:t>Krajiny na zmiernenie následkov pandémie COVID-19 a opätovné naštartovanie ekonomík a medzinárodného obchodu začali aktivizovať a</w:t>
      </w:r>
      <w:r w:rsidR="00BC68A7">
        <w:rPr>
          <w:b/>
          <w:bCs/>
        </w:rPr>
        <w:t> </w:t>
      </w:r>
      <w:r w:rsidRPr="00BC5452">
        <w:rPr>
          <w:b/>
          <w:bCs/>
        </w:rPr>
        <w:t xml:space="preserve"> prijímať rôzne opatrenia</w:t>
      </w:r>
      <w:r w:rsidR="000A7C59">
        <w:rPr>
          <w:rStyle w:val="FootnoteReference"/>
          <w:b/>
          <w:bCs/>
        </w:rPr>
        <w:footnoteReference w:id="19"/>
      </w:r>
      <w:r w:rsidRPr="00BC5452">
        <w:rPr>
          <w:b/>
          <w:bCs/>
        </w:rPr>
        <w:t>.</w:t>
      </w:r>
      <w:r>
        <w:t xml:space="preserve"> Vo všeobecnosti ide </w:t>
      </w:r>
      <w:r w:rsidR="0068581E">
        <w:t>o </w:t>
      </w:r>
      <w:r>
        <w:t>opatrenia na podporu:</w:t>
      </w:r>
    </w:p>
    <w:p w14:paraId="0B9BCDD4" w14:textId="21456664" w:rsidR="00F85202" w:rsidRPr="00F85202" w:rsidRDefault="009F53B1" w:rsidP="00F85202">
      <w:pPr>
        <w:pStyle w:val="ListParagraph"/>
        <w:numPr>
          <w:ilvl w:val="0"/>
          <w:numId w:val="28"/>
        </w:numPr>
        <w:rPr>
          <w:color w:val="000000" w:themeColor="text1"/>
        </w:rPr>
      </w:pPr>
      <w:r w:rsidRPr="00F85202">
        <w:rPr>
          <w:color w:val="000000" w:themeColor="text1"/>
        </w:rPr>
        <w:t xml:space="preserve">likvidity podnikov a domácností (odklady splátok úverov, poskytovanie úverov a garancií </w:t>
      </w:r>
      <w:r w:rsidR="0068581E">
        <w:rPr>
          <w:color w:val="000000" w:themeColor="text1"/>
        </w:rPr>
        <w:t>z </w:t>
      </w:r>
      <w:r w:rsidRPr="00F85202">
        <w:rPr>
          <w:color w:val="000000" w:themeColor="text1"/>
        </w:rPr>
        <w:t xml:space="preserve">verejných zdrojov, úľavy </w:t>
      </w:r>
      <w:r w:rsidR="0068581E">
        <w:rPr>
          <w:color w:val="000000" w:themeColor="text1"/>
        </w:rPr>
        <w:t>v </w:t>
      </w:r>
      <w:r w:rsidRPr="00F85202">
        <w:rPr>
          <w:color w:val="000000" w:themeColor="text1"/>
        </w:rPr>
        <w:t>oblasti daňovo-odvodového zaťaženia)</w:t>
      </w:r>
    </w:p>
    <w:p w14:paraId="07DCF490" w14:textId="7D23B823" w:rsidR="00F85202" w:rsidRPr="00F85202" w:rsidRDefault="009F53B1" w:rsidP="00F85202">
      <w:pPr>
        <w:pStyle w:val="ListParagraph"/>
        <w:numPr>
          <w:ilvl w:val="0"/>
          <w:numId w:val="28"/>
        </w:numPr>
        <w:rPr>
          <w:color w:val="000000" w:themeColor="text1"/>
        </w:rPr>
      </w:pPr>
      <w:r w:rsidRPr="00F85202">
        <w:rPr>
          <w:color w:val="000000" w:themeColor="text1"/>
        </w:rPr>
        <w:t xml:space="preserve">solventnosti podnikov (kapitálové injekcie </w:t>
      </w:r>
      <w:r w:rsidR="0068581E">
        <w:rPr>
          <w:color w:val="000000" w:themeColor="text1"/>
        </w:rPr>
        <w:t>z </w:t>
      </w:r>
      <w:r w:rsidRPr="00F85202">
        <w:rPr>
          <w:color w:val="000000" w:themeColor="text1"/>
        </w:rPr>
        <w:t>verejných zdrojov, dočasná silnejšia ochrana dlžníkov na oddialenie reštrukturalizačno-konkurzných konaní)</w:t>
      </w:r>
    </w:p>
    <w:p w14:paraId="3D357460" w14:textId="77777777" w:rsidR="00F85202" w:rsidRPr="00F85202" w:rsidRDefault="009F53B1" w:rsidP="00F85202">
      <w:pPr>
        <w:pStyle w:val="ListParagraph"/>
        <w:numPr>
          <w:ilvl w:val="0"/>
          <w:numId w:val="28"/>
        </w:numPr>
        <w:rPr>
          <w:color w:val="000000" w:themeColor="text1"/>
        </w:rPr>
      </w:pPr>
      <w:r w:rsidRPr="00F85202">
        <w:rPr>
          <w:color w:val="000000" w:themeColor="text1"/>
        </w:rPr>
        <w:t>exportu (poistenia krátkodobých vývozných úverov) a</w:t>
      </w:r>
    </w:p>
    <w:p w14:paraId="372F2576" w14:textId="7AA03125" w:rsidR="009F53B1" w:rsidRDefault="009F53B1" w:rsidP="00F85202">
      <w:pPr>
        <w:pStyle w:val="ListParagraph"/>
        <w:numPr>
          <w:ilvl w:val="0"/>
          <w:numId w:val="28"/>
        </w:numPr>
      </w:pPr>
      <w:r w:rsidRPr="00F85202">
        <w:rPr>
          <w:color w:val="000000" w:themeColor="text1"/>
        </w:rPr>
        <w:t xml:space="preserve">politiky zamestnanosti (kompenzácia pre podniky </w:t>
      </w:r>
      <w:r w:rsidR="0068581E">
        <w:rPr>
          <w:color w:val="000000" w:themeColor="text1"/>
        </w:rPr>
        <w:t>s </w:t>
      </w:r>
      <w:r w:rsidRPr="00F85202">
        <w:rPr>
          <w:color w:val="000000" w:themeColor="text1"/>
        </w:rPr>
        <w:t xml:space="preserve">povinne zatvorenou prevádzkou, príspevky kompenzujúce pokles tržieb, príspevky na </w:t>
      </w:r>
      <w:r>
        <w:t>udržanie pracovných miest).</w:t>
      </w:r>
    </w:p>
    <w:p w14:paraId="26BCE4BA" w14:textId="0B059530" w:rsidR="009F53B1" w:rsidRPr="005355C7" w:rsidRDefault="009F53B1" w:rsidP="00BC5452">
      <w:r w:rsidRPr="00BC5452">
        <w:rPr>
          <w:b/>
          <w:bCs/>
        </w:rPr>
        <w:t>Slovensko nie je výnimkou vo využívaní podporných nástrojov.</w:t>
      </w:r>
      <w:r>
        <w:t xml:space="preserve"> </w:t>
      </w:r>
      <w:r w:rsidR="0068581E">
        <w:t>K </w:t>
      </w:r>
      <w:r>
        <w:t>opatreniam, ktoré sú zatiaľ považované za najúčinnejšie</w:t>
      </w:r>
      <w:r w:rsidR="00EF37C1">
        <w:t>,</w:t>
      </w:r>
      <w:r>
        <w:t xml:space="preserve"> patria odklady splátok úverov podnikov a domácností a opatrenia na podporu </w:t>
      </w:r>
      <w:r w:rsidR="00673048">
        <w:t xml:space="preserve">udržania </w:t>
      </w:r>
      <w:r>
        <w:t xml:space="preserve">zamestnanosti. Na druhej strane, aj </w:t>
      </w:r>
      <w:r w:rsidR="0068581E">
        <w:t>z </w:t>
      </w:r>
      <w:r>
        <w:t xml:space="preserve">dôvodu dlhších príprav a istých definičných nezrovnalostí, vládne garančné schémy nabiehajú len postupne. </w:t>
      </w:r>
    </w:p>
    <w:p w14:paraId="7E966B99" w14:textId="56528CE3" w:rsidR="009F53B1" w:rsidRPr="00AA5061" w:rsidRDefault="009F53B1" w:rsidP="00125E19">
      <w:pPr>
        <w:pStyle w:val="Modrnadpis"/>
      </w:pPr>
      <w:r w:rsidRPr="00AA5061">
        <w:t xml:space="preserve">Odklady </w:t>
      </w:r>
      <w:r w:rsidRPr="00125E19">
        <w:t>splátok</w:t>
      </w:r>
      <w:r w:rsidRPr="00AA5061">
        <w:t xml:space="preserve"> úverov sú efekt</w:t>
      </w:r>
      <w:r w:rsidR="00902946">
        <w:t>ívnym nástrojom podpory likvidity podnikového sektora</w:t>
      </w:r>
    </w:p>
    <w:p w14:paraId="6BAACB5C" w14:textId="6D9D3BB3" w:rsidR="009F53B1" w:rsidRDefault="009F53B1" w:rsidP="00AA5061">
      <w:pPr>
        <w:rPr>
          <w:bCs/>
        </w:rPr>
      </w:pPr>
      <w:r>
        <w:rPr>
          <w:b/>
        </w:rPr>
        <w:t>Ku koncu júla bol odklad splátok schválený pr</w:t>
      </w:r>
      <w:r w:rsidR="00673048">
        <w:rPr>
          <w:b/>
        </w:rPr>
        <w:t>e</w:t>
      </w:r>
      <w:r>
        <w:rPr>
          <w:b/>
        </w:rPr>
        <w:t xml:space="preserve"> 1</w:t>
      </w:r>
      <w:r w:rsidR="0068581E">
        <w:rPr>
          <w:b/>
        </w:rPr>
        <w:t>2 %</w:t>
      </w:r>
      <w:r>
        <w:rPr>
          <w:b/>
        </w:rPr>
        <w:t xml:space="preserve"> podnikových úverov. </w:t>
      </w:r>
      <w:r>
        <w:rPr>
          <w:bCs/>
        </w:rPr>
        <w:t xml:space="preserve">Keďže </w:t>
      </w:r>
      <w:r w:rsidR="0068581E">
        <w:rPr>
          <w:bCs/>
        </w:rPr>
        <w:t>o </w:t>
      </w:r>
      <w:r>
        <w:rPr>
          <w:bCs/>
        </w:rPr>
        <w:t xml:space="preserve">odklad splátky je možné požiadať len pri vybraných typoch úverových nástrojov, je užitočné sa pozrieť na zastúpenie podnikov, ktoré majú aspoň jeden úver </w:t>
      </w:r>
      <w:r w:rsidR="0068581E">
        <w:rPr>
          <w:bCs/>
        </w:rPr>
        <w:t>s </w:t>
      </w:r>
      <w:r>
        <w:rPr>
          <w:bCs/>
        </w:rPr>
        <w:t>odkladom splátok. Všetky úvery takýmto podnikom predstavujú takmer 1</w:t>
      </w:r>
      <w:r w:rsidR="0068581E">
        <w:rPr>
          <w:bCs/>
        </w:rPr>
        <w:t>9 %</w:t>
      </w:r>
      <w:r>
        <w:rPr>
          <w:bCs/>
        </w:rPr>
        <w:t xml:space="preserve"> podnikových úverov. Najviac využívali odklad splátok </w:t>
      </w:r>
      <w:proofErr w:type="spellStart"/>
      <w:r>
        <w:rPr>
          <w:bCs/>
        </w:rPr>
        <w:t>mikropodniky</w:t>
      </w:r>
      <w:proofErr w:type="spellEnd"/>
      <w:r w:rsidR="00CE3ADB">
        <w:rPr>
          <w:bCs/>
        </w:rPr>
        <w:t xml:space="preserve"> a</w:t>
      </w:r>
      <w:r>
        <w:rPr>
          <w:bCs/>
        </w:rPr>
        <w:t xml:space="preserve"> malé a stredné podniky </w:t>
      </w:r>
      <w:r w:rsidR="0068581E">
        <w:rPr>
          <w:bCs/>
        </w:rPr>
        <w:t>s </w:t>
      </w:r>
      <w:r>
        <w:rPr>
          <w:bCs/>
        </w:rPr>
        <w:t xml:space="preserve">podielom úverov </w:t>
      </w:r>
      <w:r w:rsidR="0068581E">
        <w:rPr>
          <w:bCs/>
        </w:rPr>
        <w:t>s </w:t>
      </w:r>
      <w:r>
        <w:rPr>
          <w:bCs/>
        </w:rPr>
        <w:t xml:space="preserve">odloženou splátkou </w:t>
      </w:r>
      <w:r w:rsidR="0068581E">
        <w:rPr>
          <w:bCs/>
        </w:rPr>
        <w:t>v </w:t>
      </w:r>
      <w:r>
        <w:rPr>
          <w:bCs/>
        </w:rPr>
        <w:t>rozmedzí 13,</w:t>
      </w:r>
      <w:r w:rsidR="0068581E">
        <w:rPr>
          <w:bCs/>
        </w:rPr>
        <w:t>5 %</w:t>
      </w:r>
      <w:r>
        <w:rPr>
          <w:bCs/>
        </w:rPr>
        <w:t xml:space="preserve"> až 15,</w:t>
      </w:r>
      <w:r w:rsidR="0068581E">
        <w:rPr>
          <w:bCs/>
        </w:rPr>
        <w:t>5 %</w:t>
      </w:r>
      <w:r w:rsidRPr="006E7D3B">
        <w:rPr>
          <w:bCs/>
        </w:rPr>
        <w:t xml:space="preserve">. </w:t>
      </w:r>
      <w:r w:rsidRPr="00E376F7">
        <w:rPr>
          <w:bCs/>
        </w:rPr>
        <w:t>Na veľké podniky</w:t>
      </w:r>
      <w:r w:rsidRPr="006E7D3B">
        <w:rPr>
          <w:bCs/>
        </w:rPr>
        <w:t xml:space="preserve"> </w:t>
      </w:r>
      <w:r>
        <w:rPr>
          <w:bCs/>
        </w:rPr>
        <w:t xml:space="preserve">sa odklad splátok </w:t>
      </w:r>
      <w:r w:rsidR="0068581E">
        <w:rPr>
          <w:bCs/>
        </w:rPr>
        <w:t>v </w:t>
      </w:r>
      <w:r>
        <w:rPr>
          <w:bCs/>
        </w:rPr>
        <w:t xml:space="preserve">súlade </w:t>
      </w:r>
      <w:r w:rsidR="0068581E">
        <w:rPr>
          <w:bCs/>
        </w:rPr>
        <w:t>s </w:t>
      </w:r>
      <w:r>
        <w:rPr>
          <w:bCs/>
          <w:i/>
          <w:iCs/>
        </w:rPr>
        <w:t>l</w:t>
      </w:r>
      <w:r w:rsidRPr="00625555">
        <w:rPr>
          <w:bCs/>
          <w:i/>
          <w:iCs/>
        </w:rPr>
        <w:t xml:space="preserve">ex </w:t>
      </w:r>
      <w:proofErr w:type="spellStart"/>
      <w:r>
        <w:rPr>
          <w:bCs/>
          <w:i/>
          <w:iCs/>
        </w:rPr>
        <w:t>k</w:t>
      </w:r>
      <w:r w:rsidRPr="00625555">
        <w:rPr>
          <w:bCs/>
          <w:i/>
          <w:iCs/>
        </w:rPr>
        <w:t>orona</w:t>
      </w:r>
      <w:proofErr w:type="spellEnd"/>
      <w:r>
        <w:rPr>
          <w:bCs/>
        </w:rPr>
        <w:t xml:space="preserve"> nevzťahoval</w:t>
      </w:r>
      <w:r w:rsidR="001A0DE1">
        <w:rPr>
          <w:bCs/>
        </w:rPr>
        <w:t>. Na druhej strane</w:t>
      </w:r>
      <w:r w:rsidR="00CE3ADB">
        <w:rPr>
          <w:bCs/>
        </w:rPr>
        <w:t xml:space="preserve"> </w:t>
      </w:r>
      <w:r>
        <w:rPr>
          <w:bCs/>
        </w:rPr>
        <w:t>6,</w:t>
      </w:r>
      <w:r w:rsidR="0068581E">
        <w:rPr>
          <w:bCs/>
        </w:rPr>
        <w:t>6 %</w:t>
      </w:r>
      <w:r>
        <w:rPr>
          <w:bCs/>
        </w:rPr>
        <w:t xml:space="preserve"> podiel úverov </w:t>
      </w:r>
      <w:r w:rsidR="0068581E">
        <w:rPr>
          <w:bCs/>
        </w:rPr>
        <w:t>s </w:t>
      </w:r>
      <w:r>
        <w:rPr>
          <w:bCs/>
        </w:rPr>
        <w:t>odloženou splátkou reprezentuje výlučne individuálne dojednanie odkladu splátky medzi bank</w:t>
      </w:r>
      <w:r w:rsidR="001A0DE1">
        <w:rPr>
          <w:bCs/>
        </w:rPr>
        <w:t>ami</w:t>
      </w:r>
      <w:r>
        <w:rPr>
          <w:bCs/>
        </w:rPr>
        <w:t xml:space="preserve"> a</w:t>
      </w:r>
      <w:r w:rsidR="001A0DE1">
        <w:rPr>
          <w:bCs/>
        </w:rPr>
        <w:t xml:space="preserve"> veľkými</w:t>
      </w:r>
      <w:r>
        <w:rPr>
          <w:bCs/>
        </w:rPr>
        <w:t> podnikm</w:t>
      </w:r>
      <w:r w:rsidR="001A0DE1">
        <w:rPr>
          <w:bCs/>
        </w:rPr>
        <w:t>i</w:t>
      </w:r>
      <w:r>
        <w:rPr>
          <w:bCs/>
        </w:rPr>
        <w:t>.</w:t>
      </w:r>
    </w:p>
    <w:p w14:paraId="12486F27" w14:textId="40EB5993" w:rsidR="009F53B1" w:rsidRDefault="009F53B1" w:rsidP="009F53B1">
      <w:pPr>
        <w:rPr>
          <w:bCs/>
        </w:rPr>
      </w:pPr>
      <w:r w:rsidRPr="00260240">
        <w:rPr>
          <w:b/>
        </w:rPr>
        <w:t xml:space="preserve">Odklad splátok </w:t>
      </w:r>
      <w:r w:rsidR="0068581E">
        <w:rPr>
          <w:b/>
        </w:rPr>
        <w:t>v </w:t>
      </w:r>
      <w:r w:rsidRPr="00260240">
        <w:rPr>
          <w:b/>
        </w:rPr>
        <w:t xml:space="preserve">najväčšej miere využili podniky </w:t>
      </w:r>
      <w:r w:rsidR="0068581E">
        <w:rPr>
          <w:b/>
        </w:rPr>
        <w:t>z </w:t>
      </w:r>
      <w:r w:rsidRPr="00260240">
        <w:rPr>
          <w:b/>
        </w:rPr>
        <w:t>najviac postihnutých ekonomických odvetví.</w:t>
      </w:r>
      <w:r>
        <w:rPr>
          <w:bCs/>
        </w:rPr>
        <w:t xml:space="preserve"> Pri viac ako polovici úverov </w:t>
      </w:r>
      <w:r w:rsidR="0068581E">
        <w:rPr>
          <w:bCs/>
        </w:rPr>
        <w:t>v </w:t>
      </w:r>
      <w:r>
        <w:rPr>
          <w:bCs/>
        </w:rPr>
        <w:t xml:space="preserve">odvetví ubytovacích a stravovacích služieb bol schválený odklad splátok. </w:t>
      </w:r>
      <w:r w:rsidR="0068581E">
        <w:rPr>
          <w:bCs/>
        </w:rPr>
        <w:t>V </w:t>
      </w:r>
      <w:r>
        <w:rPr>
          <w:bCs/>
        </w:rPr>
        <w:t xml:space="preserve">prípade umenia, zábavy a rekreácie to bola takmer jedna tretina. </w:t>
      </w:r>
      <w:r w:rsidR="0068581E">
        <w:rPr>
          <w:bCs/>
        </w:rPr>
        <w:t>Z </w:t>
      </w:r>
      <w:r>
        <w:rPr>
          <w:bCs/>
        </w:rPr>
        <w:t xml:space="preserve">tohto pohľadu sa teda jednalo </w:t>
      </w:r>
      <w:r w:rsidR="0068581E">
        <w:rPr>
          <w:bCs/>
        </w:rPr>
        <w:t>o </w:t>
      </w:r>
      <w:r>
        <w:rPr>
          <w:bCs/>
        </w:rPr>
        <w:t xml:space="preserve">účinné opatrenie proti okamžitým následkom krízy. </w:t>
      </w:r>
      <w:r w:rsidR="0068581E">
        <w:rPr>
          <w:bCs/>
        </w:rPr>
        <w:t>Z </w:t>
      </w:r>
      <w:r>
        <w:rPr>
          <w:bCs/>
        </w:rPr>
        <w:t xml:space="preserve">pohľadu celkového podnikového portfólia však tieto odvetvia nie sú významné. </w:t>
      </w:r>
      <w:r w:rsidR="0068581E">
        <w:rPr>
          <w:bCs/>
        </w:rPr>
        <w:t>Z </w:t>
      </w:r>
      <w:r>
        <w:rPr>
          <w:bCs/>
        </w:rPr>
        <w:t xml:space="preserve">hlavných odvetví boli odklady </w:t>
      </w:r>
      <w:r>
        <w:rPr>
          <w:bCs/>
        </w:rPr>
        <w:lastRenderedPageBreak/>
        <w:t xml:space="preserve">splátok vo výraznej miere využívané </w:t>
      </w:r>
      <w:r w:rsidR="0068581E">
        <w:rPr>
          <w:bCs/>
        </w:rPr>
        <w:t>v </w:t>
      </w:r>
      <w:r>
        <w:rPr>
          <w:bCs/>
        </w:rPr>
        <w:t xml:space="preserve">prípade priemyslu a činnosti </w:t>
      </w:r>
      <w:r w:rsidR="0068581E">
        <w:rPr>
          <w:bCs/>
        </w:rPr>
        <w:t>v </w:t>
      </w:r>
      <w:r>
        <w:rPr>
          <w:bCs/>
        </w:rPr>
        <w:t xml:space="preserve">oblasti nehnuteľností. Tieto dve odvetvia tvorili viac ako polovicu všetkých úverov </w:t>
      </w:r>
      <w:r w:rsidR="0068581E">
        <w:rPr>
          <w:bCs/>
        </w:rPr>
        <w:t>s </w:t>
      </w:r>
      <w:r>
        <w:rPr>
          <w:bCs/>
        </w:rPr>
        <w:t>odkladom splátok.</w:t>
      </w:r>
    </w:p>
    <w:tbl>
      <w:tblPr>
        <w:tblW w:w="7042" w:type="dxa"/>
        <w:tblCellMar>
          <w:left w:w="70" w:type="dxa"/>
          <w:right w:w="70" w:type="dxa"/>
        </w:tblCellMar>
        <w:tblLook w:val="04A0" w:firstRow="1" w:lastRow="0" w:firstColumn="1" w:lastColumn="0" w:noHBand="0" w:noVBand="1"/>
      </w:tblPr>
      <w:tblGrid>
        <w:gridCol w:w="2705"/>
        <w:gridCol w:w="1251"/>
        <w:gridCol w:w="1040"/>
        <w:gridCol w:w="1040"/>
        <w:gridCol w:w="1028"/>
      </w:tblGrid>
      <w:tr w:rsidR="009F53B1" w:rsidRPr="00033F17" w14:paraId="57842F8B" w14:textId="77777777" w:rsidTr="003D53B7">
        <w:trPr>
          <w:trHeight w:val="535"/>
        </w:trPr>
        <w:tc>
          <w:tcPr>
            <w:tcW w:w="7042" w:type="dxa"/>
            <w:gridSpan w:val="5"/>
            <w:tcBorders>
              <w:top w:val="single" w:sz="12" w:space="0" w:color="0067AC"/>
              <w:left w:val="single" w:sz="12" w:space="0" w:color="0067AC"/>
              <w:bottom w:val="nil"/>
              <w:right w:val="nil"/>
            </w:tcBorders>
            <w:shd w:val="clear" w:color="000000" w:fill="0067AC"/>
            <w:vAlign w:val="center"/>
            <w:hideMark/>
          </w:tcPr>
          <w:p w14:paraId="7FDCDFD7" w14:textId="552D6AAF" w:rsidR="009F53B1" w:rsidRPr="00D215FD" w:rsidRDefault="00BC5452" w:rsidP="003D53B7">
            <w:pPr>
              <w:keepNext/>
              <w:keepLines/>
              <w:spacing w:before="0" w:after="0" w:line="240" w:lineRule="auto"/>
              <w:jc w:val="center"/>
              <w:rPr>
                <w:rFonts w:ascii="Verdana" w:eastAsia="Times New Roman" w:hAnsi="Verdana" w:cs="Calibri"/>
                <w:b/>
                <w:bCs/>
                <w:color w:val="FFFFFF"/>
                <w:sz w:val="20"/>
                <w:lang w:eastAsia="sk-SK"/>
              </w:rPr>
            </w:pPr>
            <w:r w:rsidRPr="00BC5452">
              <w:rPr>
                <w:rFonts w:ascii="Verdana" w:eastAsia="Times New Roman" w:hAnsi="Verdana" w:cs="Calibri"/>
                <w:b/>
                <w:bCs/>
                <w:color w:val="FFFFFF"/>
                <w:sz w:val="20"/>
                <w:lang w:eastAsia="sk-SK"/>
              </w:rPr>
              <w:t xml:space="preserve">Tabuľka </w:t>
            </w:r>
            <w:r w:rsidRPr="00BC5452">
              <w:rPr>
                <w:rFonts w:ascii="Verdana" w:eastAsia="Times New Roman" w:hAnsi="Verdana" w:cs="Calibri"/>
                <w:b/>
                <w:bCs/>
                <w:color w:val="FFFFFF"/>
                <w:sz w:val="20"/>
                <w:lang w:eastAsia="sk-SK"/>
              </w:rPr>
              <w:fldChar w:fldCharType="begin"/>
            </w:r>
            <w:r w:rsidRPr="00BC5452">
              <w:rPr>
                <w:rFonts w:ascii="Verdana" w:eastAsia="Times New Roman" w:hAnsi="Verdana" w:cs="Calibri"/>
                <w:b/>
                <w:bCs/>
                <w:color w:val="FFFFFF"/>
                <w:sz w:val="20"/>
                <w:lang w:eastAsia="sk-SK"/>
              </w:rPr>
              <w:instrText xml:space="preserve"> SEQ Tabuľka \* ARABIC </w:instrText>
            </w:r>
            <w:r w:rsidRPr="00BC5452">
              <w:rPr>
                <w:rFonts w:ascii="Verdana" w:eastAsia="Times New Roman" w:hAnsi="Verdana" w:cs="Calibri"/>
                <w:b/>
                <w:bCs/>
                <w:color w:val="FFFFFF"/>
                <w:sz w:val="20"/>
                <w:lang w:eastAsia="sk-SK"/>
              </w:rPr>
              <w:fldChar w:fldCharType="separate"/>
            </w:r>
            <w:r w:rsidR="00A02A40">
              <w:rPr>
                <w:rFonts w:ascii="Verdana" w:eastAsia="Times New Roman" w:hAnsi="Verdana" w:cs="Calibri"/>
                <w:b/>
                <w:bCs/>
                <w:noProof/>
                <w:color w:val="FFFFFF"/>
                <w:sz w:val="20"/>
                <w:lang w:eastAsia="sk-SK"/>
              </w:rPr>
              <w:t>5</w:t>
            </w:r>
            <w:r w:rsidRPr="00BC5452">
              <w:rPr>
                <w:rFonts w:ascii="Verdana" w:eastAsia="Times New Roman" w:hAnsi="Verdana" w:cs="Calibri"/>
                <w:b/>
                <w:bCs/>
                <w:color w:val="FFFFFF"/>
                <w:sz w:val="20"/>
                <w:lang w:eastAsia="sk-SK"/>
              </w:rPr>
              <w:fldChar w:fldCharType="end"/>
            </w:r>
            <w:r w:rsidR="009F53B1" w:rsidRPr="00D215FD">
              <w:rPr>
                <w:rFonts w:ascii="Verdana" w:eastAsia="Times New Roman" w:hAnsi="Verdana" w:cs="Calibri"/>
                <w:b/>
                <w:bCs/>
                <w:color w:val="FFFFFF"/>
                <w:sz w:val="20"/>
                <w:lang w:eastAsia="sk-SK"/>
              </w:rPr>
              <w:t xml:space="preserve"> Najvyššie zastúpenie úverov </w:t>
            </w:r>
            <w:r w:rsidR="0068581E">
              <w:rPr>
                <w:rFonts w:ascii="Verdana" w:eastAsia="Times New Roman" w:hAnsi="Verdana" w:cs="Calibri"/>
                <w:b/>
                <w:bCs/>
                <w:color w:val="FFFFFF"/>
                <w:sz w:val="20"/>
                <w:lang w:eastAsia="sk-SK"/>
              </w:rPr>
              <w:t>s </w:t>
            </w:r>
            <w:r w:rsidR="009F53B1" w:rsidRPr="00D215FD">
              <w:rPr>
                <w:rFonts w:ascii="Verdana" w:eastAsia="Times New Roman" w:hAnsi="Verdana" w:cs="Calibri"/>
                <w:b/>
                <w:bCs/>
                <w:color w:val="FFFFFF"/>
                <w:sz w:val="20"/>
                <w:lang w:eastAsia="sk-SK"/>
              </w:rPr>
              <w:t xml:space="preserve">odloženou splátkou je </w:t>
            </w:r>
            <w:r w:rsidR="0068581E">
              <w:rPr>
                <w:rFonts w:ascii="Verdana" w:eastAsia="Times New Roman" w:hAnsi="Verdana" w:cs="Calibri"/>
                <w:b/>
                <w:bCs/>
                <w:color w:val="FFFFFF"/>
                <w:sz w:val="20"/>
                <w:lang w:eastAsia="sk-SK"/>
              </w:rPr>
              <w:t>v </w:t>
            </w:r>
            <w:r w:rsidR="009F53B1" w:rsidRPr="00D215FD">
              <w:rPr>
                <w:rFonts w:ascii="Verdana" w:eastAsia="Times New Roman" w:hAnsi="Verdana" w:cs="Calibri"/>
                <w:b/>
                <w:bCs/>
                <w:color w:val="FFFFFF"/>
                <w:sz w:val="20"/>
                <w:lang w:eastAsia="sk-SK"/>
              </w:rPr>
              <w:t>prípade veľmi citlivých odvetví</w:t>
            </w:r>
          </w:p>
        </w:tc>
      </w:tr>
      <w:tr w:rsidR="009F53B1" w:rsidRPr="00033F17" w14:paraId="010AB087" w14:textId="77777777" w:rsidTr="009F53B1">
        <w:trPr>
          <w:trHeight w:val="914"/>
        </w:trPr>
        <w:tc>
          <w:tcPr>
            <w:tcW w:w="2705" w:type="dxa"/>
            <w:tcBorders>
              <w:top w:val="single" w:sz="12" w:space="0" w:color="0067AC"/>
              <w:left w:val="single" w:sz="12" w:space="0" w:color="0067AC"/>
              <w:bottom w:val="single" w:sz="12" w:space="0" w:color="0067AC"/>
              <w:right w:val="single" w:sz="12" w:space="0" w:color="0067AC"/>
            </w:tcBorders>
            <w:shd w:val="clear" w:color="auto" w:fill="auto"/>
            <w:noWrap/>
            <w:vAlign w:val="center"/>
            <w:hideMark/>
          </w:tcPr>
          <w:p w14:paraId="0520CBD4" w14:textId="77777777" w:rsidR="009F53B1" w:rsidRPr="00033F17" w:rsidRDefault="009F53B1" w:rsidP="003D53B7">
            <w:pPr>
              <w:keepNext/>
              <w:keepLines/>
              <w:spacing w:before="0" w:after="0" w:line="240" w:lineRule="auto"/>
              <w:jc w:val="center"/>
              <w:rPr>
                <w:rFonts w:eastAsia="Times New Roman" w:cs="Calibri"/>
                <w:color w:val="0067AC"/>
                <w:sz w:val="18"/>
                <w:szCs w:val="18"/>
                <w:lang w:eastAsia="sk-SK"/>
              </w:rPr>
            </w:pPr>
            <w:r w:rsidRPr="00033F17">
              <w:rPr>
                <w:rFonts w:eastAsia="Times New Roman" w:cs="Calibri"/>
                <w:color w:val="0067AC"/>
                <w:sz w:val="18"/>
                <w:szCs w:val="18"/>
                <w:lang w:eastAsia="sk-SK"/>
              </w:rPr>
              <w:t>Ekonomické odvetvie</w:t>
            </w:r>
          </w:p>
        </w:tc>
        <w:tc>
          <w:tcPr>
            <w:tcW w:w="1251" w:type="dxa"/>
            <w:tcBorders>
              <w:top w:val="single" w:sz="12" w:space="0" w:color="0067AC"/>
              <w:left w:val="nil"/>
              <w:bottom w:val="single" w:sz="12" w:space="0" w:color="0067AC"/>
              <w:right w:val="single" w:sz="12" w:space="0" w:color="0067AC"/>
            </w:tcBorders>
            <w:shd w:val="clear" w:color="auto" w:fill="auto"/>
            <w:vAlign w:val="center"/>
            <w:hideMark/>
          </w:tcPr>
          <w:p w14:paraId="56383FCF" w14:textId="42975C8E" w:rsidR="009F53B1" w:rsidRPr="00033F17" w:rsidRDefault="009F53B1" w:rsidP="003D53B7">
            <w:pPr>
              <w:keepNext/>
              <w:keepLines/>
              <w:spacing w:before="0" w:after="0" w:line="240" w:lineRule="auto"/>
              <w:jc w:val="center"/>
              <w:rPr>
                <w:rFonts w:eastAsia="Times New Roman" w:cs="Calibri"/>
                <w:color w:val="0067AC"/>
                <w:sz w:val="18"/>
                <w:szCs w:val="18"/>
                <w:lang w:eastAsia="sk-SK"/>
              </w:rPr>
            </w:pPr>
            <w:r w:rsidRPr="00033F17">
              <w:rPr>
                <w:rFonts w:eastAsia="Times New Roman" w:cs="Calibri"/>
                <w:color w:val="0067AC"/>
                <w:sz w:val="18"/>
                <w:szCs w:val="18"/>
                <w:lang w:eastAsia="sk-SK"/>
              </w:rPr>
              <w:t>Citlivosť odvetvia</w:t>
            </w:r>
            <w:r w:rsidR="00326561">
              <w:rPr>
                <w:rFonts w:eastAsia="Times New Roman" w:cs="Calibri"/>
                <w:color w:val="0067AC"/>
                <w:sz w:val="18"/>
                <w:szCs w:val="18"/>
                <w:lang w:eastAsia="sk-SK"/>
              </w:rPr>
              <w:t xml:space="preserve"> na </w:t>
            </w:r>
            <w:proofErr w:type="spellStart"/>
            <w:r w:rsidR="00326561">
              <w:rPr>
                <w:rFonts w:eastAsia="Times New Roman" w:cs="Calibri"/>
                <w:color w:val="0067AC"/>
                <w:sz w:val="18"/>
                <w:szCs w:val="18"/>
                <w:lang w:eastAsia="sk-SK"/>
              </w:rPr>
              <w:t>koronakrízu</w:t>
            </w:r>
            <w:proofErr w:type="spellEnd"/>
          </w:p>
        </w:tc>
        <w:tc>
          <w:tcPr>
            <w:tcW w:w="1028" w:type="dxa"/>
            <w:tcBorders>
              <w:top w:val="nil"/>
              <w:left w:val="nil"/>
              <w:bottom w:val="single" w:sz="12" w:space="0" w:color="0067AC"/>
              <w:right w:val="single" w:sz="12" w:space="0" w:color="0067AC"/>
            </w:tcBorders>
            <w:shd w:val="clear" w:color="auto" w:fill="auto"/>
            <w:vAlign w:val="center"/>
            <w:hideMark/>
          </w:tcPr>
          <w:p w14:paraId="46F4C017" w14:textId="5D8560BD" w:rsidR="009F53B1" w:rsidRPr="00033F17" w:rsidRDefault="009F53B1" w:rsidP="003D53B7">
            <w:pPr>
              <w:keepNext/>
              <w:keepLines/>
              <w:spacing w:before="0" w:after="0" w:line="240" w:lineRule="auto"/>
              <w:jc w:val="center"/>
              <w:rPr>
                <w:rFonts w:eastAsia="Times New Roman" w:cs="Calibri"/>
                <w:color w:val="0067AC"/>
                <w:sz w:val="18"/>
                <w:szCs w:val="18"/>
                <w:lang w:eastAsia="sk-SK"/>
              </w:rPr>
            </w:pPr>
            <w:r w:rsidRPr="00033F17">
              <w:rPr>
                <w:rFonts w:eastAsia="Times New Roman" w:cs="Calibri"/>
                <w:color w:val="0067AC"/>
                <w:sz w:val="18"/>
                <w:szCs w:val="18"/>
                <w:lang w:eastAsia="sk-SK"/>
              </w:rPr>
              <w:t xml:space="preserve">Podiel úverov </w:t>
            </w:r>
            <w:r w:rsidR="0068581E">
              <w:rPr>
                <w:rFonts w:eastAsia="Times New Roman" w:cs="Calibri"/>
                <w:color w:val="0067AC"/>
                <w:sz w:val="18"/>
                <w:szCs w:val="18"/>
                <w:lang w:eastAsia="sk-SK"/>
              </w:rPr>
              <w:t>s </w:t>
            </w:r>
            <w:r w:rsidRPr="00033F17">
              <w:rPr>
                <w:rFonts w:eastAsia="Times New Roman" w:cs="Calibri"/>
                <w:color w:val="0067AC"/>
                <w:sz w:val="18"/>
                <w:szCs w:val="18"/>
                <w:lang w:eastAsia="sk-SK"/>
              </w:rPr>
              <w:t>odloženou splátkou</w:t>
            </w:r>
          </w:p>
        </w:tc>
        <w:tc>
          <w:tcPr>
            <w:tcW w:w="1028" w:type="dxa"/>
            <w:tcBorders>
              <w:top w:val="nil"/>
              <w:left w:val="nil"/>
              <w:bottom w:val="single" w:sz="12" w:space="0" w:color="0067AC"/>
              <w:right w:val="single" w:sz="12" w:space="0" w:color="0067AC"/>
            </w:tcBorders>
            <w:shd w:val="clear" w:color="auto" w:fill="auto"/>
            <w:vAlign w:val="center"/>
            <w:hideMark/>
          </w:tcPr>
          <w:p w14:paraId="367A0EAB" w14:textId="1BED53E6" w:rsidR="009F53B1" w:rsidRPr="00033F17" w:rsidRDefault="009F53B1" w:rsidP="003D53B7">
            <w:pPr>
              <w:keepNext/>
              <w:keepLines/>
              <w:spacing w:before="0" w:after="0" w:line="240" w:lineRule="auto"/>
              <w:jc w:val="center"/>
              <w:rPr>
                <w:rFonts w:eastAsia="Times New Roman" w:cs="Calibri"/>
                <w:color w:val="0067AC"/>
                <w:sz w:val="18"/>
                <w:szCs w:val="18"/>
                <w:lang w:eastAsia="sk-SK"/>
              </w:rPr>
            </w:pPr>
            <w:r w:rsidRPr="00033F17">
              <w:rPr>
                <w:rFonts w:eastAsia="Times New Roman" w:cs="Calibri"/>
                <w:color w:val="0067AC"/>
                <w:sz w:val="18"/>
                <w:szCs w:val="18"/>
                <w:lang w:eastAsia="sk-SK"/>
              </w:rPr>
              <w:t xml:space="preserve">Podiel na úveroch </w:t>
            </w:r>
            <w:r w:rsidR="0068581E">
              <w:rPr>
                <w:rFonts w:eastAsia="Times New Roman" w:cs="Calibri"/>
                <w:color w:val="0067AC"/>
                <w:sz w:val="18"/>
                <w:szCs w:val="18"/>
                <w:lang w:eastAsia="sk-SK"/>
              </w:rPr>
              <w:t>s </w:t>
            </w:r>
            <w:r w:rsidRPr="00033F17">
              <w:rPr>
                <w:rFonts w:eastAsia="Times New Roman" w:cs="Calibri"/>
                <w:color w:val="0067AC"/>
                <w:sz w:val="18"/>
                <w:szCs w:val="18"/>
                <w:lang w:eastAsia="sk-SK"/>
              </w:rPr>
              <w:t>odloženou splátkou</w:t>
            </w:r>
          </w:p>
        </w:tc>
        <w:tc>
          <w:tcPr>
            <w:tcW w:w="1028" w:type="dxa"/>
            <w:tcBorders>
              <w:top w:val="nil"/>
              <w:left w:val="nil"/>
              <w:bottom w:val="single" w:sz="12" w:space="0" w:color="0067AC"/>
              <w:right w:val="single" w:sz="12" w:space="0" w:color="0067AC"/>
            </w:tcBorders>
            <w:shd w:val="clear" w:color="auto" w:fill="auto"/>
            <w:vAlign w:val="center"/>
            <w:hideMark/>
          </w:tcPr>
          <w:p w14:paraId="03918792" w14:textId="77777777" w:rsidR="009F53B1" w:rsidRPr="00033F17" w:rsidRDefault="009F53B1" w:rsidP="003D53B7">
            <w:pPr>
              <w:keepNext/>
              <w:keepLines/>
              <w:spacing w:before="0" w:after="0" w:line="240" w:lineRule="auto"/>
              <w:jc w:val="center"/>
              <w:rPr>
                <w:rFonts w:eastAsia="Times New Roman" w:cs="Calibri"/>
                <w:color w:val="0067AC"/>
                <w:sz w:val="18"/>
                <w:szCs w:val="18"/>
                <w:lang w:eastAsia="sk-SK"/>
              </w:rPr>
            </w:pPr>
            <w:r w:rsidRPr="00033F17">
              <w:rPr>
                <w:rFonts w:eastAsia="Times New Roman" w:cs="Calibri"/>
                <w:color w:val="0067AC"/>
                <w:sz w:val="18"/>
                <w:szCs w:val="18"/>
                <w:lang w:eastAsia="sk-SK"/>
              </w:rPr>
              <w:t>Podiel na celkových úveroch</w:t>
            </w:r>
          </w:p>
        </w:tc>
      </w:tr>
      <w:tr w:rsidR="009F53B1" w:rsidRPr="00033F17" w14:paraId="0BD78B45" w14:textId="77777777" w:rsidTr="009F53B1">
        <w:trPr>
          <w:trHeight w:val="290"/>
        </w:trPr>
        <w:tc>
          <w:tcPr>
            <w:tcW w:w="2705" w:type="dxa"/>
            <w:tcBorders>
              <w:top w:val="nil"/>
              <w:left w:val="single" w:sz="12" w:space="0" w:color="0067AC"/>
              <w:bottom w:val="nil"/>
              <w:right w:val="single" w:sz="12" w:space="0" w:color="0067AC"/>
            </w:tcBorders>
            <w:shd w:val="clear" w:color="000000" w:fill="E6F3EF"/>
            <w:noWrap/>
            <w:vAlign w:val="center"/>
            <w:hideMark/>
          </w:tcPr>
          <w:p w14:paraId="1222DF45"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Umenie, zábava a rekreácia</w:t>
            </w:r>
          </w:p>
        </w:tc>
        <w:tc>
          <w:tcPr>
            <w:tcW w:w="1251" w:type="dxa"/>
            <w:tcBorders>
              <w:top w:val="nil"/>
              <w:left w:val="single" w:sz="12" w:space="0" w:color="0067AC"/>
              <w:bottom w:val="nil"/>
              <w:right w:val="nil"/>
            </w:tcBorders>
            <w:shd w:val="clear" w:color="000000" w:fill="C00000"/>
            <w:noWrap/>
            <w:vAlign w:val="center"/>
            <w:hideMark/>
          </w:tcPr>
          <w:p w14:paraId="5EDC24B2" w14:textId="77777777" w:rsidR="009F53B1" w:rsidRPr="00D215FD" w:rsidRDefault="009F53B1" w:rsidP="003D53B7">
            <w:pPr>
              <w:keepNext/>
              <w:spacing w:before="0" w:after="0" w:line="240" w:lineRule="auto"/>
              <w:rPr>
                <w:rFonts w:eastAsia="Times New Roman" w:cs="Calibri"/>
                <w:color w:val="FFFFFF"/>
                <w:sz w:val="18"/>
                <w:szCs w:val="18"/>
                <w:lang w:eastAsia="sk-SK"/>
              </w:rPr>
            </w:pPr>
            <w:r w:rsidRPr="00D215FD">
              <w:rPr>
                <w:rFonts w:eastAsia="Times New Roman" w:cs="Calibri"/>
                <w:color w:val="FFFFFF"/>
                <w:sz w:val="18"/>
                <w:szCs w:val="18"/>
                <w:lang w:eastAsia="sk-SK"/>
              </w:rPr>
              <w:t>Veľmi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3E78A2B5" w14:textId="5144DDF9"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38,</w:t>
            </w:r>
            <w:r w:rsidR="0068581E">
              <w:rPr>
                <w:rFonts w:eastAsia="Times New Roman" w:cs="Calibri"/>
                <w:color w:val="0070C0"/>
                <w:sz w:val="18"/>
                <w:szCs w:val="18"/>
                <w:lang w:eastAsia="sk-SK"/>
              </w:rPr>
              <w:t>6 %</w:t>
            </w:r>
          </w:p>
        </w:tc>
        <w:tc>
          <w:tcPr>
            <w:tcW w:w="1028" w:type="dxa"/>
            <w:tcBorders>
              <w:top w:val="nil"/>
              <w:left w:val="nil"/>
              <w:bottom w:val="nil"/>
              <w:right w:val="single" w:sz="4" w:space="0" w:color="0067AC"/>
            </w:tcBorders>
            <w:shd w:val="clear" w:color="000000" w:fill="E6F3EF"/>
            <w:noWrap/>
            <w:vAlign w:val="center"/>
            <w:hideMark/>
          </w:tcPr>
          <w:p w14:paraId="3506DA6A" w14:textId="7BB6DC0F"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w:t>
            </w:r>
            <w:r w:rsidR="0068581E">
              <w:rPr>
                <w:rFonts w:eastAsia="Times New Roman" w:cs="Calibri"/>
                <w:color w:val="0070C0"/>
                <w:sz w:val="18"/>
                <w:szCs w:val="18"/>
                <w:lang w:eastAsia="sk-SK"/>
              </w:rPr>
              <w:t>5 %</w:t>
            </w:r>
          </w:p>
        </w:tc>
        <w:tc>
          <w:tcPr>
            <w:tcW w:w="1028" w:type="dxa"/>
            <w:tcBorders>
              <w:top w:val="nil"/>
              <w:left w:val="nil"/>
              <w:bottom w:val="nil"/>
              <w:right w:val="single" w:sz="12" w:space="0" w:color="0067AC"/>
            </w:tcBorders>
            <w:shd w:val="clear" w:color="000000" w:fill="E6F3EF"/>
            <w:noWrap/>
            <w:vAlign w:val="center"/>
            <w:hideMark/>
          </w:tcPr>
          <w:p w14:paraId="62F5D41F" w14:textId="1924A562"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8 %</w:t>
            </w:r>
          </w:p>
        </w:tc>
      </w:tr>
      <w:tr w:rsidR="009F53B1" w:rsidRPr="00033F17" w14:paraId="2ABBC69F" w14:textId="77777777" w:rsidTr="009F53B1">
        <w:trPr>
          <w:trHeight w:val="290"/>
        </w:trPr>
        <w:tc>
          <w:tcPr>
            <w:tcW w:w="2705" w:type="dxa"/>
            <w:tcBorders>
              <w:top w:val="nil"/>
              <w:left w:val="single" w:sz="12" w:space="0" w:color="0067AC"/>
              <w:bottom w:val="nil"/>
              <w:right w:val="single" w:sz="12" w:space="0" w:color="0067AC"/>
            </w:tcBorders>
            <w:shd w:val="clear" w:color="000000" w:fill="FFFFFF"/>
            <w:noWrap/>
            <w:vAlign w:val="center"/>
            <w:hideMark/>
          </w:tcPr>
          <w:p w14:paraId="6706A005"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Ubytovacie a stravovacie služby</w:t>
            </w:r>
          </w:p>
        </w:tc>
        <w:tc>
          <w:tcPr>
            <w:tcW w:w="1251" w:type="dxa"/>
            <w:tcBorders>
              <w:top w:val="nil"/>
              <w:left w:val="single" w:sz="12" w:space="0" w:color="0067AC"/>
              <w:bottom w:val="nil"/>
              <w:right w:val="nil"/>
            </w:tcBorders>
            <w:shd w:val="clear" w:color="000000" w:fill="C00000"/>
            <w:noWrap/>
            <w:vAlign w:val="center"/>
            <w:hideMark/>
          </w:tcPr>
          <w:p w14:paraId="0435C460" w14:textId="77777777" w:rsidR="009F53B1" w:rsidRPr="00D215FD" w:rsidRDefault="009F53B1" w:rsidP="003D53B7">
            <w:pPr>
              <w:keepNext/>
              <w:spacing w:before="0" w:after="0" w:line="240" w:lineRule="auto"/>
              <w:rPr>
                <w:rFonts w:eastAsia="Times New Roman" w:cs="Calibri"/>
                <w:color w:val="FFFFFF"/>
                <w:sz w:val="18"/>
                <w:szCs w:val="18"/>
                <w:lang w:eastAsia="sk-SK"/>
              </w:rPr>
            </w:pPr>
            <w:r w:rsidRPr="00D215FD">
              <w:rPr>
                <w:rFonts w:eastAsia="Times New Roman" w:cs="Calibri"/>
                <w:color w:val="FFFFFF"/>
                <w:sz w:val="18"/>
                <w:szCs w:val="18"/>
                <w:lang w:eastAsia="sk-SK"/>
              </w:rPr>
              <w:t>Veľmi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1DBB4136" w14:textId="633F8A80"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52,</w:t>
            </w:r>
            <w:r w:rsidR="0068581E">
              <w:rPr>
                <w:rFonts w:eastAsia="Times New Roman" w:cs="Calibri"/>
                <w:color w:val="0070C0"/>
                <w:sz w:val="18"/>
                <w:szCs w:val="18"/>
                <w:lang w:eastAsia="sk-SK"/>
              </w:rPr>
              <w:t>4 %</w:t>
            </w:r>
          </w:p>
        </w:tc>
        <w:tc>
          <w:tcPr>
            <w:tcW w:w="1028" w:type="dxa"/>
            <w:tcBorders>
              <w:top w:val="nil"/>
              <w:left w:val="nil"/>
              <w:bottom w:val="nil"/>
              <w:right w:val="single" w:sz="4" w:space="0" w:color="0067AC"/>
            </w:tcBorders>
            <w:shd w:val="clear" w:color="000000" w:fill="FFFFFF"/>
            <w:noWrap/>
            <w:vAlign w:val="center"/>
            <w:hideMark/>
          </w:tcPr>
          <w:p w14:paraId="33C18025" w14:textId="077D860F"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5,</w:t>
            </w:r>
            <w:r w:rsidR="0068581E">
              <w:rPr>
                <w:rFonts w:eastAsia="Times New Roman" w:cs="Calibri"/>
                <w:color w:val="0070C0"/>
                <w:sz w:val="18"/>
                <w:szCs w:val="18"/>
                <w:lang w:eastAsia="sk-SK"/>
              </w:rPr>
              <w:t>4 %</w:t>
            </w:r>
          </w:p>
        </w:tc>
        <w:tc>
          <w:tcPr>
            <w:tcW w:w="1028" w:type="dxa"/>
            <w:tcBorders>
              <w:top w:val="nil"/>
              <w:left w:val="nil"/>
              <w:bottom w:val="nil"/>
              <w:right w:val="single" w:sz="12" w:space="0" w:color="0067AC"/>
            </w:tcBorders>
            <w:shd w:val="clear" w:color="000000" w:fill="FFFFFF"/>
            <w:noWrap/>
            <w:vAlign w:val="center"/>
            <w:hideMark/>
          </w:tcPr>
          <w:p w14:paraId="215DE8E1" w14:textId="70EE4831"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w:t>
            </w:r>
            <w:r w:rsidR="0068581E">
              <w:rPr>
                <w:rFonts w:eastAsia="Times New Roman" w:cs="Calibri"/>
                <w:color w:val="0070C0"/>
                <w:sz w:val="18"/>
                <w:szCs w:val="18"/>
                <w:lang w:eastAsia="sk-SK"/>
              </w:rPr>
              <w:t>2 %</w:t>
            </w:r>
          </w:p>
        </w:tc>
      </w:tr>
      <w:tr w:rsidR="009F53B1" w:rsidRPr="00033F17" w14:paraId="376DC9C4" w14:textId="77777777" w:rsidTr="009F53B1">
        <w:trPr>
          <w:trHeight w:val="290"/>
        </w:trPr>
        <w:tc>
          <w:tcPr>
            <w:tcW w:w="2705" w:type="dxa"/>
            <w:tcBorders>
              <w:top w:val="single" w:sz="12" w:space="0" w:color="000000"/>
              <w:left w:val="single" w:sz="12" w:space="0" w:color="0067AC"/>
              <w:bottom w:val="nil"/>
              <w:right w:val="nil"/>
            </w:tcBorders>
            <w:shd w:val="clear" w:color="000000" w:fill="E6F3EF"/>
            <w:noWrap/>
            <w:vAlign w:val="center"/>
            <w:hideMark/>
          </w:tcPr>
          <w:p w14:paraId="00BF9529"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Dodávka energií</w:t>
            </w:r>
          </w:p>
        </w:tc>
        <w:tc>
          <w:tcPr>
            <w:tcW w:w="1251" w:type="dxa"/>
            <w:tcBorders>
              <w:top w:val="single" w:sz="12" w:space="0" w:color="000000"/>
              <w:left w:val="single" w:sz="12" w:space="0" w:color="0067AC"/>
              <w:bottom w:val="nil"/>
              <w:right w:val="nil"/>
            </w:tcBorders>
            <w:shd w:val="clear" w:color="000000" w:fill="FFC000"/>
            <w:noWrap/>
            <w:vAlign w:val="center"/>
            <w:hideMark/>
          </w:tcPr>
          <w:p w14:paraId="50C9FFBD"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single" w:sz="12" w:space="0" w:color="000000"/>
              <w:left w:val="single" w:sz="12" w:space="0" w:color="0067AC"/>
              <w:bottom w:val="nil"/>
              <w:right w:val="single" w:sz="4" w:space="0" w:color="0067AC"/>
            </w:tcBorders>
            <w:shd w:val="clear" w:color="000000" w:fill="E6F3EF"/>
            <w:noWrap/>
            <w:vAlign w:val="center"/>
            <w:hideMark/>
          </w:tcPr>
          <w:p w14:paraId="7064D830" w14:textId="76B6E890"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6 %</w:t>
            </w:r>
          </w:p>
        </w:tc>
        <w:tc>
          <w:tcPr>
            <w:tcW w:w="1028" w:type="dxa"/>
            <w:tcBorders>
              <w:top w:val="single" w:sz="12" w:space="0" w:color="000000"/>
              <w:left w:val="nil"/>
              <w:bottom w:val="nil"/>
              <w:right w:val="single" w:sz="4" w:space="0" w:color="0067AC"/>
            </w:tcBorders>
            <w:shd w:val="clear" w:color="000000" w:fill="E6F3EF"/>
            <w:noWrap/>
            <w:vAlign w:val="center"/>
            <w:hideMark/>
          </w:tcPr>
          <w:p w14:paraId="67C6AFA2" w14:textId="7A6A3304"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5 %</w:t>
            </w:r>
          </w:p>
        </w:tc>
        <w:tc>
          <w:tcPr>
            <w:tcW w:w="1028" w:type="dxa"/>
            <w:tcBorders>
              <w:top w:val="single" w:sz="12" w:space="0" w:color="000000"/>
              <w:left w:val="nil"/>
              <w:bottom w:val="nil"/>
              <w:right w:val="single" w:sz="12" w:space="0" w:color="0067AC"/>
            </w:tcBorders>
            <w:shd w:val="clear" w:color="000000" w:fill="E6F3EF"/>
            <w:noWrap/>
            <w:vAlign w:val="center"/>
            <w:hideMark/>
          </w:tcPr>
          <w:p w14:paraId="4C4CBFFA" w14:textId="429790F1"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10,</w:t>
            </w:r>
            <w:r w:rsidR="0068581E">
              <w:rPr>
                <w:rFonts w:eastAsia="Times New Roman" w:cs="Calibri"/>
                <w:color w:val="0070C0"/>
                <w:sz w:val="18"/>
                <w:szCs w:val="18"/>
                <w:lang w:eastAsia="sk-SK"/>
              </w:rPr>
              <w:t>2 %</w:t>
            </w:r>
          </w:p>
        </w:tc>
      </w:tr>
      <w:tr w:rsidR="009F53B1" w:rsidRPr="00033F17" w14:paraId="0F3F110F" w14:textId="77777777" w:rsidTr="009F53B1">
        <w:trPr>
          <w:trHeight w:val="276"/>
        </w:trPr>
        <w:tc>
          <w:tcPr>
            <w:tcW w:w="2705" w:type="dxa"/>
            <w:tcBorders>
              <w:top w:val="nil"/>
              <w:left w:val="single" w:sz="12" w:space="0" w:color="0067AC"/>
              <w:bottom w:val="nil"/>
              <w:right w:val="single" w:sz="12" w:space="0" w:color="0067AC"/>
            </w:tcBorders>
            <w:shd w:val="clear" w:color="000000" w:fill="FFFFFF"/>
            <w:noWrap/>
            <w:vAlign w:val="center"/>
            <w:hideMark/>
          </w:tcPr>
          <w:p w14:paraId="09E225EB" w14:textId="7579284A"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Činnosti </w:t>
            </w:r>
            <w:r w:rsidR="0068581E">
              <w:rPr>
                <w:rFonts w:eastAsia="Times New Roman" w:cs="Calibri"/>
                <w:color w:val="0067AC"/>
                <w:sz w:val="18"/>
                <w:szCs w:val="18"/>
                <w:lang w:eastAsia="sk-SK"/>
              </w:rPr>
              <w:t>v </w:t>
            </w:r>
            <w:r w:rsidRPr="00D215FD">
              <w:rPr>
                <w:rFonts w:eastAsia="Times New Roman" w:cs="Calibri"/>
                <w:color w:val="0067AC"/>
                <w:sz w:val="18"/>
                <w:szCs w:val="18"/>
                <w:lang w:eastAsia="sk-SK"/>
              </w:rPr>
              <w:t>oblasti nehnuteľností</w:t>
            </w:r>
          </w:p>
        </w:tc>
        <w:tc>
          <w:tcPr>
            <w:tcW w:w="1251" w:type="dxa"/>
            <w:tcBorders>
              <w:top w:val="nil"/>
              <w:left w:val="single" w:sz="12" w:space="0" w:color="0067AC"/>
              <w:bottom w:val="nil"/>
              <w:right w:val="nil"/>
            </w:tcBorders>
            <w:shd w:val="clear" w:color="000000" w:fill="FFC000"/>
            <w:noWrap/>
            <w:vAlign w:val="center"/>
            <w:hideMark/>
          </w:tcPr>
          <w:p w14:paraId="43D56750"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6CE931B7" w14:textId="05A2803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16,</w:t>
            </w:r>
            <w:r w:rsidR="0068581E">
              <w:rPr>
                <w:rFonts w:eastAsia="Times New Roman" w:cs="Calibri"/>
                <w:color w:val="0070C0"/>
                <w:sz w:val="18"/>
                <w:szCs w:val="18"/>
                <w:lang w:eastAsia="sk-SK"/>
              </w:rPr>
              <w:t>7 %</w:t>
            </w:r>
          </w:p>
        </w:tc>
        <w:tc>
          <w:tcPr>
            <w:tcW w:w="1028" w:type="dxa"/>
            <w:tcBorders>
              <w:top w:val="nil"/>
              <w:left w:val="nil"/>
              <w:bottom w:val="nil"/>
              <w:right w:val="single" w:sz="4" w:space="0" w:color="0067AC"/>
            </w:tcBorders>
            <w:shd w:val="clear" w:color="000000" w:fill="FFFFFF"/>
            <w:noWrap/>
            <w:vAlign w:val="center"/>
            <w:hideMark/>
          </w:tcPr>
          <w:p w14:paraId="49252886" w14:textId="70A918F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26,</w:t>
            </w:r>
            <w:r w:rsidR="0068581E">
              <w:rPr>
                <w:rFonts w:eastAsia="Times New Roman" w:cs="Calibri"/>
                <w:color w:val="0070C0"/>
                <w:sz w:val="18"/>
                <w:szCs w:val="18"/>
                <w:lang w:eastAsia="sk-SK"/>
              </w:rPr>
              <w:t>6 %</w:t>
            </w:r>
          </w:p>
        </w:tc>
        <w:tc>
          <w:tcPr>
            <w:tcW w:w="1028" w:type="dxa"/>
            <w:tcBorders>
              <w:top w:val="nil"/>
              <w:left w:val="nil"/>
              <w:bottom w:val="nil"/>
              <w:right w:val="single" w:sz="12" w:space="0" w:color="0067AC"/>
            </w:tcBorders>
            <w:shd w:val="clear" w:color="000000" w:fill="FFFFFF"/>
            <w:noWrap/>
            <w:vAlign w:val="center"/>
            <w:hideMark/>
          </w:tcPr>
          <w:p w14:paraId="31907E03" w14:textId="2FB5CDE2"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19,</w:t>
            </w:r>
            <w:r w:rsidR="0068581E">
              <w:rPr>
                <w:rFonts w:eastAsia="Times New Roman" w:cs="Calibri"/>
                <w:color w:val="0070C0"/>
                <w:sz w:val="18"/>
                <w:szCs w:val="18"/>
                <w:lang w:eastAsia="sk-SK"/>
              </w:rPr>
              <w:t>4 %</w:t>
            </w:r>
          </w:p>
        </w:tc>
      </w:tr>
      <w:tr w:rsidR="009F53B1" w:rsidRPr="00033F17" w14:paraId="4911C70C" w14:textId="77777777" w:rsidTr="009F53B1">
        <w:trPr>
          <w:trHeight w:val="276"/>
        </w:trPr>
        <w:tc>
          <w:tcPr>
            <w:tcW w:w="2705" w:type="dxa"/>
            <w:tcBorders>
              <w:top w:val="nil"/>
              <w:left w:val="single" w:sz="12" w:space="0" w:color="0067AC"/>
              <w:bottom w:val="nil"/>
              <w:right w:val="nil"/>
            </w:tcBorders>
            <w:shd w:val="clear" w:color="000000" w:fill="E6F3EF"/>
            <w:noWrap/>
            <w:vAlign w:val="center"/>
            <w:hideMark/>
          </w:tcPr>
          <w:p w14:paraId="017E295F"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Administratívne a podporné služby</w:t>
            </w:r>
          </w:p>
        </w:tc>
        <w:tc>
          <w:tcPr>
            <w:tcW w:w="1251" w:type="dxa"/>
            <w:tcBorders>
              <w:top w:val="nil"/>
              <w:left w:val="single" w:sz="12" w:space="0" w:color="0067AC"/>
              <w:bottom w:val="nil"/>
              <w:right w:val="nil"/>
            </w:tcBorders>
            <w:shd w:val="clear" w:color="000000" w:fill="FFC000"/>
            <w:noWrap/>
            <w:vAlign w:val="center"/>
            <w:hideMark/>
          </w:tcPr>
          <w:p w14:paraId="6005C879"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58E8B52E" w14:textId="030F9EA7"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15,</w:t>
            </w:r>
            <w:r w:rsidR="0068581E">
              <w:rPr>
                <w:rFonts w:eastAsia="Times New Roman" w:cs="Calibri"/>
                <w:color w:val="0070C0"/>
                <w:sz w:val="18"/>
                <w:szCs w:val="18"/>
                <w:lang w:eastAsia="sk-SK"/>
              </w:rPr>
              <w:t>5 %</w:t>
            </w:r>
          </w:p>
        </w:tc>
        <w:tc>
          <w:tcPr>
            <w:tcW w:w="1028" w:type="dxa"/>
            <w:tcBorders>
              <w:top w:val="nil"/>
              <w:left w:val="nil"/>
              <w:bottom w:val="nil"/>
              <w:right w:val="single" w:sz="4" w:space="0" w:color="0067AC"/>
            </w:tcBorders>
            <w:shd w:val="clear" w:color="000000" w:fill="E6F3EF"/>
            <w:noWrap/>
            <w:vAlign w:val="center"/>
            <w:hideMark/>
          </w:tcPr>
          <w:p w14:paraId="727B883D" w14:textId="44FD232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5,</w:t>
            </w:r>
            <w:r w:rsidR="0068581E">
              <w:rPr>
                <w:rFonts w:eastAsia="Times New Roman" w:cs="Calibri"/>
                <w:color w:val="0070C0"/>
                <w:sz w:val="18"/>
                <w:szCs w:val="18"/>
                <w:lang w:eastAsia="sk-SK"/>
              </w:rPr>
              <w:t>0 %</w:t>
            </w:r>
          </w:p>
        </w:tc>
        <w:tc>
          <w:tcPr>
            <w:tcW w:w="1028" w:type="dxa"/>
            <w:tcBorders>
              <w:top w:val="nil"/>
              <w:left w:val="nil"/>
              <w:bottom w:val="nil"/>
              <w:right w:val="single" w:sz="12" w:space="0" w:color="0067AC"/>
            </w:tcBorders>
            <w:shd w:val="clear" w:color="000000" w:fill="E6F3EF"/>
            <w:noWrap/>
            <w:vAlign w:val="center"/>
            <w:hideMark/>
          </w:tcPr>
          <w:p w14:paraId="082686E5" w14:textId="2728DCE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3,</w:t>
            </w:r>
            <w:r w:rsidR="0068581E">
              <w:rPr>
                <w:rFonts w:eastAsia="Times New Roman" w:cs="Calibri"/>
                <w:color w:val="0070C0"/>
                <w:sz w:val="18"/>
                <w:szCs w:val="18"/>
                <w:lang w:eastAsia="sk-SK"/>
              </w:rPr>
              <w:t>9 %</w:t>
            </w:r>
          </w:p>
        </w:tc>
      </w:tr>
      <w:tr w:rsidR="009F53B1" w:rsidRPr="00033F17" w14:paraId="0C9B94F6" w14:textId="77777777" w:rsidTr="009F53B1">
        <w:trPr>
          <w:trHeight w:val="276"/>
        </w:trPr>
        <w:tc>
          <w:tcPr>
            <w:tcW w:w="2705" w:type="dxa"/>
            <w:tcBorders>
              <w:top w:val="nil"/>
              <w:left w:val="single" w:sz="12" w:space="0" w:color="0067AC"/>
              <w:bottom w:val="nil"/>
              <w:right w:val="single" w:sz="12" w:space="0" w:color="0067AC"/>
            </w:tcBorders>
            <w:shd w:val="clear" w:color="000000" w:fill="FFFFFF"/>
            <w:noWrap/>
            <w:vAlign w:val="center"/>
            <w:hideMark/>
          </w:tcPr>
          <w:p w14:paraId="4A0DF89E"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Ostatné činnosti</w:t>
            </w:r>
          </w:p>
        </w:tc>
        <w:tc>
          <w:tcPr>
            <w:tcW w:w="1251" w:type="dxa"/>
            <w:tcBorders>
              <w:top w:val="nil"/>
              <w:left w:val="single" w:sz="12" w:space="0" w:color="0067AC"/>
              <w:bottom w:val="nil"/>
              <w:right w:val="nil"/>
            </w:tcBorders>
            <w:shd w:val="clear" w:color="000000" w:fill="FFC000"/>
            <w:noWrap/>
            <w:vAlign w:val="center"/>
            <w:hideMark/>
          </w:tcPr>
          <w:p w14:paraId="15079666"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5F218817" w14:textId="5F8BBCCC"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21,</w:t>
            </w:r>
            <w:r w:rsidR="0068581E">
              <w:rPr>
                <w:rFonts w:eastAsia="Times New Roman" w:cs="Calibri"/>
                <w:color w:val="0070C0"/>
                <w:sz w:val="18"/>
                <w:szCs w:val="18"/>
                <w:lang w:eastAsia="sk-SK"/>
              </w:rPr>
              <w:t>5 %</w:t>
            </w:r>
          </w:p>
        </w:tc>
        <w:tc>
          <w:tcPr>
            <w:tcW w:w="1028" w:type="dxa"/>
            <w:tcBorders>
              <w:top w:val="nil"/>
              <w:left w:val="nil"/>
              <w:bottom w:val="nil"/>
              <w:right w:val="single" w:sz="4" w:space="0" w:color="0067AC"/>
            </w:tcBorders>
            <w:shd w:val="clear" w:color="000000" w:fill="FFFFFF"/>
            <w:noWrap/>
            <w:vAlign w:val="center"/>
            <w:hideMark/>
          </w:tcPr>
          <w:p w14:paraId="246ECDAC" w14:textId="63911EEE"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5 %</w:t>
            </w:r>
          </w:p>
        </w:tc>
        <w:tc>
          <w:tcPr>
            <w:tcW w:w="1028" w:type="dxa"/>
            <w:tcBorders>
              <w:top w:val="nil"/>
              <w:left w:val="nil"/>
              <w:bottom w:val="nil"/>
              <w:right w:val="single" w:sz="12" w:space="0" w:color="0067AC"/>
            </w:tcBorders>
            <w:shd w:val="clear" w:color="000000" w:fill="FFFFFF"/>
            <w:noWrap/>
            <w:vAlign w:val="center"/>
            <w:hideMark/>
          </w:tcPr>
          <w:p w14:paraId="49D507DD" w14:textId="7A9C47BB"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3 %</w:t>
            </w:r>
          </w:p>
        </w:tc>
      </w:tr>
      <w:tr w:rsidR="009F53B1" w:rsidRPr="00033F17" w14:paraId="4E777B21" w14:textId="77777777" w:rsidTr="009F53B1">
        <w:trPr>
          <w:trHeight w:val="276"/>
        </w:trPr>
        <w:tc>
          <w:tcPr>
            <w:tcW w:w="2705" w:type="dxa"/>
            <w:tcBorders>
              <w:top w:val="nil"/>
              <w:left w:val="single" w:sz="12" w:space="0" w:color="0067AC"/>
              <w:bottom w:val="nil"/>
              <w:right w:val="nil"/>
            </w:tcBorders>
            <w:shd w:val="clear" w:color="000000" w:fill="E6F3EF"/>
            <w:noWrap/>
            <w:vAlign w:val="center"/>
            <w:hideMark/>
          </w:tcPr>
          <w:p w14:paraId="47AE5584"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Informácie a komunikácia</w:t>
            </w:r>
          </w:p>
        </w:tc>
        <w:tc>
          <w:tcPr>
            <w:tcW w:w="1251" w:type="dxa"/>
            <w:tcBorders>
              <w:top w:val="nil"/>
              <w:left w:val="single" w:sz="12" w:space="0" w:color="0067AC"/>
              <w:bottom w:val="nil"/>
              <w:right w:val="nil"/>
            </w:tcBorders>
            <w:shd w:val="clear" w:color="000000" w:fill="FFC000"/>
            <w:noWrap/>
            <w:vAlign w:val="center"/>
            <w:hideMark/>
          </w:tcPr>
          <w:p w14:paraId="061392FB"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37FA5B7C" w14:textId="5DB1D4F7"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9,</w:t>
            </w:r>
            <w:r w:rsidR="0068581E">
              <w:rPr>
                <w:rFonts w:eastAsia="Times New Roman" w:cs="Calibri"/>
                <w:color w:val="0070C0"/>
                <w:sz w:val="18"/>
                <w:szCs w:val="18"/>
                <w:lang w:eastAsia="sk-SK"/>
              </w:rPr>
              <w:t>2 %</w:t>
            </w:r>
          </w:p>
        </w:tc>
        <w:tc>
          <w:tcPr>
            <w:tcW w:w="1028" w:type="dxa"/>
            <w:tcBorders>
              <w:top w:val="nil"/>
              <w:left w:val="nil"/>
              <w:bottom w:val="nil"/>
              <w:right w:val="single" w:sz="4" w:space="0" w:color="0067AC"/>
            </w:tcBorders>
            <w:shd w:val="clear" w:color="000000" w:fill="E6F3EF"/>
            <w:noWrap/>
            <w:vAlign w:val="center"/>
            <w:hideMark/>
          </w:tcPr>
          <w:p w14:paraId="1A9475A5" w14:textId="2BB197D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w:t>
            </w:r>
            <w:r w:rsidR="0068581E">
              <w:rPr>
                <w:rFonts w:eastAsia="Times New Roman" w:cs="Calibri"/>
                <w:color w:val="0070C0"/>
                <w:sz w:val="18"/>
                <w:szCs w:val="18"/>
                <w:lang w:eastAsia="sk-SK"/>
              </w:rPr>
              <w:t>3 %</w:t>
            </w:r>
          </w:p>
        </w:tc>
        <w:tc>
          <w:tcPr>
            <w:tcW w:w="1028" w:type="dxa"/>
            <w:tcBorders>
              <w:top w:val="nil"/>
              <w:left w:val="nil"/>
              <w:bottom w:val="nil"/>
              <w:right w:val="single" w:sz="12" w:space="0" w:color="0067AC"/>
            </w:tcBorders>
            <w:shd w:val="clear" w:color="000000" w:fill="E6F3EF"/>
            <w:noWrap/>
            <w:vAlign w:val="center"/>
            <w:hideMark/>
          </w:tcPr>
          <w:p w14:paraId="4C720D5D" w14:textId="6B11D786"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w:t>
            </w:r>
            <w:r w:rsidR="0068581E">
              <w:rPr>
                <w:rFonts w:eastAsia="Times New Roman" w:cs="Calibri"/>
                <w:color w:val="0070C0"/>
                <w:sz w:val="18"/>
                <w:szCs w:val="18"/>
                <w:lang w:eastAsia="sk-SK"/>
              </w:rPr>
              <w:t>8 %</w:t>
            </w:r>
          </w:p>
        </w:tc>
      </w:tr>
      <w:tr w:rsidR="009F53B1" w:rsidRPr="00033F17" w14:paraId="38A5BA6D" w14:textId="77777777" w:rsidTr="009F53B1">
        <w:trPr>
          <w:trHeight w:val="276"/>
        </w:trPr>
        <w:tc>
          <w:tcPr>
            <w:tcW w:w="2705" w:type="dxa"/>
            <w:tcBorders>
              <w:top w:val="nil"/>
              <w:left w:val="single" w:sz="12" w:space="0" w:color="0067AC"/>
              <w:bottom w:val="nil"/>
              <w:right w:val="single" w:sz="12" w:space="0" w:color="0067AC"/>
            </w:tcBorders>
            <w:shd w:val="clear" w:color="000000" w:fill="FFFFFF"/>
            <w:noWrap/>
            <w:vAlign w:val="center"/>
            <w:hideMark/>
          </w:tcPr>
          <w:p w14:paraId="58BB92BA"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Doprava a skladovanie</w:t>
            </w:r>
          </w:p>
        </w:tc>
        <w:tc>
          <w:tcPr>
            <w:tcW w:w="1251" w:type="dxa"/>
            <w:tcBorders>
              <w:top w:val="nil"/>
              <w:left w:val="single" w:sz="12" w:space="0" w:color="0067AC"/>
              <w:bottom w:val="nil"/>
              <w:right w:val="nil"/>
            </w:tcBorders>
            <w:shd w:val="clear" w:color="000000" w:fill="FFC000"/>
            <w:noWrap/>
            <w:vAlign w:val="center"/>
            <w:hideMark/>
          </w:tcPr>
          <w:p w14:paraId="2EF8DF6F"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1CA07473" w14:textId="6824FAF9"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7,</w:t>
            </w:r>
            <w:r w:rsidR="0068581E">
              <w:rPr>
                <w:rFonts w:eastAsia="Times New Roman" w:cs="Calibri"/>
                <w:color w:val="0070C0"/>
                <w:sz w:val="18"/>
                <w:szCs w:val="18"/>
                <w:lang w:eastAsia="sk-SK"/>
              </w:rPr>
              <w:t>0 %</w:t>
            </w:r>
          </w:p>
        </w:tc>
        <w:tc>
          <w:tcPr>
            <w:tcW w:w="1028" w:type="dxa"/>
            <w:tcBorders>
              <w:top w:val="nil"/>
              <w:left w:val="nil"/>
              <w:bottom w:val="nil"/>
              <w:right w:val="single" w:sz="4" w:space="0" w:color="0067AC"/>
            </w:tcBorders>
            <w:shd w:val="clear" w:color="000000" w:fill="FFFFFF"/>
            <w:noWrap/>
            <w:vAlign w:val="center"/>
            <w:hideMark/>
          </w:tcPr>
          <w:p w14:paraId="52A0326C" w14:textId="6A034645"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4,</w:t>
            </w:r>
            <w:r w:rsidR="0068581E">
              <w:rPr>
                <w:rFonts w:eastAsia="Times New Roman" w:cs="Calibri"/>
                <w:color w:val="0070C0"/>
                <w:sz w:val="18"/>
                <w:szCs w:val="18"/>
                <w:lang w:eastAsia="sk-SK"/>
              </w:rPr>
              <w:t>2 %</w:t>
            </w:r>
          </w:p>
        </w:tc>
        <w:tc>
          <w:tcPr>
            <w:tcW w:w="1028" w:type="dxa"/>
            <w:tcBorders>
              <w:top w:val="nil"/>
              <w:left w:val="nil"/>
              <w:bottom w:val="nil"/>
              <w:right w:val="single" w:sz="12" w:space="0" w:color="0067AC"/>
            </w:tcBorders>
            <w:shd w:val="clear" w:color="000000" w:fill="FFFFFF"/>
            <w:noWrap/>
            <w:vAlign w:val="center"/>
            <w:hideMark/>
          </w:tcPr>
          <w:p w14:paraId="66BB407C" w14:textId="45D39241"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7,</w:t>
            </w:r>
            <w:r w:rsidR="0068581E">
              <w:rPr>
                <w:rFonts w:eastAsia="Times New Roman" w:cs="Calibri"/>
                <w:color w:val="0070C0"/>
                <w:sz w:val="18"/>
                <w:szCs w:val="18"/>
                <w:lang w:eastAsia="sk-SK"/>
              </w:rPr>
              <w:t>2 %</w:t>
            </w:r>
          </w:p>
        </w:tc>
      </w:tr>
      <w:tr w:rsidR="009F53B1" w:rsidRPr="00033F17" w14:paraId="1C842434" w14:textId="77777777" w:rsidTr="009F53B1">
        <w:trPr>
          <w:trHeight w:val="276"/>
        </w:trPr>
        <w:tc>
          <w:tcPr>
            <w:tcW w:w="2705" w:type="dxa"/>
            <w:tcBorders>
              <w:top w:val="nil"/>
              <w:left w:val="single" w:sz="12" w:space="0" w:color="0067AC"/>
              <w:bottom w:val="nil"/>
              <w:right w:val="nil"/>
            </w:tcBorders>
            <w:shd w:val="clear" w:color="000000" w:fill="E6F3EF"/>
            <w:noWrap/>
            <w:vAlign w:val="center"/>
            <w:hideMark/>
          </w:tcPr>
          <w:p w14:paraId="48EDB838"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Finančné a poisťovacie činnosti</w:t>
            </w:r>
          </w:p>
        </w:tc>
        <w:tc>
          <w:tcPr>
            <w:tcW w:w="1251" w:type="dxa"/>
            <w:tcBorders>
              <w:top w:val="nil"/>
              <w:left w:val="single" w:sz="12" w:space="0" w:color="0067AC"/>
              <w:bottom w:val="nil"/>
              <w:right w:val="nil"/>
            </w:tcBorders>
            <w:shd w:val="clear" w:color="000000" w:fill="FFC000"/>
            <w:noWrap/>
            <w:vAlign w:val="center"/>
            <w:hideMark/>
          </w:tcPr>
          <w:p w14:paraId="62C12744"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270C3D43" w14:textId="193325DE"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5,</w:t>
            </w:r>
            <w:r w:rsidR="0068581E">
              <w:rPr>
                <w:rFonts w:eastAsia="Times New Roman" w:cs="Calibri"/>
                <w:color w:val="0070C0"/>
                <w:sz w:val="18"/>
                <w:szCs w:val="18"/>
                <w:lang w:eastAsia="sk-SK"/>
              </w:rPr>
              <w:t>9 %</w:t>
            </w:r>
          </w:p>
        </w:tc>
        <w:tc>
          <w:tcPr>
            <w:tcW w:w="1028" w:type="dxa"/>
            <w:tcBorders>
              <w:top w:val="nil"/>
              <w:left w:val="nil"/>
              <w:bottom w:val="nil"/>
              <w:right w:val="single" w:sz="4" w:space="0" w:color="0067AC"/>
            </w:tcBorders>
            <w:shd w:val="clear" w:color="000000" w:fill="E6F3EF"/>
            <w:noWrap/>
            <w:vAlign w:val="center"/>
            <w:hideMark/>
          </w:tcPr>
          <w:p w14:paraId="1B96F9DA" w14:textId="453C29CF"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3 %</w:t>
            </w:r>
          </w:p>
        </w:tc>
        <w:tc>
          <w:tcPr>
            <w:tcW w:w="1028" w:type="dxa"/>
            <w:tcBorders>
              <w:top w:val="nil"/>
              <w:left w:val="nil"/>
              <w:bottom w:val="nil"/>
              <w:right w:val="single" w:sz="12" w:space="0" w:color="0067AC"/>
            </w:tcBorders>
            <w:shd w:val="clear" w:color="000000" w:fill="E6F3EF"/>
            <w:noWrap/>
            <w:vAlign w:val="center"/>
            <w:hideMark/>
          </w:tcPr>
          <w:p w14:paraId="09FBD0C1" w14:textId="20688230"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6 %</w:t>
            </w:r>
          </w:p>
        </w:tc>
      </w:tr>
      <w:tr w:rsidR="009F53B1" w:rsidRPr="00033F17" w14:paraId="54875D84" w14:textId="77777777" w:rsidTr="009F53B1">
        <w:trPr>
          <w:trHeight w:val="276"/>
        </w:trPr>
        <w:tc>
          <w:tcPr>
            <w:tcW w:w="2705" w:type="dxa"/>
            <w:tcBorders>
              <w:top w:val="nil"/>
              <w:left w:val="single" w:sz="12" w:space="0" w:color="0067AC"/>
              <w:bottom w:val="nil"/>
              <w:right w:val="single" w:sz="12" w:space="0" w:color="0067AC"/>
            </w:tcBorders>
            <w:shd w:val="clear" w:color="000000" w:fill="FFFFFF"/>
            <w:noWrap/>
            <w:vAlign w:val="center"/>
            <w:hideMark/>
          </w:tcPr>
          <w:p w14:paraId="146D9930"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Stavebníctvo</w:t>
            </w:r>
          </w:p>
        </w:tc>
        <w:tc>
          <w:tcPr>
            <w:tcW w:w="1251" w:type="dxa"/>
            <w:tcBorders>
              <w:top w:val="nil"/>
              <w:left w:val="single" w:sz="12" w:space="0" w:color="0067AC"/>
              <w:bottom w:val="nil"/>
              <w:right w:val="nil"/>
            </w:tcBorders>
            <w:shd w:val="clear" w:color="000000" w:fill="FFC000"/>
            <w:noWrap/>
            <w:vAlign w:val="center"/>
            <w:hideMark/>
          </w:tcPr>
          <w:p w14:paraId="4B9A860D"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021582BC" w14:textId="61EB17B2"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11,</w:t>
            </w:r>
            <w:r w:rsidR="0068581E">
              <w:rPr>
                <w:rFonts w:eastAsia="Times New Roman" w:cs="Calibri"/>
                <w:color w:val="0070C0"/>
                <w:sz w:val="18"/>
                <w:szCs w:val="18"/>
                <w:lang w:eastAsia="sk-SK"/>
              </w:rPr>
              <w:t>5 %</w:t>
            </w:r>
          </w:p>
        </w:tc>
        <w:tc>
          <w:tcPr>
            <w:tcW w:w="1028" w:type="dxa"/>
            <w:tcBorders>
              <w:top w:val="nil"/>
              <w:left w:val="nil"/>
              <w:bottom w:val="nil"/>
              <w:right w:val="single" w:sz="4" w:space="0" w:color="0067AC"/>
            </w:tcBorders>
            <w:shd w:val="clear" w:color="000000" w:fill="FFFFFF"/>
            <w:noWrap/>
            <w:vAlign w:val="center"/>
            <w:hideMark/>
          </w:tcPr>
          <w:p w14:paraId="0E4509E4" w14:textId="5CB8CCDC"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4,</w:t>
            </w:r>
            <w:r w:rsidR="0068581E">
              <w:rPr>
                <w:rFonts w:eastAsia="Times New Roman" w:cs="Calibri"/>
                <w:color w:val="0070C0"/>
                <w:sz w:val="18"/>
                <w:szCs w:val="18"/>
                <w:lang w:eastAsia="sk-SK"/>
              </w:rPr>
              <w:t>3 %</w:t>
            </w:r>
          </w:p>
        </w:tc>
        <w:tc>
          <w:tcPr>
            <w:tcW w:w="1028" w:type="dxa"/>
            <w:tcBorders>
              <w:top w:val="nil"/>
              <w:left w:val="nil"/>
              <w:bottom w:val="nil"/>
              <w:right w:val="single" w:sz="12" w:space="0" w:color="0067AC"/>
            </w:tcBorders>
            <w:shd w:val="clear" w:color="000000" w:fill="FFFFFF"/>
            <w:noWrap/>
            <w:vAlign w:val="center"/>
            <w:hideMark/>
          </w:tcPr>
          <w:p w14:paraId="09992E06" w14:textId="7134E06E"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4,</w:t>
            </w:r>
            <w:r w:rsidR="0068581E">
              <w:rPr>
                <w:rFonts w:eastAsia="Times New Roman" w:cs="Calibri"/>
                <w:color w:val="0070C0"/>
                <w:sz w:val="18"/>
                <w:szCs w:val="18"/>
                <w:lang w:eastAsia="sk-SK"/>
              </w:rPr>
              <w:t>5 %</w:t>
            </w:r>
          </w:p>
        </w:tc>
      </w:tr>
      <w:tr w:rsidR="009F53B1" w:rsidRPr="00033F17" w14:paraId="13C2686A" w14:textId="77777777" w:rsidTr="009F53B1">
        <w:trPr>
          <w:trHeight w:val="276"/>
        </w:trPr>
        <w:tc>
          <w:tcPr>
            <w:tcW w:w="2705" w:type="dxa"/>
            <w:tcBorders>
              <w:top w:val="nil"/>
              <w:left w:val="single" w:sz="12" w:space="0" w:color="0067AC"/>
              <w:bottom w:val="nil"/>
              <w:right w:val="nil"/>
            </w:tcBorders>
            <w:shd w:val="clear" w:color="000000" w:fill="E6F3EF"/>
            <w:noWrap/>
            <w:vAlign w:val="center"/>
            <w:hideMark/>
          </w:tcPr>
          <w:p w14:paraId="681B79C7"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Odborné, vedecké a technické služby</w:t>
            </w:r>
          </w:p>
        </w:tc>
        <w:tc>
          <w:tcPr>
            <w:tcW w:w="1251" w:type="dxa"/>
            <w:tcBorders>
              <w:top w:val="nil"/>
              <w:left w:val="single" w:sz="12" w:space="0" w:color="0067AC"/>
              <w:bottom w:val="nil"/>
              <w:right w:val="nil"/>
            </w:tcBorders>
            <w:shd w:val="clear" w:color="000000" w:fill="FFC000"/>
            <w:noWrap/>
            <w:vAlign w:val="center"/>
            <w:hideMark/>
          </w:tcPr>
          <w:p w14:paraId="011BA58F"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1CAAFF65" w14:textId="40401557"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14,</w:t>
            </w:r>
            <w:r w:rsidR="0068581E">
              <w:rPr>
                <w:rFonts w:eastAsia="Times New Roman" w:cs="Calibri"/>
                <w:color w:val="0070C0"/>
                <w:sz w:val="18"/>
                <w:szCs w:val="18"/>
                <w:lang w:eastAsia="sk-SK"/>
              </w:rPr>
              <w:t>2 %</w:t>
            </w:r>
          </w:p>
        </w:tc>
        <w:tc>
          <w:tcPr>
            <w:tcW w:w="1028" w:type="dxa"/>
            <w:tcBorders>
              <w:top w:val="nil"/>
              <w:left w:val="nil"/>
              <w:bottom w:val="nil"/>
              <w:right w:val="single" w:sz="4" w:space="0" w:color="0067AC"/>
            </w:tcBorders>
            <w:shd w:val="clear" w:color="000000" w:fill="E6F3EF"/>
            <w:noWrap/>
            <w:vAlign w:val="center"/>
            <w:hideMark/>
          </w:tcPr>
          <w:p w14:paraId="6714921E" w14:textId="082E8479"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7,</w:t>
            </w:r>
            <w:r w:rsidR="0068581E">
              <w:rPr>
                <w:rFonts w:eastAsia="Times New Roman" w:cs="Calibri"/>
                <w:color w:val="0070C0"/>
                <w:sz w:val="18"/>
                <w:szCs w:val="18"/>
                <w:lang w:eastAsia="sk-SK"/>
              </w:rPr>
              <w:t>4 %</w:t>
            </w:r>
          </w:p>
        </w:tc>
        <w:tc>
          <w:tcPr>
            <w:tcW w:w="1028" w:type="dxa"/>
            <w:tcBorders>
              <w:top w:val="nil"/>
              <w:left w:val="nil"/>
              <w:bottom w:val="nil"/>
              <w:right w:val="single" w:sz="12" w:space="0" w:color="0067AC"/>
            </w:tcBorders>
            <w:shd w:val="clear" w:color="000000" w:fill="E6F3EF"/>
            <w:noWrap/>
            <w:vAlign w:val="center"/>
            <w:hideMark/>
          </w:tcPr>
          <w:p w14:paraId="1B3678BB" w14:textId="3B7A161E"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6,</w:t>
            </w:r>
            <w:r w:rsidR="0068581E">
              <w:rPr>
                <w:rFonts w:eastAsia="Times New Roman" w:cs="Calibri"/>
                <w:color w:val="0070C0"/>
                <w:sz w:val="18"/>
                <w:szCs w:val="18"/>
                <w:lang w:eastAsia="sk-SK"/>
              </w:rPr>
              <w:t>3 %</w:t>
            </w:r>
          </w:p>
        </w:tc>
      </w:tr>
      <w:tr w:rsidR="009F53B1" w:rsidRPr="00033F17" w14:paraId="0D61D1ED" w14:textId="77777777" w:rsidTr="009F53B1">
        <w:trPr>
          <w:trHeight w:val="276"/>
        </w:trPr>
        <w:tc>
          <w:tcPr>
            <w:tcW w:w="2705" w:type="dxa"/>
            <w:tcBorders>
              <w:top w:val="nil"/>
              <w:left w:val="single" w:sz="12" w:space="0" w:color="0067AC"/>
              <w:bottom w:val="nil"/>
              <w:right w:val="single" w:sz="12" w:space="0" w:color="0067AC"/>
            </w:tcBorders>
            <w:shd w:val="clear" w:color="000000" w:fill="FFFFFF"/>
            <w:noWrap/>
            <w:vAlign w:val="center"/>
            <w:hideMark/>
          </w:tcPr>
          <w:p w14:paraId="242C731E"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Priemyselná výroba</w:t>
            </w:r>
          </w:p>
        </w:tc>
        <w:tc>
          <w:tcPr>
            <w:tcW w:w="1251" w:type="dxa"/>
            <w:tcBorders>
              <w:top w:val="nil"/>
              <w:left w:val="single" w:sz="12" w:space="0" w:color="0067AC"/>
              <w:bottom w:val="nil"/>
              <w:right w:val="nil"/>
            </w:tcBorders>
            <w:shd w:val="clear" w:color="000000" w:fill="FFC000"/>
            <w:noWrap/>
            <w:vAlign w:val="center"/>
            <w:hideMark/>
          </w:tcPr>
          <w:p w14:paraId="5848F9BF"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02A208E7" w14:textId="44402F94"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15,</w:t>
            </w:r>
            <w:r w:rsidR="0068581E">
              <w:rPr>
                <w:rFonts w:eastAsia="Times New Roman" w:cs="Calibri"/>
                <w:color w:val="0070C0"/>
                <w:sz w:val="18"/>
                <w:szCs w:val="18"/>
                <w:lang w:eastAsia="sk-SK"/>
              </w:rPr>
              <w:t>3 %</w:t>
            </w:r>
          </w:p>
        </w:tc>
        <w:tc>
          <w:tcPr>
            <w:tcW w:w="1028" w:type="dxa"/>
            <w:tcBorders>
              <w:top w:val="nil"/>
              <w:left w:val="nil"/>
              <w:bottom w:val="nil"/>
              <w:right w:val="single" w:sz="4" w:space="0" w:color="0067AC"/>
            </w:tcBorders>
            <w:shd w:val="clear" w:color="000000" w:fill="FFFFFF"/>
            <w:noWrap/>
            <w:vAlign w:val="center"/>
            <w:hideMark/>
          </w:tcPr>
          <w:p w14:paraId="1D3C4AB4" w14:textId="7761CFF3"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25,</w:t>
            </w:r>
            <w:r w:rsidR="0068581E">
              <w:rPr>
                <w:rFonts w:eastAsia="Times New Roman" w:cs="Calibri"/>
                <w:color w:val="0070C0"/>
                <w:sz w:val="18"/>
                <w:szCs w:val="18"/>
                <w:lang w:eastAsia="sk-SK"/>
              </w:rPr>
              <w:t>7 %</w:t>
            </w:r>
          </w:p>
        </w:tc>
        <w:tc>
          <w:tcPr>
            <w:tcW w:w="1028" w:type="dxa"/>
            <w:tcBorders>
              <w:top w:val="nil"/>
              <w:left w:val="nil"/>
              <w:bottom w:val="nil"/>
              <w:right w:val="single" w:sz="12" w:space="0" w:color="0067AC"/>
            </w:tcBorders>
            <w:shd w:val="clear" w:color="000000" w:fill="FFFFFF"/>
            <w:noWrap/>
            <w:vAlign w:val="center"/>
            <w:hideMark/>
          </w:tcPr>
          <w:p w14:paraId="2D0AAB7E" w14:textId="365E02B2"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20,</w:t>
            </w:r>
            <w:r w:rsidR="0068581E">
              <w:rPr>
                <w:rFonts w:eastAsia="Times New Roman" w:cs="Calibri"/>
                <w:color w:val="0070C0"/>
                <w:sz w:val="18"/>
                <w:szCs w:val="18"/>
                <w:lang w:eastAsia="sk-SK"/>
              </w:rPr>
              <w:t>3 %</w:t>
            </w:r>
          </w:p>
        </w:tc>
      </w:tr>
      <w:tr w:rsidR="009F53B1" w:rsidRPr="00033F17" w14:paraId="69772FDC" w14:textId="77777777" w:rsidTr="009F53B1">
        <w:trPr>
          <w:trHeight w:val="290"/>
        </w:trPr>
        <w:tc>
          <w:tcPr>
            <w:tcW w:w="2705" w:type="dxa"/>
            <w:tcBorders>
              <w:top w:val="nil"/>
              <w:left w:val="single" w:sz="12" w:space="0" w:color="0067AC"/>
              <w:bottom w:val="nil"/>
              <w:right w:val="single" w:sz="12" w:space="0" w:color="0067AC"/>
            </w:tcBorders>
            <w:shd w:val="clear" w:color="000000" w:fill="E6F3EF"/>
            <w:noWrap/>
            <w:vAlign w:val="center"/>
            <w:hideMark/>
          </w:tcPr>
          <w:p w14:paraId="7CBF19B5"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Veľkoobchod a maloobchod</w:t>
            </w:r>
          </w:p>
        </w:tc>
        <w:tc>
          <w:tcPr>
            <w:tcW w:w="1251" w:type="dxa"/>
            <w:tcBorders>
              <w:top w:val="nil"/>
              <w:left w:val="single" w:sz="12" w:space="0" w:color="0067AC"/>
              <w:bottom w:val="nil"/>
              <w:right w:val="nil"/>
            </w:tcBorders>
            <w:shd w:val="clear" w:color="000000" w:fill="FFC000"/>
            <w:noWrap/>
            <w:vAlign w:val="center"/>
            <w:hideMark/>
          </w:tcPr>
          <w:p w14:paraId="4A4A1FD3"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Stredne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18B3D139" w14:textId="67C6D34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9,</w:t>
            </w:r>
            <w:r w:rsidR="0068581E">
              <w:rPr>
                <w:rFonts w:eastAsia="Times New Roman" w:cs="Calibri"/>
                <w:color w:val="0070C0"/>
                <w:sz w:val="18"/>
                <w:szCs w:val="18"/>
                <w:lang w:eastAsia="sk-SK"/>
              </w:rPr>
              <w:t>3 %</w:t>
            </w:r>
          </w:p>
        </w:tc>
        <w:tc>
          <w:tcPr>
            <w:tcW w:w="1028" w:type="dxa"/>
            <w:tcBorders>
              <w:top w:val="nil"/>
              <w:left w:val="nil"/>
              <w:bottom w:val="nil"/>
              <w:right w:val="single" w:sz="4" w:space="0" w:color="0067AC"/>
            </w:tcBorders>
            <w:shd w:val="clear" w:color="000000" w:fill="E6F3EF"/>
            <w:noWrap/>
            <w:vAlign w:val="center"/>
            <w:hideMark/>
          </w:tcPr>
          <w:p w14:paraId="456E3CF1" w14:textId="0AF04A31"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12,</w:t>
            </w:r>
            <w:r w:rsidR="0068581E">
              <w:rPr>
                <w:rFonts w:eastAsia="Times New Roman" w:cs="Calibri"/>
                <w:color w:val="0070C0"/>
                <w:sz w:val="18"/>
                <w:szCs w:val="18"/>
                <w:lang w:eastAsia="sk-SK"/>
              </w:rPr>
              <w:t>0 %</w:t>
            </w:r>
          </w:p>
        </w:tc>
        <w:tc>
          <w:tcPr>
            <w:tcW w:w="1028" w:type="dxa"/>
            <w:tcBorders>
              <w:top w:val="nil"/>
              <w:left w:val="nil"/>
              <w:bottom w:val="nil"/>
              <w:right w:val="single" w:sz="12" w:space="0" w:color="0067AC"/>
            </w:tcBorders>
            <w:shd w:val="clear" w:color="000000" w:fill="E6F3EF"/>
            <w:noWrap/>
            <w:vAlign w:val="center"/>
            <w:hideMark/>
          </w:tcPr>
          <w:p w14:paraId="3124BD19" w14:textId="7CDF6D76"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15,</w:t>
            </w:r>
            <w:r w:rsidR="0068581E">
              <w:rPr>
                <w:rFonts w:eastAsia="Times New Roman" w:cs="Calibri"/>
                <w:color w:val="0070C0"/>
                <w:sz w:val="18"/>
                <w:szCs w:val="18"/>
                <w:lang w:eastAsia="sk-SK"/>
              </w:rPr>
              <w:t>6 %</w:t>
            </w:r>
          </w:p>
        </w:tc>
      </w:tr>
      <w:tr w:rsidR="009F53B1" w:rsidRPr="00033F17" w14:paraId="4F1B5311" w14:textId="77777777" w:rsidTr="009F53B1">
        <w:trPr>
          <w:trHeight w:val="290"/>
        </w:trPr>
        <w:tc>
          <w:tcPr>
            <w:tcW w:w="2705" w:type="dxa"/>
            <w:tcBorders>
              <w:top w:val="single" w:sz="12" w:space="0" w:color="000000"/>
              <w:left w:val="single" w:sz="12" w:space="0" w:color="0067AC"/>
              <w:bottom w:val="nil"/>
              <w:right w:val="single" w:sz="12" w:space="0" w:color="0067AC"/>
            </w:tcBorders>
            <w:shd w:val="clear" w:color="000000" w:fill="FFFFFF"/>
            <w:noWrap/>
            <w:vAlign w:val="center"/>
            <w:hideMark/>
          </w:tcPr>
          <w:p w14:paraId="1C740B94"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Vzdelávanie</w:t>
            </w:r>
          </w:p>
        </w:tc>
        <w:tc>
          <w:tcPr>
            <w:tcW w:w="1251" w:type="dxa"/>
            <w:tcBorders>
              <w:top w:val="single" w:sz="12" w:space="0" w:color="000000"/>
              <w:left w:val="single" w:sz="12" w:space="0" w:color="0067AC"/>
              <w:bottom w:val="nil"/>
              <w:right w:val="nil"/>
            </w:tcBorders>
            <w:shd w:val="clear" w:color="000000" w:fill="92D050"/>
            <w:noWrap/>
            <w:vAlign w:val="center"/>
            <w:hideMark/>
          </w:tcPr>
          <w:p w14:paraId="2AECDB86"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Málo citlivé</w:t>
            </w:r>
          </w:p>
        </w:tc>
        <w:tc>
          <w:tcPr>
            <w:tcW w:w="1028" w:type="dxa"/>
            <w:tcBorders>
              <w:top w:val="single" w:sz="12" w:space="0" w:color="000000"/>
              <w:left w:val="single" w:sz="12" w:space="0" w:color="0067AC"/>
              <w:bottom w:val="nil"/>
              <w:right w:val="single" w:sz="4" w:space="0" w:color="0067AC"/>
            </w:tcBorders>
            <w:shd w:val="clear" w:color="000000" w:fill="FFFFFF"/>
            <w:noWrap/>
            <w:vAlign w:val="center"/>
            <w:hideMark/>
          </w:tcPr>
          <w:p w14:paraId="5BAE6457" w14:textId="36960BC5"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22,</w:t>
            </w:r>
            <w:r w:rsidR="0068581E">
              <w:rPr>
                <w:rFonts w:eastAsia="Times New Roman" w:cs="Calibri"/>
                <w:color w:val="0070C0"/>
                <w:sz w:val="18"/>
                <w:szCs w:val="18"/>
                <w:lang w:eastAsia="sk-SK"/>
              </w:rPr>
              <w:t>2 %</w:t>
            </w:r>
          </w:p>
        </w:tc>
        <w:tc>
          <w:tcPr>
            <w:tcW w:w="1028" w:type="dxa"/>
            <w:tcBorders>
              <w:top w:val="single" w:sz="12" w:space="0" w:color="000000"/>
              <w:left w:val="nil"/>
              <w:bottom w:val="nil"/>
              <w:right w:val="single" w:sz="4" w:space="0" w:color="0067AC"/>
            </w:tcBorders>
            <w:shd w:val="clear" w:color="000000" w:fill="FFFFFF"/>
            <w:noWrap/>
            <w:vAlign w:val="center"/>
            <w:hideMark/>
          </w:tcPr>
          <w:p w14:paraId="4C4C5471" w14:textId="27C3DFF7"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3 %</w:t>
            </w:r>
          </w:p>
        </w:tc>
        <w:tc>
          <w:tcPr>
            <w:tcW w:w="1028" w:type="dxa"/>
            <w:tcBorders>
              <w:top w:val="single" w:sz="12" w:space="0" w:color="000000"/>
              <w:left w:val="nil"/>
              <w:bottom w:val="nil"/>
              <w:right w:val="single" w:sz="12" w:space="0" w:color="0067AC"/>
            </w:tcBorders>
            <w:shd w:val="clear" w:color="000000" w:fill="FFFFFF"/>
            <w:noWrap/>
            <w:vAlign w:val="center"/>
            <w:hideMark/>
          </w:tcPr>
          <w:p w14:paraId="2750500A" w14:textId="19A8578B"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2 %</w:t>
            </w:r>
          </w:p>
        </w:tc>
      </w:tr>
      <w:tr w:rsidR="009F53B1" w:rsidRPr="00033F17" w14:paraId="1019A0C6" w14:textId="77777777" w:rsidTr="009F53B1">
        <w:trPr>
          <w:trHeight w:val="276"/>
        </w:trPr>
        <w:tc>
          <w:tcPr>
            <w:tcW w:w="2705" w:type="dxa"/>
            <w:tcBorders>
              <w:top w:val="nil"/>
              <w:left w:val="single" w:sz="12" w:space="0" w:color="0067AC"/>
              <w:bottom w:val="nil"/>
              <w:right w:val="nil"/>
            </w:tcBorders>
            <w:shd w:val="clear" w:color="000000" w:fill="E6F3EF"/>
            <w:noWrap/>
            <w:vAlign w:val="center"/>
            <w:hideMark/>
          </w:tcPr>
          <w:p w14:paraId="664E9F4C"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Zdravotníctvo a sociálna pomoc</w:t>
            </w:r>
          </w:p>
        </w:tc>
        <w:tc>
          <w:tcPr>
            <w:tcW w:w="1251" w:type="dxa"/>
            <w:tcBorders>
              <w:top w:val="nil"/>
              <w:left w:val="single" w:sz="12" w:space="0" w:color="0067AC"/>
              <w:bottom w:val="nil"/>
              <w:right w:val="nil"/>
            </w:tcBorders>
            <w:shd w:val="clear" w:color="000000" w:fill="92D050"/>
            <w:noWrap/>
            <w:vAlign w:val="center"/>
            <w:hideMark/>
          </w:tcPr>
          <w:p w14:paraId="71420491"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Málo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0CB62657" w14:textId="1F9AFF77"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12,</w:t>
            </w:r>
            <w:r w:rsidR="0068581E">
              <w:rPr>
                <w:rFonts w:eastAsia="Times New Roman" w:cs="Calibri"/>
                <w:color w:val="0070C0"/>
                <w:sz w:val="18"/>
                <w:szCs w:val="18"/>
                <w:lang w:eastAsia="sk-SK"/>
              </w:rPr>
              <w:t>0 %</w:t>
            </w:r>
          </w:p>
        </w:tc>
        <w:tc>
          <w:tcPr>
            <w:tcW w:w="1028" w:type="dxa"/>
            <w:tcBorders>
              <w:top w:val="nil"/>
              <w:left w:val="nil"/>
              <w:bottom w:val="nil"/>
              <w:right w:val="single" w:sz="4" w:space="0" w:color="0067AC"/>
            </w:tcBorders>
            <w:shd w:val="clear" w:color="000000" w:fill="E6F3EF"/>
            <w:noWrap/>
            <w:vAlign w:val="center"/>
            <w:hideMark/>
          </w:tcPr>
          <w:p w14:paraId="42E98E3A" w14:textId="48EDE3D1"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w:t>
            </w:r>
            <w:r w:rsidR="0068581E">
              <w:rPr>
                <w:rFonts w:eastAsia="Times New Roman" w:cs="Calibri"/>
                <w:color w:val="0070C0"/>
                <w:sz w:val="18"/>
                <w:szCs w:val="18"/>
                <w:lang w:eastAsia="sk-SK"/>
              </w:rPr>
              <w:t>2 %</w:t>
            </w:r>
          </w:p>
        </w:tc>
        <w:tc>
          <w:tcPr>
            <w:tcW w:w="1028" w:type="dxa"/>
            <w:tcBorders>
              <w:top w:val="nil"/>
              <w:left w:val="nil"/>
              <w:bottom w:val="nil"/>
              <w:right w:val="single" w:sz="12" w:space="0" w:color="0067AC"/>
            </w:tcBorders>
            <w:shd w:val="clear" w:color="000000" w:fill="E6F3EF"/>
            <w:noWrap/>
            <w:vAlign w:val="center"/>
            <w:hideMark/>
          </w:tcPr>
          <w:p w14:paraId="150230DF" w14:textId="47C55895"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w:t>
            </w:r>
            <w:r w:rsidR="0068581E">
              <w:rPr>
                <w:rFonts w:eastAsia="Times New Roman" w:cs="Calibri"/>
                <w:color w:val="0070C0"/>
                <w:sz w:val="18"/>
                <w:szCs w:val="18"/>
                <w:lang w:eastAsia="sk-SK"/>
              </w:rPr>
              <w:t>2 %</w:t>
            </w:r>
          </w:p>
        </w:tc>
      </w:tr>
      <w:tr w:rsidR="009F53B1" w:rsidRPr="00033F17" w14:paraId="74CFA823" w14:textId="77777777" w:rsidTr="009F53B1">
        <w:trPr>
          <w:trHeight w:val="276"/>
        </w:trPr>
        <w:tc>
          <w:tcPr>
            <w:tcW w:w="2705" w:type="dxa"/>
            <w:tcBorders>
              <w:top w:val="nil"/>
              <w:left w:val="single" w:sz="12" w:space="0" w:color="0067AC"/>
              <w:bottom w:val="nil"/>
              <w:right w:val="single" w:sz="12" w:space="0" w:color="0067AC"/>
            </w:tcBorders>
            <w:shd w:val="clear" w:color="000000" w:fill="FFFFFF"/>
            <w:noWrap/>
            <w:vAlign w:val="center"/>
            <w:hideMark/>
          </w:tcPr>
          <w:p w14:paraId="42398387"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Dodávka vody</w:t>
            </w:r>
          </w:p>
        </w:tc>
        <w:tc>
          <w:tcPr>
            <w:tcW w:w="1251" w:type="dxa"/>
            <w:tcBorders>
              <w:top w:val="nil"/>
              <w:left w:val="single" w:sz="12" w:space="0" w:color="0067AC"/>
              <w:bottom w:val="nil"/>
              <w:right w:val="nil"/>
            </w:tcBorders>
            <w:shd w:val="clear" w:color="000000" w:fill="92D050"/>
            <w:noWrap/>
            <w:vAlign w:val="center"/>
            <w:hideMark/>
          </w:tcPr>
          <w:p w14:paraId="3377A357"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Málo citlivé</w:t>
            </w:r>
          </w:p>
        </w:tc>
        <w:tc>
          <w:tcPr>
            <w:tcW w:w="1028" w:type="dxa"/>
            <w:tcBorders>
              <w:top w:val="nil"/>
              <w:left w:val="single" w:sz="12" w:space="0" w:color="0067AC"/>
              <w:bottom w:val="nil"/>
              <w:right w:val="single" w:sz="4" w:space="0" w:color="0067AC"/>
            </w:tcBorders>
            <w:shd w:val="clear" w:color="000000" w:fill="FFFFFF"/>
            <w:noWrap/>
            <w:vAlign w:val="center"/>
            <w:hideMark/>
          </w:tcPr>
          <w:p w14:paraId="0FC21D85" w14:textId="7840D1ED"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w:t>
            </w:r>
            <w:r w:rsidR="0068581E">
              <w:rPr>
                <w:rFonts w:eastAsia="Times New Roman" w:cs="Calibri"/>
                <w:color w:val="0070C0"/>
                <w:sz w:val="18"/>
                <w:szCs w:val="18"/>
                <w:lang w:eastAsia="sk-SK"/>
              </w:rPr>
              <w:t>9 %</w:t>
            </w:r>
          </w:p>
        </w:tc>
        <w:tc>
          <w:tcPr>
            <w:tcW w:w="1028" w:type="dxa"/>
            <w:tcBorders>
              <w:top w:val="nil"/>
              <w:left w:val="nil"/>
              <w:bottom w:val="nil"/>
              <w:right w:val="single" w:sz="4" w:space="0" w:color="0067AC"/>
            </w:tcBorders>
            <w:shd w:val="clear" w:color="000000" w:fill="FFFFFF"/>
            <w:noWrap/>
            <w:vAlign w:val="center"/>
            <w:hideMark/>
          </w:tcPr>
          <w:p w14:paraId="24F333C9" w14:textId="14FFFACE"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3 %</w:t>
            </w:r>
          </w:p>
        </w:tc>
        <w:tc>
          <w:tcPr>
            <w:tcW w:w="1028" w:type="dxa"/>
            <w:tcBorders>
              <w:top w:val="nil"/>
              <w:left w:val="nil"/>
              <w:bottom w:val="nil"/>
              <w:right w:val="single" w:sz="12" w:space="0" w:color="0067AC"/>
            </w:tcBorders>
            <w:shd w:val="clear" w:color="000000" w:fill="FFFFFF"/>
            <w:noWrap/>
            <w:vAlign w:val="center"/>
            <w:hideMark/>
          </w:tcPr>
          <w:p w14:paraId="21166FE7" w14:textId="006CAD83"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w:t>
            </w:r>
            <w:r w:rsidR="0068581E">
              <w:rPr>
                <w:rFonts w:eastAsia="Times New Roman" w:cs="Calibri"/>
                <w:color w:val="0070C0"/>
                <w:sz w:val="18"/>
                <w:szCs w:val="18"/>
                <w:lang w:eastAsia="sk-SK"/>
              </w:rPr>
              <w:t>0 %</w:t>
            </w:r>
          </w:p>
        </w:tc>
      </w:tr>
      <w:tr w:rsidR="009F53B1" w:rsidRPr="00033F17" w14:paraId="3832ADD5" w14:textId="77777777" w:rsidTr="009F53B1">
        <w:trPr>
          <w:trHeight w:val="276"/>
        </w:trPr>
        <w:tc>
          <w:tcPr>
            <w:tcW w:w="2705" w:type="dxa"/>
            <w:tcBorders>
              <w:top w:val="nil"/>
              <w:left w:val="single" w:sz="12" w:space="0" w:color="0067AC"/>
              <w:bottom w:val="nil"/>
              <w:right w:val="single" w:sz="12" w:space="0" w:color="0067AC"/>
            </w:tcBorders>
            <w:shd w:val="clear" w:color="000000" w:fill="E6F3EF"/>
            <w:noWrap/>
            <w:vAlign w:val="center"/>
            <w:hideMark/>
          </w:tcPr>
          <w:p w14:paraId="5D7241E5"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Ťažba a dobývanie</w:t>
            </w:r>
          </w:p>
        </w:tc>
        <w:tc>
          <w:tcPr>
            <w:tcW w:w="1251" w:type="dxa"/>
            <w:tcBorders>
              <w:top w:val="nil"/>
              <w:left w:val="single" w:sz="12" w:space="0" w:color="0067AC"/>
              <w:bottom w:val="nil"/>
              <w:right w:val="nil"/>
            </w:tcBorders>
            <w:shd w:val="clear" w:color="000000" w:fill="92D050"/>
            <w:noWrap/>
            <w:vAlign w:val="center"/>
            <w:hideMark/>
          </w:tcPr>
          <w:p w14:paraId="0356DFB6"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Málo citlivé</w:t>
            </w:r>
          </w:p>
        </w:tc>
        <w:tc>
          <w:tcPr>
            <w:tcW w:w="1028" w:type="dxa"/>
            <w:tcBorders>
              <w:top w:val="nil"/>
              <w:left w:val="single" w:sz="12" w:space="0" w:color="0067AC"/>
              <w:bottom w:val="nil"/>
              <w:right w:val="single" w:sz="4" w:space="0" w:color="0067AC"/>
            </w:tcBorders>
            <w:shd w:val="clear" w:color="000000" w:fill="E6F3EF"/>
            <w:noWrap/>
            <w:vAlign w:val="center"/>
            <w:hideMark/>
          </w:tcPr>
          <w:p w14:paraId="36D103B6" w14:textId="666214E2"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13,</w:t>
            </w:r>
            <w:r w:rsidR="0068581E">
              <w:rPr>
                <w:rFonts w:eastAsia="Times New Roman" w:cs="Calibri"/>
                <w:color w:val="0070C0"/>
                <w:sz w:val="18"/>
                <w:szCs w:val="18"/>
                <w:lang w:eastAsia="sk-SK"/>
              </w:rPr>
              <w:t>0 %</w:t>
            </w:r>
          </w:p>
        </w:tc>
        <w:tc>
          <w:tcPr>
            <w:tcW w:w="1028" w:type="dxa"/>
            <w:tcBorders>
              <w:top w:val="nil"/>
              <w:left w:val="nil"/>
              <w:bottom w:val="nil"/>
              <w:right w:val="single" w:sz="4" w:space="0" w:color="0067AC"/>
            </w:tcBorders>
            <w:shd w:val="clear" w:color="000000" w:fill="E6F3EF"/>
            <w:noWrap/>
            <w:vAlign w:val="center"/>
            <w:hideMark/>
          </w:tcPr>
          <w:p w14:paraId="0B88389C" w14:textId="3951FB79"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1 %</w:t>
            </w:r>
          </w:p>
        </w:tc>
        <w:tc>
          <w:tcPr>
            <w:tcW w:w="1028" w:type="dxa"/>
            <w:tcBorders>
              <w:top w:val="nil"/>
              <w:left w:val="nil"/>
              <w:bottom w:val="nil"/>
              <w:right w:val="single" w:sz="12" w:space="0" w:color="0067AC"/>
            </w:tcBorders>
            <w:shd w:val="clear" w:color="000000" w:fill="E6F3EF"/>
            <w:noWrap/>
            <w:vAlign w:val="center"/>
            <w:hideMark/>
          </w:tcPr>
          <w:p w14:paraId="03F063D6" w14:textId="5805EC31"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0,</w:t>
            </w:r>
            <w:r w:rsidR="0068581E">
              <w:rPr>
                <w:rFonts w:eastAsia="Times New Roman" w:cs="Calibri"/>
                <w:color w:val="0070C0"/>
                <w:sz w:val="18"/>
                <w:szCs w:val="18"/>
                <w:lang w:eastAsia="sk-SK"/>
              </w:rPr>
              <w:t>1 %</w:t>
            </w:r>
          </w:p>
        </w:tc>
      </w:tr>
      <w:tr w:rsidR="009F53B1" w:rsidRPr="00033F17" w14:paraId="7B3CCC0E" w14:textId="77777777" w:rsidTr="009F53B1">
        <w:trPr>
          <w:trHeight w:val="290"/>
        </w:trPr>
        <w:tc>
          <w:tcPr>
            <w:tcW w:w="2705" w:type="dxa"/>
            <w:tcBorders>
              <w:top w:val="nil"/>
              <w:left w:val="single" w:sz="12" w:space="0" w:color="0067AC"/>
              <w:bottom w:val="single" w:sz="12" w:space="0" w:color="0067AC"/>
              <w:right w:val="single" w:sz="12" w:space="0" w:color="0067AC"/>
            </w:tcBorders>
            <w:shd w:val="clear" w:color="000000" w:fill="FFFFFF"/>
            <w:noWrap/>
            <w:vAlign w:val="center"/>
            <w:hideMark/>
          </w:tcPr>
          <w:p w14:paraId="0B439ADA" w14:textId="77777777" w:rsidR="009F53B1" w:rsidRPr="00D215FD" w:rsidRDefault="009F53B1" w:rsidP="003D53B7">
            <w:pPr>
              <w:keepNext/>
              <w:spacing w:before="0" w:after="0" w:line="240" w:lineRule="auto"/>
              <w:rPr>
                <w:rFonts w:eastAsia="Times New Roman" w:cs="Calibri"/>
                <w:color w:val="0067AC"/>
                <w:sz w:val="18"/>
                <w:szCs w:val="18"/>
                <w:lang w:eastAsia="sk-SK"/>
              </w:rPr>
            </w:pPr>
            <w:r w:rsidRPr="00D215FD">
              <w:rPr>
                <w:rFonts w:eastAsia="Times New Roman" w:cs="Calibri"/>
                <w:color w:val="0067AC"/>
                <w:sz w:val="18"/>
                <w:szCs w:val="18"/>
                <w:lang w:eastAsia="sk-SK"/>
              </w:rPr>
              <w:t xml:space="preserve"> Poľnohospodárstvo</w:t>
            </w:r>
          </w:p>
        </w:tc>
        <w:tc>
          <w:tcPr>
            <w:tcW w:w="1251" w:type="dxa"/>
            <w:tcBorders>
              <w:top w:val="nil"/>
              <w:left w:val="single" w:sz="12" w:space="0" w:color="0067AC"/>
              <w:bottom w:val="single" w:sz="12" w:space="0" w:color="0067AC"/>
              <w:right w:val="nil"/>
            </w:tcBorders>
            <w:shd w:val="clear" w:color="000000" w:fill="92D050"/>
            <w:noWrap/>
            <w:vAlign w:val="center"/>
            <w:hideMark/>
          </w:tcPr>
          <w:p w14:paraId="3B9841D6" w14:textId="77777777" w:rsidR="009F53B1" w:rsidRPr="00D215FD" w:rsidRDefault="009F53B1" w:rsidP="003D53B7">
            <w:pPr>
              <w:keepNext/>
              <w:spacing w:before="0" w:after="0" w:line="240" w:lineRule="auto"/>
              <w:rPr>
                <w:rFonts w:eastAsia="Times New Roman" w:cs="Calibri"/>
                <w:color w:val="000000"/>
                <w:sz w:val="18"/>
                <w:szCs w:val="18"/>
                <w:lang w:eastAsia="sk-SK"/>
              </w:rPr>
            </w:pPr>
            <w:r w:rsidRPr="00D215FD">
              <w:rPr>
                <w:rFonts w:eastAsia="Times New Roman" w:cs="Calibri"/>
                <w:color w:val="000000"/>
                <w:sz w:val="18"/>
                <w:szCs w:val="18"/>
                <w:lang w:eastAsia="sk-SK"/>
              </w:rPr>
              <w:t>Málo citlivé</w:t>
            </w:r>
          </w:p>
        </w:tc>
        <w:tc>
          <w:tcPr>
            <w:tcW w:w="1028" w:type="dxa"/>
            <w:tcBorders>
              <w:top w:val="nil"/>
              <w:left w:val="single" w:sz="12" w:space="0" w:color="0067AC"/>
              <w:bottom w:val="single" w:sz="12" w:space="0" w:color="0067AC"/>
              <w:right w:val="single" w:sz="4" w:space="0" w:color="0067AC"/>
            </w:tcBorders>
            <w:shd w:val="clear" w:color="000000" w:fill="FFFFFF"/>
            <w:noWrap/>
            <w:vAlign w:val="center"/>
            <w:hideMark/>
          </w:tcPr>
          <w:p w14:paraId="5B2281C3" w14:textId="351CA178"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6,</w:t>
            </w:r>
            <w:r w:rsidR="0068581E">
              <w:rPr>
                <w:rFonts w:eastAsia="Times New Roman" w:cs="Calibri"/>
                <w:color w:val="0070C0"/>
                <w:sz w:val="18"/>
                <w:szCs w:val="18"/>
                <w:lang w:eastAsia="sk-SK"/>
              </w:rPr>
              <w:t>7 %</w:t>
            </w:r>
          </w:p>
        </w:tc>
        <w:tc>
          <w:tcPr>
            <w:tcW w:w="1028" w:type="dxa"/>
            <w:tcBorders>
              <w:top w:val="nil"/>
              <w:left w:val="nil"/>
              <w:bottom w:val="single" w:sz="12" w:space="0" w:color="0067AC"/>
              <w:right w:val="single" w:sz="4" w:space="0" w:color="0067AC"/>
            </w:tcBorders>
            <w:shd w:val="clear" w:color="000000" w:fill="FFFFFF"/>
            <w:noWrap/>
            <w:vAlign w:val="center"/>
            <w:hideMark/>
          </w:tcPr>
          <w:p w14:paraId="55D8F992" w14:textId="5DB0F00F"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2,</w:t>
            </w:r>
            <w:r w:rsidR="0068581E">
              <w:rPr>
                <w:rFonts w:eastAsia="Times New Roman" w:cs="Calibri"/>
                <w:color w:val="0070C0"/>
                <w:sz w:val="18"/>
                <w:szCs w:val="18"/>
                <w:lang w:eastAsia="sk-SK"/>
              </w:rPr>
              <w:t>5 %</w:t>
            </w:r>
          </w:p>
        </w:tc>
        <w:tc>
          <w:tcPr>
            <w:tcW w:w="1028" w:type="dxa"/>
            <w:tcBorders>
              <w:top w:val="nil"/>
              <w:left w:val="nil"/>
              <w:bottom w:val="single" w:sz="12" w:space="0" w:color="0067AC"/>
              <w:right w:val="single" w:sz="12" w:space="0" w:color="0067AC"/>
            </w:tcBorders>
            <w:shd w:val="clear" w:color="000000" w:fill="FFFFFF"/>
            <w:noWrap/>
            <w:vAlign w:val="center"/>
            <w:hideMark/>
          </w:tcPr>
          <w:p w14:paraId="7FEB26CF" w14:textId="71EA2513" w:rsidR="009F53B1" w:rsidRPr="00D215FD" w:rsidRDefault="009F53B1" w:rsidP="003D53B7">
            <w:pPr>
              <w:keepNext/>
              <w:spacing w:before="0" w:after="0" w:line="240" w:lineRule="auto"/>
              <w:ind w:firstLineChars="100" w:firstLine="178"/>
              <w:jc w:val="right"/>
              <w:rPr>
                <w:rFonts w:eastAsia="Times New Roman" w:cs="Calibri"/>
                <w:color w:val="0070C0"/>
                <w:sz w:val="18"/>
                <w:szCs w:val="18"/>
                <w:lang w:eastAsia="sk-SK"/>
              </w:rPr>
            </w:pPr>
            <w:r w:rsidRPr="00D215FD">
              <w:rPr>
                <w:rFonts w:eastAsia="Times New Roman" w:cs="Calibri"/>
                <w:color w:val="0070C0"/>
                <w:sz w:val="18"/>
                <w:szCs w:val="18"/>
                <w:lang w:eastAsia="sk-SK"/>
              </w:rPr>
              <w:t>4,</w:t>
            </w:r>
            <w:r w:rsidR="0068581E">
              <w:rPr>
                <w:rFonts w:eastAsia="Times New Roman" w:cs="Calibri"/>
                <w:color w:val="0070C0"/>
                <w:sz w:val="18"/>
                <w:szCs w:val="18"/>
                <w:lang w:eastAsia="sk-SK"/>
              </w:rPr>
              <w:t>5 %</w:t>
            </w:r>
          </w:p>
        </w:tc>
      </w:tr>
    </w:tbl>
    <w:p w14:paraId="666D34D6" w14:textId="77777777" w:rsidR="009F53B1" w:rsidRPr="00BC5452" w:rsidRDefault="009F53B1" w:rsidP="00BC5452">
      <w:pPr>
        <w:pStyle w:val="Podgrafom"/>
      </w:pPr>
      <w:r w:rsidRPr="00BC5452">
        <w:t>Zdroj: NBS</w:t>
      </w:r>
    </w:p>
    <w:p w14:paraId="0690EA69" w14:textId="3A757783" w:rsidR="009F53B1" w:rsidRPr="00BC5452" w:rsidRDefault="009F53B1" w:rsidP="00BC5452">
      <w:pPr>
        <w:pStyle w:val="Podgrafom"/>
      </w:pPr>
      <w:r w:rsidRPr="00BC5452">
        <w:t xml:space="preserve">Poznámka: Ekonomické odvetvia boli podľa citlivosti rozdelené do troch kategórií. Delenie bolo uskutočnené primárne na základe informácií </w:t>
      </w:r>
      <w:r w:rsidR="0068581E">
        <w:t>o </w:t>
      </w:r>
      <w:r w:rsidRPr="00BC5452">
        <w:t xml:space="preserve">vývoji tržieb, ktoré boli doplnené porovnaním finančných indikátorov a expertným zhodnotením odvetvia. Detailnejšie informácie týkajúce sa hodnotenia citlivosti ekonomických odvetví na vplyv pandémie ochorenia COVID-19 sú uvedené </w:t>
      </w:r>
      <w:r w:rsidR="0068581E">
        <w:t>v </w:t>
      </w:r>
      <w:r w:rsidRPr="00BC5452">
        <w:t xml:space="preserve">Správe </w:t>
      </w:r>
      <w:r w:rsidR="0068581E">
        <w:t>o </w:t>
      </w:r>
      <w:r w:rsidRPr="00BC5452">
        <w:t xml:space="preserve">finančnej stabilite </w:t>
      </w:r>
      <w:r w:rsidR="0068581E">
        <w:t>k </w:t>
      </w:r>
      <w:r w:rsidRPr="00BC5452">
        <w:t>máju 2020 (Box 6, s. 53 – 55).</w:t>
      </w:r>
    </w:p>
    <w:p w14:paraId="007D6A82" w14:textId="77777777" w:rsidR="009F53B1" w:rsidRPr="00BC5452" w:rsidRDefault="009F53B1" w:rsidP="00BC5452">
      <w:pPr>
        <w:pStyle w:val="Podgrafom"/>
      </w:pPr>
    </w:p>
    <w:p w14:paraId="666B9EB8" w14:textId="5F49CBF3" w:rsidR="009F53B1" w:rsidRPr="004D01EB" w:rsidRDefault="009F53B1" w:rsidP="009F53B1">
      <w:r w:rsidRPr="00BB6978">
        <w:rPr>
          <w:b/>
        </w:rPr>
        <w:t xml:space="preserve">Úvery </w:t>
      </w:r>
      <w:r w:rsidR="0068581E">
        <w:rPr>
          <w:b/>
        </w:rPr>
        <w:t>s </w:t>
      </w:r>
      <w:r w:rsidRPr="00BB6978">
        <w:rPr>
          <w:b/>
        </w:rPr>
        <w:t>odkladom splátok vykazujú vyššiu rizikovosť</w:t>
      </w:r>
      <w:r>
        <w:rPr>
          <w:b/>
        </w:rPr>
        <w:t xml:space="preserve"> </w:t>
      </w:r>
      <w:r w:rsidR="0068581E">
        <w:rPr>
          <w:b/>
        </w:rPr>
        <w:t>v </w:t>
      </w:r>
      <w:r>
        <w:rPr>
          <w:b/>
        </w:rPr>
        <w:t xml:space="preserve">porovnaní </w:t>
      </w:r>
      <w:r w:rsidR="0068581E">
        <w:rPr>
          <w:b/>
        </w:rPr>
        <w:t>s </w:t>
      </w:r>
      <w:r>
        <w:rPr>
          <w:b/>
        </w:rPr>
        <w:t>úvermi bez odkladu splátok</w:t>
      </w:r>
      <w:r w:rsidRPr="00BB6978">
        <w:rPr>
          <w:b/>
        </w:rPr>
        <w:t>.</w:t>
      </w:r>
      <w:r>
        <w:rPr>
          <w:b/>
        </w:rPr>
        <w:t xml:space="preserve"> </w:t>
      </w:r>
      <w:r>
        <w:rPr>
          <w:bCs/>
        </w:rPr>
        <w:t xml:space="preserve">Vyššiu rizikovosť je možné pozorovať predovšetkým </w:t>
      </w:r>
      <w:r w:rsidR="0068581E">
        <w:rPr>
          <w:bCs/>
        </w:rPr>
        <w:t>v </w:t>
      </w:r>
      <w:r>
        <w:rPr>
          <w:bCs/>
        </w:rPr>
        <w:t>prípade ukazovateľov zadlženosti a aktivity a </w:t>
      </w:r>
      <w:r w:rsidR="0068581E">
        <w:rPr>
          <w:bCs/>
        </w:rPr>
        <w:t>v </w:t>
      </w:r>
      <w:r>
        <w:rPr>
          <w:bCs/>
        </w:rPr>
        <w:t xml:space="preserve">menšom rozsahu aj </w:t>
      </w:r>
      <w:r w:rsidR="0068581E">
        <w:rPr>
          <w:bCs/>
        </w:rPr>
        <w:t>v </w:t>
      </w:r>
      <w:r>
        <w:rPr>
          <w:bCs/>
        </w:rPr>
        <w:t>prípade likvidity. Pozitívne možno hodnotiť skutočnosť, že vyššia rizikovosť týchto úverov je pokrytá vyššou úrokovou sadzbou.</w:t>
      </w:r>
    </w:p>
    <w:p w14:paraId="49B4DA1A" w14:textId="50FD410A" w:rsidR="009F53B1" w:rsidRDefault="0068581E" w:rsidP="009F53B1">
      <w:r>
        <w:rPr>
          <w:b/>
          <w:bCs/>
        </w:rPr>
        <w:t>V </w:t>
      </w:r>
      <w:r w:rsidR="009F53B1" w:rsidRPr="00E74099">
        <w:rPr>
          <w:b/>
          <w:bCs/>
        </w:rPr>
        <w:t>medzinárodnom porovnaní krajín</w:t>
      </w:r>
      <w:r w:rsidR="009F53B1">
        <w:rPr>
          <w:b/>
          <w:bCs/>
        </w:rPr>
        <w:t xml:space="preserve"> EHP</w:t>
      </w:r>
      <w:r w:rsidR="009F53B1" w:rsidRPr="00E74099">
        <w:rPr>
          <w:b/>
          <w:bCs/>
        </w:rPr>
        <w:t xml:space="preserve"> </w:t>
      </w:r>
      <w:r w:rsidR="009F53B1">
        <w:rPr>
          <w:b/>
          <w:bCs/>
        </w:rPr>
        <w:t>sa</w:t>
      </w:r>
      <w:r w:rsidR="009F53B1" w:rsidRPr="00E74099">
        <w:rPr>
          <w:b/>
          <w:bCs/>
        </w:rPr>
        <w:t xml:space="preserve"> Slovensko </w:t>
      </w:r>
      <w:r>
        <w:rPr>
          <w:b/>
          <w:bCs/>
        </w:rPr>
        <w:t>s </w:t>
      </w:r>
      <w:r w:rsidR="009F53B1" w:rsidRPr="00E74099">
        <w:rPr>
          <w:b/>
          <w:bCs/>
        </w:rPr>
        <w:t>objem</w:t>
      </w:r>
      <w:r w:rsidR="009F53B1">
        <w:rPr>
          <w:b/>
          <w:bCs/>
        </w:rPr>
        <w:t>om</w:t>
      </w:r>
      <w:r w:rsidR="009F53B1" w:rsidRPr="00E74099">
        <w:rPr>
          <w:b/>
          <w:bCs/>
        </w:rPr>
        <w:t xml:space="preserve"> odložených úverov </w:t>
      </w:r>
      <w:r>
        <w:rPr>
          <w:b/>
          <w:bCs/>
        </w:rPr>
        <w:t>k </w:t>
      </w:r>
      <w:r w:rsidR="009F53B1">
        <w:rPr>
          <w:b/>
          <w:bCs/>
        </w:rPr>
        <w:t>celkovému úverovému portfóliu ku koncu prvého štvrťroka 2020 na úrovni približne 7,</w:t>
      </w:r>
      <w:r>
        <w:rPr>
          <w:b/>
          <w:bCs/>
        </w:rPr>
        <w:t>5 %</w:t>
      </w:r>
      <w:r w:rsidR="009F53B1">
        <w:rPr>
          <w:b/>
          <w:bCs/>
        </w:rPr>
        <w:t xml:space="preserve"> zaradilo mierne nad priemer krajín </w:t>
      </w:r>
      <w:r w:rsidR="001A0DE1">
        <w:rPr>
          <w:b/>
          <w:bCs/>
        </w:rPr>
        <w:t>EÚ</w:t>
      </w:r>
      <w:r w:rsidR="009F53B1">
        <w:t xml:space="preserve">. Ku krajinám, ktoré tento nástroj využívajú výrazne rozsiahlejšie, sa zaraďujú Cyprus, Maďarsko, Portugalsko, Malta, Taliansko, Chorvátsko a Grécko. </w:t>
      </w:r>
    </w:p>
    <w:p w14:paraId="3A1FF3E8" w14:textId="69EF6BF0" w:rsidR="009F53B1" w:rsidRDefault="009F53B1" w:rsidP="009F53B1">
      <w:r w:rsidRPr="001A0DE1">
        <w:t xml:space="preserve">Charakter nastavenia </w:t>
      </w:r>
      <w:r w:rsidR="0068581E">
        <w:t>i </w:t>
      </w:r>
      <w:r w:rsidRPr="001A0DE1">
        <w:t xml:space="preserve">využívania nástroja odkladu splátok naprieč krajinami </w:t>
      </w:r>
      <w:r w:rsidR="001A0DE1">
        <w:t>EÚ</w:t>
      </w:r>
      <w:r w:rsidRPr="001A0DE1">
        <w:t xml:space="preserve"> je rôzny.</w:t>
      </w:r>
      <w:r>
        <w:t xml:space="preserve"> Medzi krajinami, ktoré zverejnili parametre tohto nástroja, je najrozšírenejšie poskytovaný odklad </w:t>
      </w:r>
      <w:r w:rsidR="0068581E">
        <w:t>v </w:t>
      </w:r>
      <w:r>
        <w:t xml:space="preserve">trvaní od 3 do 6 mesiacov, zatiaľ čo na </w:t>
      </w:r>
      <w:r>
        <w:lastRenderedPageBreak/>
        <w:t xml:space="preserve">Slovensku takmer polovica odložených úverov mala schválený odklad </w:t>
      </w:r>
      <w:r w:rsidR="0068581E">
        <w:t>v </w:t>
      </w:r>
      <w:r>
        <w:t>trvaní 6</w:t>
      </w:r>
      <w:r w:rsidR="00B44258">
        <w:t> </w:t>
      </w:r>
      <w:r>
        <w:t>až 9 mesiacov.</w:t>
      </w:r>
    </w:p>
    <w:p w14:paraId="14235E5E" w14:textId="517A0FEA" w:rsidR="009F53B1" w:rsidRPr="00D01103" w:rsidRDefault="009F53B1" w:rsidP="00D01103">
      <w:pPr>
        <w:pStyle w:val="Modrnadpis"/>
      </w:pPr>
      <w:r w:rsidRPr="00D01103">
        <w:t xml:space="preserve">Využívanie vládnych garančných schém </w:t>
      </w:r>
      <w:r w:rsidR="00F757BB">
        <w:t>sa postupne zvyšuje</w:t>
      </w:r>
    </w:p>
    <w:p w14:paraId="2BE7F120" w14:textId="2F6F9513" w:rsidR="009F53B1" w:rsidRDefault="009F53B1" w:rsidP="009F53B1">
      <w:r w:rsidRPr="004D01EB">
        <w:rPr>
          <w:b/>
          <w:bCs/>
        </w:rPr>
        <w:t xml:space="preserve">Celkovo bolo na Slovensku </w:t>
      </w:r>
      <w:r w:rsidR="0068581E">
        <w:rPr>
          <w:b/>
          <w:bCs/>
        </w:rPr>
        <w:t>v </w:t>
      </w:r>
      <w:r w:rsidRPr="004D01EB">
        <w:rPr>
          <w:b/>
          <w:bCs/>
        </w:rPr>
        <w:t xml:space="preserve">súvislosti </w:t>
      </w:r>
      <w:r w:rsidR="0068581E">
        <w:rPr>
          <w:b/>
          <w:bCs/>
        </w:rPr>
        <w:t>s </w:t>
      </w:r>
      <w:r w:rsidRPr="004D01EB">
        <w:rPr>
          <w:b/>
          <w:bCs/>
        </w:rPr>
        <w:t>pandémiou COVID-19 otvorených 6 garančných schém</w:t>
      </w:r>
      <w:r w:rsidRPr="004D01EB">
        <w:t xml:space="preserve">, </w:t>
      </w:r>
      <w:r w:rsidR="0068581E">
        <w:t>z </w:t>
      </w:r>
      <w:r w:rsidRPr="004D01EB">
        <w:t xml:space="preserve">ktorých 2 schémy </w:t>
      </w:r>
      <w:r w:rsidR="0068581E">
        <w:t>v </w:t>
      </w:r>
      <w:r w:rsidRPr="004D01EB">
        <w:t xml:space="preserve">súlade </w:t>
      </w:r>
      <w:r w:rsidR="0068581E">
        <w:t>s </w:t>
      </w:r>
      <w:r w:rsidRPr="004D01EB">
        <w:t xml:space="preserve">trvalými pravidlami </w:t>
      </w:r>
      <w:r w:rsidR="0068581E">
        <w:t>o </w:t>
      </w:r>
      <w:r w:rsidRPr="004D01EB">
        <w:t>povolenej štátnej pomoci (</w:t>
      </w:r>
      <w:r w:rsidRPr="004D01EB">
        <w:rPr>
          <w:i/>
          <w:iCs/>
        </w:rPr>
        <w:t xml:space="preserve">de </w:t>
      </w:r>
      <w:proofErr w:type="spellStart"/>
      <w:r w:rsidRPr="004D01EB">
        <w:rPr>
          <w:i/>
          <w:iCs/>
        </w:rPr>
        <w:t>minimis</w:t>
      </w:r>
      <w:proofErr w:type="spellEnd"/>
      <w:r w:rsidRPr="004D01EB">
        <w:rPr>
          <w:i/>
          <w:iCs/>
        </w:rPr>
        <w:t xml:space="preserve"> schémy</w:t>
      </w:r>
      <w:r w:rsidRPr="004D01EB">
        <w:t xml:space="preserve">) už boli počas druhého štvrťroka uzavreté </w:t>
      </w:r>
      <w:r w:rsidR="0068581E">
        <w:t>z </w:t>
      </w:r>
      <w:r w:rsidRPr="004D01EB">
        <w:t>dôvodu vyčerpania alokovaných prostriedkov, resp. spustenia programu veľkej garančnej schémy (3 samostatné garančné schémy).</w:t>
      </w:r>
      <w:r w:rsidRPr="004D01EB">
        <w:rPr>
          <w:b/>
          <w:bCs/>
        </w:rPr>
        <w:t xml:space="preserve"> </w:t>
      </w:r>
    </w:p>
    <w:p w14:paraId="10B91751" w14:textId="25B88AAE" w:rsidR="009F53B1" w:rsidRPr="00F757BB" w:rsidRDefault="0068581E" w:rsidP="009F53B1">
      <w:pPr>
        <w:rPr>
          <w:color w:val="FF0000"/>
        </w:rPr>
      </w:pPr>
      <w:r>
        <w:rPr>
          <w:b/>
          <w:bCs/>
        </w:rPr>
        <w:t>K </w:t>
      </w:r>
      <w:r w:rsidR="009F53B1" w:rsidRPr="00C254A1">
        <w:rPr>
          <w:b/>
          <w:bCs/>
        </w:rPr>
        <w:t>31. </w:t>
      </w:r>
      <w:r w:rsidR="009F53B1">
        <w:rPr>
          <w:b/>
          <w:bCs/>
        </w:rPr>
        <w:t>júlu</w:t>
      </w:r>
      <w:r w:rsidR="009F53B1" w:rsidRPr="00C254A1">
        <w:rPr>
          <w:b/>
          <w:bCs/>
        </w:rPr>
        <w:t xml:space="preserve"> 2020 bolo </w:t>
      </w:r>
      <w:r w:rsidR="009F53B1">
        <w:rPr>
          <w:b/>
          <w:bCs/>
        </w:rPr>
        <w:t>poskytnutých 13</w:t>
      </w:r>
      <w:r>
        <w:rPr>
          <w:b/>
          <w:bCs/>
        </w:rPr>
        <w:t>6 mil. €</w:t>
      </w:r>
      <w:r w:rsidR="007F6D98">
        <w:rPr>
          <w:b/>
          <w:bCs/>
        </w:rPr>
        <w:t xml:space="preserve"> </w:t>
      </w:r>
      <w:r w:rsidR="009F53B1">
        <w:rPr>
          <w:b/>
          <w:bCs/>
        </w:rPr>
        <w:t xml:space="preserve">úverov so štátnou garanciou pre 1 437 podnikov. </w:t>
      </w:r>
      <w:r>
        <w:t>V </w:t>
      </w:r>
      <w:r w:rsidR="009F53B1">
        <w:t xml:space="preserve">prvej fáze boli podnikom </w:t>
      </w:r>
      <w:r>
        <w:t>k </w:t>
      </w:r>
      <w:r w:rsidR="009F53B1">
        <w:t>dispozíci</w:t>
      </w:r>
      <w:r w:rsidR="00655753">
        <w:t>i</w:t>
      </w:r>
      <w:r w:rsidR="009F53B1">
        <w:t xml:space="preserve"> len 3 </w:t>
      </w:r>
      <w:r w:rsidR="009F53B1" w:rsidRPr="00C24DBD">
        <w:rPr>
          <w:i/>
          <w:iCs/>
        </w:rPr>
        <w:t xml:space="preserve">de </w:t>
      </w:r>
      <w:proofErr w:type="spellStart"/>
      <w:r w:rsidR="009F53B1" w:rsidRPr="00C24DBD">
        <w:rPr>
          <w:i/>
          <w:iCs/>
        </w:rPr>
        <w:t>minimis</w:t>
      </w:r>
      <w:proofErr w:type="spellEnd"/>
      <w:r w:rsidR="009F53B1">
        <w:t xml:space="preserve"> garančné schémy, </w:t>
      </w:r>
      <w:r>
        <w:t>v </w:t>
      </w:r>
      <w:r w:rsidR="009F53B1">
        <w:t xml:space="preserve">rámci ktorých </w:t>
      </w:r>
      <w:r>
        <w:t>z </w:t>
      </w:r>
      <w:r w:rsidR="009F53B1">
        <w:t xml:space="preserve">prijímateľov pomoci boli vylúčené veľké podniky. To malo za následok, že hlavnými prijímateľmi pomoci boli hlavne </w:t>
      </w:r>
      <w:proofErr w:type="spellStart"/>
      <w:r w:rsidR="009F53B1">
        <w:t>mikropodniky</w:t>
      </w:r>
      <w:proofErr w:type="spellEnd"/>
      <w:r w:rsidR="009F53B1">
        <w:t xml:space="preserve"> a malé podniky (kumulatívne 7</w:t>
      </w:r>
      <w:r>
        <w:t>4 %</w:t>
      </w:r>
      <w:r w:rsidR="009F53B1">
        <w:t xml:space="preserve"> objemu, ale až 9</w:t>
      </w:r>
      <w:r>
        <w:t>3 %</w:t>
      </w:r>
      <w:r w:rsidR="009F53B1">
        <w:t xml:space="preserve"> počtu podnikov). </w:t>
      </w:r>
      <w:r>
        <w:t>Z </w:t>
      </w:r>
      <w:r w:rsidR="009F53B1">
        <w:t xml:space="preserve">celkového objemu novo-poskytnutých úverov za obdobie máj 2020 až júl 2020 </w:t>
      </w:r>
      <w:r w:rsidR="0040692D">
        <w:t>(</w:t>
      </w:r>
      <w:proofErr w:type="spellStart"/>
      <w:r w:rsidR="009F53B1">
        <w:t>mikropodniky</w:t>
      </w:r>
      <w:proofErr w:type="spellEnd"/>
      <w:r w:rsidR="009F53B1">
        <w:t>, malé a stredné podniky</w:t>
      </w:r>
      <w:r w:rsidR="0040692D">
        <w:t>)</w:t>
      </w:r>
      <w:r w:rsidR="009F53B1">
        <w:t xml:space="preserve"> tvorili úvery so štátnou zárukou 1</w:t>
      </w:r>
      <w:r>
        <w:t>4 %</w:t>
      </w:r>
      <w:r w:rsidR="009F53B1">
        <w:t xml:space="preserve">. </w:t>
      </w:r>
      <w:r>
        <w:t>V </w:t>
      </w:r>
      <w:r w:rsidR="00F757BB">
        <w:t xml:space="preserve">júli 2020 začali banky poskytovať úvery aj </w:t>
      </w:r>
      <w:r>
        <w:t>z </w:t>
      </w:r>
      <w:r w:rsidR="00F757BB">
        <w:t>tzv. veľkej garančnej schémy</w:t>
      </w:r>
      <w:r w:rsidR="00F757BB" w:rsidRPr="00F2583B">
        <w:t xml:space="preserve">. </w:t>
      </w:r>
    </w:p>
    <w:p w14:paraId="27C02DDB" w14:textId="7BF23DAF" w:rsidR="009F53B1" w:rsidRDefault="009F53B1" w:rsidP="009F53B1">
      <w:r w:rsidRPr="0044489E">
        <w:rPr>
          <w:b/>
          <w:bCs/>
        </w:rPr>
        <w:t xml:space="preserve">Banky poskytovali </w:t>
      </w:r>
      <w:r>
        <w:rPr>
          <w:b/>
          <w:bCs/>
        </w:rPr>
        <w:t xml:space="preserve">úvery so štátnou garanciou predovšetkým klientom </w:t>
      </w:r>
      <w:r w:rsidR="0068581E">
        <w:rPr>
          <w:b/>
          <w:bCs/>
        </w:rPr>
        <w:t>s </w:t>
      </w:r>
      <w:r>
        <w:rPr>
          <w:b/>
          <w:bCs/>
        </w:rPr>
        <w:t xml:space="preserve">overenou platobnou disciplínou </w:t>
      </w:r>
      <w:r w:rsidR="0068581E">
        <w:rPr>
          <w:b/>
          <w:bCs/>
        </w:rPr>
        <w:t>v </w:t>
      </w:r>
      <w:r>
        <w:rPr>
          <w:b/>
          <w:bCs/>
        </w:rPr>
        <w:t>danej, resp. inej inštitúcii.</w:t>
      </w:r>
      <w:r>
        <w:t xml:space="preserve"> </w:t>
      </w:r>
      <w:r w:rsidR="0068581E">
        <w:t>Z </w:t>
      </w:r>
      <w:r>
        <w:t>celkového objemu štátom garantovaných úverov</w:t>
      </w:r>
      <w:r w:rsidRPr="008A73F1">
        <w:t xml:space="preserve"> </w:t>
      </w:r>
      <w:r>
        <w:t xml:space="preserve">smerovalo len </w:t>
      </w:r>
      <w:r w:rsidR="0068581E">
        <w:t>9 %</w:t>
      </w:r>
      <w:r>
        <w:t xml:space="preserve"> podnikom, ktoré </w:t>
      </w:r>
      <w:r w:rsidR="0068581E">
        <w:t>v </w:t>
      </w:r>
      <w:r>
        <w:t xml:space="preserve">posledných dvanástich mesiacoch nesplácali iný bankový úver. </w:t>
      </w:r>
      <w:r w:rsidR="0068581E">
        <w:t>Z </w:t>
      </w:r>
      <w:r>
        <w:t>pohľadu čerpania podľa ekonomických odvetví boli úvery so štátnou zárukou smerované predovšetkým do odvetví obchodu (3</w:t>
      </w:r>
      <w:r w:rsidR="0068581E">
        <w:t>2 %</w:t>
      </w:r>
      <w:r>
        <w:t>) a priemyslu (2</w:t>
      </w:r>
      <w:r w:rsidR="0068581E">
        <w:t>4 %</w:t>
      </w:r>
      <w:r>
        <w:t>). Vzhľadom na ekonomickú silu uvedených odvetví však úvery so štátnou garanciou tvorili len 1</w:t>
      </w:r>
      <w:r w:rsidR="0068581E">
        <w:t>1 %</w:t>
      </w:r>
      <w:r>
        <w:t xml:space="preserve">, resp. </w:t>
      </w:r>
      <w:r w:rsidR="0068581E">
        <w:t>6 %</w:t>
      </w:r>
      <w:r>
        <w:t xml:space="preserve"> </w:t>
      </w:r>
      <w:r w:rsidR="0068581E">
        <w:t>z </w:t>
      </w:r>
      <w:r>
        <w:t xml:space="preserve">celkového objemu úverov poskytnutých podnikom </w:t>
      </w:r>
      <w:r w:rsidR="0068581E">
        <w:t>z </w:t>
      </w:r>
      <w:r>
        <w:t xml:space="preserve">daných odvetví. Dôležitosť úverov so štátnou zárukou sa prejavila predovšetkým pre podniky </w:t>
      </w:r>
      <w:r w:rsidR="0068581E">
        <w:t>z </w:t>
      </w:r>
      <w:r>
        <w:t>odvetvia ubytovania a stravovania, kde až 4</w:t>
      </w:r>
      <w:r w:rsidR="0068581E">
        <w:t>5 %</w:t>
      </w:r>
      <w:r>
        <w:t xml:space="preserve"> objemu poskytnutých úverov bolo </w:t>
      </w:r>
      <w:r w:rsidR="0068581E">
        <w:t>v </w:t>
      </w:r>
      <w:r>
        <w:t>rámci garančných schém.</w:t>
      </w:r>
    </w:p>
    <w:p w14:paraId="12AC0394" w14:textId="10BC0AA7" w:rsidR="009F53B1" w:rsidRPr="0044489E" w:rsidRDefault="0068581E" w:rsidP="009F53B1">
      <w:r>
        <w:rPr>
          <w:b/>
          <w:bCs/>
        </w:rPr>
        <w:t>Z </w:t>
      </w:r>
      <w:r w:rsidR="009F53B1" w:rsidRPr="00622131">
        <w:rPr>
          <w:b/>
          <w:bCs/>
        </w:rPr>
        <w:t xml:space="preserve">pohľadu medzinárodného porovnania nepatrí Slovensko </w:t>
      </w:r>
      <w:r>
        <w:rPr>
          <w:b/>
          <w:bCs/>
        </w:rPr>
        <w:t>v </w:t>
      </w:r>
      <w:r w:rsidR="009F53B1" w:rsidRPr="00622131">
        <w:rPr>
          <w:b/>
          <w:bCs/>
        </w:rPr>
        <w:t xml:space="preserve">celkovej alokácii ani </w:t>
      </w:r>
      <w:r>
        <w:rPr>
          <w:b/>
          <w:bCs/>
        </w:rPr>
        <w:t>v </w:t>
      </w:r>
      <w:r w:rsidR="009F53B1" w:rsidRPr="00622131">
        <w:rPr>
          <w:b/>
          <w:bCs/>
        </w:rPr>
        <w:t xml:space="preserve">čerpaní tejto formy pomoci </w:t>
      </w:r>
      <w:r>
        <w:rPr>
          <w:b/>
          <w:bCs/>
        </w:rPr>
        <w:t>k </w:t>
      </w:r>
      <w:r w:rsidR="009F53B1" w:rsidRPr="00FB16AF">
        <w:rPr>
          <w:b/>
          <w:bCs/>
        </w:rPr>
        <w:t xml:space="preserve">HDP </w:t>
      </w:r>
      <w:r w:rsidR="009F53B1" w:rsidRPr="00622131">
        <w:rPr>
          <w:b/>
          <w:bCs/>
        </w:rPr>
        <w:t>medzi aktívne krajiny</w:t>
      </w:r>
      <w:r w:rsidR="009F53B1">
        <w:t>. Je v</w:t>
      </w:r>
      <w:r w:rsidR="00F2583B">
        <w:t xml:space="preserve">šak potrebné spomenúť, že </w:t>
      </w:r>
      <w:r w:rsidR="009F53B1">
        <w:t>čerpani</w:t>
      </w:r>
      <w:r w:rsidR="00F2583B">
        <w:t>e</w:t>
      </w:r>
      <w:r w:rsidR="009F53B1">
        <w:t xml:space="preserve"> </w:t>
      </w:r>
      <w:r w:rsidR="00F2583B">
        <w:t>tohto</w:t>
      </w:r>
      <w:r w:rsidR="009F53B1">
        <w:t xml:space="preserve"> nástroj</w:t>
      </w:r>
      <w:r w:rsidR="00F2583B">
        <w:t>a</w:t>
      </w:r>
      <w:r w:rsidR="009F53B1">
        <w:t xml:space="preserve"> je medzi krajinami </w:t>
      </w:r>
      <w:r w:rsidR="0040692D">
        <w:t>EÚ</w:t>
      </w:r>
      <w:r w:rsidR="009F53B1">
        <w:t xml:space="preserve"> relatívne </w:t>
      </w:r>
      <w:r w:rsidR="00F2583B">
        <w:t>mierne</w:t>
      </w:r>
      <w:r w:rsidR="009F53B1">
        <w:t>. Medzi najaktívnejšie krajiny vo využívaní tohto nástroja sa zaraďujú Taliansko, Poľsko a Španielsko.</w:t>
      </w:r>
    </w:p>
    <w:p w14:paraId="0736C22B" w14:textId="7F484885" w:rsidR="009F53B1" w:rsidRDefault="009F53B1" w:rsidP="009F53B1">
      <w:pPr>
        <w:rPr>
          <w:b/>
          <w:bCs/>
        </w:rPr>
      </w:pPr>
      <w:r>
        <w:rPr>
          <w:b/>
          <w:bCs/>
        </w:rPr>
        <w:t>Garančné schémy m</w:t>
      </w:r>
      <w:r w:rsidR="0040692D">
        <w:rPr>
          <w:b/>
          <w:bCs/>
        </w:rPr>
        <w:t>ajú</w:t>
      </w:r>
      <w:r>
        <w:rPr>
          <w:b/>
          <w:bCs/>
        </w:rPr>
        <w:t xml:space="preserve"> za cieľ uľahčiť prístup podnikov zasiahnutých pandémiou COVID-19 </w:t>
      </w:r>
      <w:r w:rsidR="0068581E">
        <w:rPr>
          <w:b/>
          <w:bCs/>
        </w:rPr>
        <w:t>k </w:t>
      </w:r>
      <w:r>
        <w:rPr>
          <w:b/>
          <w:bCs/>
        </w:rPr>
        <w:t>bankovému</w:t>
      </w:r>
      <w:r w:rsidR="00E31F4C">
        <w:rPr>
          <w:b/>
          <w:bCs/>
        </w:rPr>
        <w:t xml:space="preserve"> </w:t>
      </w:r>
      <w:r>
        <w:rPr>
          <w:b/>
          <w:bCs/>
        </w:rPr>
        <w:t xml:space="preserve">financovaniu a </w:t>
      </w:r>
      <w:r w:rsidR="0068581E">
        <w:rPr>
          <w:b/>
          <w:bCs/>
        </w:rPr>
        <w:t>v </w:t>
      </w:r>
      <w:r>
        <w:rPr>
          <w:b/>
          <w:bCs/>
        </w:rPr>
        <w:t xml:space="preserve">období zvýšenej rizikovej averzie bánk pôsobiť ako akcelerátor ekonomického oživenia. </w:t>
      </w:r>
      <w:r w:rsidRPr="009F3534">
        <w:t>Predovšetkým vzhľadom</w:t>
      </w:r>
      <w:r w:rsidRPr="00FD6B14">
        <w:t xml:space="preserve"> na administratívnu náročnosť (nejedno</w:t>
      </w:r>
      <w:r>
        <w:t>t</w:t>
      </w:r>
      <w:r w:rsidRPr="00FD6B14">
        <w:t xml:space="preserve">nosť </w:t>
      </w:r>
      <w:r>
        <w:t xml:space="preserve">a nejednoznačnosť </w:t>
      </w:r>
      <w:r w:rsidRPr="00FD6B14">
        <w:t>podmienok naprieč jednotlivými garančnými schémami)</w:t>
      </w:r>
      <w:r>
        <w:t xml:space="preserve"> a možnosť vylúčenia úveru </w:t>
      </w:r>
      <w:r w:rsidR="0068581E">
        <w:t>z </w:t>
      </w:r>
      <w:r>
        <w:t xml:space="preserve">portfólia garanciou krytých úverov </w:t>
      </w:r>
      <w:r w:rsidR="00F2583B">
        <w:t xml:space="preserve"> zo strany štátu, je </w:t>
      </w:r>
      <w:r w:rsidR="0040692D">
        <w:t xml:space="preserve">zatiaľ </w:t>
      </w:r>
      <w:r w:rsidR="00F2583B">
        <w:t>miera využívania tohto nástroja pomerne nízka.</w:t>
      </w:r>
      <w:r w:rsidRPr="004D01EB">
        <w:t xml:space="preserve"> </w:t>
      </w:r>
      <w:r w:rsidR="00F2583B">
        <w:t>Na druhej stran</w:t>
      </w:r>
      <w:r w:rsidRPr="004D01EB">
        <w:t>e</w:t>
      </w:r>
      <w:r w:rsidR="00F2583B">
        <w:t xml:space="preserve">, </w:t>
      </w:r>
      <w:r w:rsidRPr="004D01EB">
        <w:t xml:space="preserve">čerpanie úverov </w:t>
      </w:r>
      <w:r w:rsidR="0068581E">
        <w:t>s </w:t>
      </w:r>
      <w:r w:rsidRPr="004D01EB">
        <w:t xml:space="preserve"> vládnou garanciou </w:t>
      </w:r>
      <w:r w:rsidR="00F2583B">
        <w:t>má rastúci trend</w:t>
      </w:r>
      <w:r w:rsidRPr="004D01EB">
        <w:t>, ke</w:t>
      </w:r>
      <w:r w:rsidR="00F2583B">
        <w:t>ď</w:t>
      </w:r>
      <w:r w:rsidRPr="004D01EB">
        <w:t xml:space="preserve"> </w:t>
      </w:r>
      <w:r w:rsidR="0068581E">
        <w:t>v </w:t>
      </w:r>
      <w:r w:rsidRPr="004D01EB">
        <w:t>mesiacoch máj až júl 2020 bolo participujúcimi inštitúciami poskytnutých 1</w:t>
      </w:r>
      <w:r w:rsidR="0068581E">
        <w:t>4 mil. €</w:t>
      </w:r>
      <w:r w:rsidRPr="004D01EB">
        <w:t>, 4</w:t>
      </w:r>
      <w:r w:rsidR="0068581E">
        <w:t>6 mil. €</w:t>
      </w:r>
      <w:r w:rsidR="005A414C" w:rsidRPr="004D01EB">
        <w:t xml:space="preserve"> </w:t>
      </w:r>
      <w:r w:rsidRPr="004D01EB">
        <w:lastRenderedPageBreak/>
        <w:t>a 7</w:t>
      </w:r>
      <w:r w:rsidR="0068581E">
        <w:t>7 mil. €</w:t>
      </w:r>
      <w:r w:rsidRPr="004D01EB">
        <w:t>. Zároveň</w:t>
      </w:r>
      <w:r w:rsidR="00F2583B">
        <w:t xml:space="preserve"> je potrebné zdôrazniť</w:t>
      </w:r>
      <w:r w:rsidRPr="004D01EB">
        <w:t>,</w:t>
      </w:r>
      <w:r w:rsidR="00F2583B">
        <w:t xml:space="preserve"> že samotný tok nových podnikových úverov bez </w:t>
      </w:r>
      <w:r w:rsidR="00673048">
        <w:t>využitia garančných schém</w:t>
      </w:r>
      <w:r w:rsidR="00F2583B">
        <w:t xml:space="preserve"> zo strany bánk sa počas krízy nezastavil. Naopak</w:t>
      </w:r>
      <w:r w:rsidR="005A414C">
        <w:t>,</w:t>
      </w:r>
      <w:r w:rsidR="00F2583B">
        <w:t xml:space="preserve"> vidíme pomerne silné medziročné prírastky úverov podnikom.</w:t>
      </w:r>
      <w:r w:rsidRPr="004D01EB">
        <w:t xml:space="preserve"> </w:t>
      </w:r>
    </w:p>
    <w:p w14:paraId="1B656EA8" w14:textId="77777777" w:rsidR="009F53B1" w:rsidRPr="00D01103" w:rsidRDefault="009F53B1" w:rsidP="00D01103">
      <w:pPr>
        <w:pStyle w:val="Modrnadpis"/>
      </w:pPr>
      <w:r w:rsidRPr="00D01103">
        <w:t>Opatrenia na priamu podporu zamestnanosti</w:t>
      </w:r>
    </w:p>
    <w:p w14:paraId="1D52E33F" w14:textId="530BF39D" w:rsidR="009F53B1" w:rsidRDefault="009F53B1" w:rsidP="009F53B1">
      <w:r>
        <w:rPr>
          <w:b/>
          <w:bCs/>
        </w:rPr>
        <w:t xml:space="preserve">Následky pandémie COVID-19 ukázali, že možnosti rozvrhnutia práce podľa Zákonníka práce spred </w:t>
      </w:r>
      <w:proofErr w:type="spellStart"/>
      <w:r>
        <w:rPr>
          <w:b/>
          <w:bCs/>
        </w:rPr>
        <w:t>koronakrízy</w:t>
      </w:r>
      <w:proofErr w:type="spellEnd"/>
      <w:r>
        <w:rPr>
          <w:b/>
          <w:bCs/>
        </w:rPr>
        <w:t xml:space="preserve"> neboli dostačujúce.</w:t>
      </w:r>
      <w:r w:rsidRPr="00D31A31">
        <w:t xml:space="preserve"> Pre podniky, ktoré </w:t>
      </w:r>
      <w:r>
        <w:t xml:space="preserve">nemali možnosť svojim zamestnancom nariadiť prácu </w:t>
      </w:r>
      <w:r w:rsidR="0068581E">
        <w:t>z </w:t>
      </w:r>
      <w:r>
        <w:t xml:space="preserve">domu, sa možnosti </w:t>
      </w:r>
      <w:r w:rsidR="0068581E">
        <w:t>v </w:t>
      </w:r>
      <w:r>
        <w:t>prípade dlhodobého zatvorenia prevádzok rýchlo vyčerpali (nariadené čerpanie dovolenky, čerpanie konta pracovného času, resp. prekážky na strane zamestnávateľa). Zamestnávatelia požadovali zavedenie skráteného pracovného času po vzore nemeckého „</w:t>
      </w:r>
      <w:proofErr w:type="spellStart"/>
      <w:r>
        <w:t>kurzarbeitu</w:t>
      </w:r>
      <w:proofErr w:type="spellEnd"/>
      <w:r>
        <w:t xml:space="preserve">“, ktorý mal aspoň </w:t>
      </w:r>
      <w:r w:rsidR="0068581E">
        <w:t>z </w:t>
      </w:r>
      <w:r>
        <w:t xml:space="preserve">časti ochrániť pracovné miesta pred ich rušením. Podstatou toho je dohoda zamestnávateľa a zamestnancov na skrátení pracovného času a mzdy, a zahrnutie štátu (financovanie </w:t>
      </w:r>
      <w:r w:rsidR="0068581E">
        <w:t>z </w:t>
      </w:r>
      <w:r>
        <w:t xml:space="preserve">verejných zdrojov), ktorý pokryje časť mzdy zamestnanca. </w:t>
      </w:r>
    </w:p>
    <w:p w14:paraId="3AD87174" w14:textId="564A591D" w:rsidR="009F53B1" w:rsidRPr="0040692D" w:rsidRDefault="009F53B1" w:rsidP="0040692D">
      <w:r w:rsidRPr="00EE073A">
        <w:rPr>
          <w:b/>
          <w:bCs/>
        </w:rPr>
        <w:t xml:space="preserve">Slovenský ekvivalent tejto </w:t>
      </w:r>
      <w:r>
        <w:rPr>
          <w:b/>
          <w:bCs/>
        </w:rPr>
        <w:t xml:space="preserve">(zatiaľ dočasnej) </w:t>
      </w:r>
      <w:r w:rsidRPr="00EE073A">
        <w:rPr>
          <w:b/>
          <w:bCs/>
        </w:rPr>
        <w:t xml:space="preserve">formy pomoci spočíva </w:t>
      </w:r>
      <w:r w:rsidR="0068581E">
        <w:rPr>
          <w:b/>
          <w:bCs/>
        </w:rPr>
        <w:t>v </w:t>
      </w:r>
      <w:r w:rsidRPr="00EE073A">
        <w:rPr>
          <w:b/>
          <w:bCs/>
        </w:rPr>
        <w:t xml:space="preserve">kompenzácii mzdových nákladov </w:t>
      </w:r>
      <w:r w:rsidR="0068581E">
        <w:rPr>
          <w:b/>
          <w:bCs/>
        </w:rPr>
        <w:t>z </w:t>
      </w:r>
      <w:r w:rsidRPr="00EE073A">
        <w:rPr>
          <w:b/>
          <w:bCs/>
        </w:rPr>
        <w:t>verejných zdrojov</w:t>
      </w:r>
      <w:r>
        <w:rPr>
          <w:b/>
          <w:bCs/>
        </w:rPr>
        <w:t xml:space="preserve">. </w:t>
      </w:r>
      <w:r w:rsidRPr="008073F6">
        <w:t>Kompenzácia je stanov</w:t>
      </w:r>
      <w:r w:rsidR="00673048">
        <w:t>e</w:t>
      </w:r>
      <w:r w:rsidRPr="008073F6">
        <w:t>ná do výšky 8</w:t>
      </w:r>
      <w:r w:rsidR="0068581E">
        <w:t>0 %</w:t>
      </w:r>
      <w:r w:rsidRPr="008073F6">
        <w:t xml:space="preserve"> priemerného zárobku</w:t>
      </w:r>
      <w:r w:rsidRPr="00EE073A">
        <w:t xml:space="preserve"> pre podniky, ktoré museli obmedziť, resp. prerušiť svoju prevádzkovú činnosť</w:t>
      </w:r>
      <w:r w:rsidRPr="007E68AE">
        <w:rPr>
          <w:b/>
          <w:bCs/>
        </w:rPr>
        <w:t xml:space="preserve"> </w:t>
      </w:r>
      <w:r w:rsidRPr="007E68AE">
        <w:t xml:space="preserve">(najviac však </w:t>
      </w:r>
      <w:r>
        <w:t>do výšky 88</w:t>
      </w:r>
      <w:r w:rsidR="0068581E">
        <w:t>0 €</w:t>
      </w:r>
      <w:r w:rsidR="00814C8A" w:rsidRPr="007E68AE">
        <w:t xml:space="preserve"> </w:t>
      </w:r>
      <w:r w:rsidRPr="007E68AE">
        <w:t>na jedného zamestnanca).</w:t>
      </w:r>
      <w:r>
        <w:t xml:space="preserve"> Zamestnávatelia sa alternatívne môžu rozhodnúť pre čerpanie paušálneho príspevku na úhradu časti mzdových nákladov na zamestnanca </w:t>
      </w:r>
      <w:r w:rsidR="0068581E">
        <w:t>v </w:t>
      </w:r>
      <w:r>
        <w:t>závislosti od poklesu tržieb. Podniky sa môžu aktuálne voľne rozhodovať, ktorú formu pomoci využijú (pri prvotnom nastavení pomoci sa musel podnik jednorazovo rozhodnúť, ktorú alternatívu počas celej doby poberania príspevku bude využívať).</w:t>
      </w:r>
    </w:p>
    <w:p w14:paraId="1C853533" w14:textId="13132090" w:rsidR="009F53B1" w:rsidRDefault="009F53B1" w:rsidP="009F53B1">
      <w:r w:rsidRPr="005C2E86">
        <w:rPr>
          <w:b/>
          <w:bCs/>
        </w:rPr>
        <w:t>Ku koncu augusta zatiaľ vyplatili Úrady práce, sociálnych vecí a rodiny spolu viac ako 52</w:t>
      </w:r>
      <w:r w:rsidR="0068581E">
        <w:rPr>
          <w:b/>
          <w:bCs/>
        </w:rPr>
        <w:t>0 mil. €</w:t>
      </w:r>
      <w:r w:rsidR="00814C8A" w:rsidRPr="005C2E86">
        <w:rPr>
          <w:b/>
          <w:bCs/>
        </w:rPr>
        <w:t xml:space="preserve"> </w:t>
      </w:r>
      <w:r w:rsidRPr="005C2E86">
        <w:rPr>
          <w:b/>
          <w:bCs/>
        </w:rPr>
        <w:t>zamestnávateľom a SZČO ako kompenzácie na mzdy zamestnancom a podporu podnikania živnostníkom</w:t>
      </w:r>
      <w:r>
        <w:t>. Detailnejšia analýza na júlových číslach</w:t>
      </w:r>
      <w:r>
        <w:rPr>
          <w:rStyle w:val="FootnoteReference"/>
        </w:rPr>
        <w:footnoteReference w:id="20"/>
      </w:r>
      <w:r>
        <w:t xml:space="preserve"> hovorí, že nástrojom </w:t>
      </w:r>
      <w:r w:rsidR="0068581E">
        <w:t>s </w:t>
      </w:r>
      <w:r>
        <w:t>najvyšším čerpaním bol „</w:t>
      </w:r>
      <w:proofErr w:type="spellStart"/>
      <w:r>
        <w:t>kurzarbeit</w:t>
      </w:r>
      <w:proofErr w:type="spellEnd"/>
      <w:r>
        <w:t xml:space="preserve">“, ktorý </w:t>
      </w:r>
      <w:r w:rsidR="0068581E">
        <w:t>z </w:t>
      </w:r>
      <w:r>
        <w:t xml:space="preserve">vyplatených zdrojov </w:t>
      </w:r>
      <w:r w:rsidR="0068581E">
        <w:t>z </w:t>
      </w:r>
      <w:r w:rsidR="0053488A">
        <w:t>p</w:t>
      </w:r>
      <w:r>
        <w:t>rvej pomoci (46</w:t>
      </w:r>
      <w:r w:rsidR="0068581E">
        <w:t>0 mil. €</w:t>
      </w:r>
      <w:r>
        <w:t>) tvoril až 7</w:t>
      </w:r>
      <w:r w:rsidR="0068581E">
        <w:t>2 %</w:t>
      </w:r>
      <w:r>
        <w:t xml:space="preserve">. Čerpanie prvej pomoci </w:t>
      </w:r>
      <w:r w:rsidR="0068581E">
        <w:t>z </w:t>
      </w:r>
      <w:r>
        <w:t>hľadiska veľkosti podnik</w:t>
      </w:r>
      <w:r w:rsidR="0053488A">
        <w:t>u</w:t>
      </w:r>
      <w:r>
        <w:t xml:space="preserve"> je sústredené do veľkých podnikov (3</w:t>
      </w:r>
      <w:r w:rsidR="0068581E">
        <w:t>9 %</w:t>
      </w:r>
      <w:r>
        <w:t>) a </w:t>
      </w:r>
      <w:proofErr w:type="spellStart"/>
      <w:r>
        <w:t>mikropodnikov</w:t>
      </w:r>
      <w:proofErr w:type="spellEnd"/>
      <w:r>
        <w:t xml:space="preserve"> (2</w:t>
      </w:r>
      <w:r w:rsidR="0068581E">
        <w:t>6 %</w:t>
      </w:r>
      <w:r>
        <w:t>), a </w:t>
      </w:r>
      <w:r w:rsidR="0068581E">
        <w:t>z </w:t>
      </w:r>
      <w:r>
        <w:t>odvetvového pohľadu do priemyslu (4</w:t>
      </w:r>
      <w:r w:rsidR="0068581E">
        <w:t>4 %</w:t>
      </w:r>
      <w:r>
        <w:t>), obchodu (1</w:t>
      </w:r>
      <w:r w:rsidR="0068581E">
        <w:t>5 %</w:t>
      </w:r>
      <w:r>
        <w:t>) a ubytovacích a stravovacích služieb (</w:t>
      </w:r>
      <w:r w:rsidR="0068581E">
        <w:t>7 %</w:t>
      </w:r>
      <w:r>
        <w:t>).</w:t>
      </w:r>
    </w:p>
    <w:p w14:paraId="3D56B8FF" w14:textId="07C18C39" w:rsidR="009F53B1" w:rsidRPr="00C37E4F" w:rsidRDefault="009F53B1" w:rsidP="009F53B1">
      <w:r w:rsidRPr="00C37E4F">
        <w:rPr>
          <w:b/>
          <w:bCs/>
        </w:rPr>
        <w:t xml:space="preserve">Nad rámec uvedenej </w:t>
      </w:r>
      <w:r w:rsidR="0053488A">
        <w:rPr>
          <w:b/>
          <w:bCs/>
        </w:rPr>
        <w:t>p</w:t>
      </w:r>
      <w:r>
        <w:rPr>
          <w:b/>
          <w:bCs/>
        </w:rPr>
        <w:t xml:space="preserve">rvej </w:t>
      </w:r>
      <w:r w:rsidRPr="00C37E4F">
        <w:rPr>
          <w:b/>
          <w:bCs/>
        </w:rPr>
        <w:t xml:space="preserve">pomoci bolo </w:t>
      </w:r>
      <w:r w:rsidR="0068581E">
        <w:rPr>
          <w:b/>
          <w:bCs/>
        </w:rPr>
        <w:t>k </w:t>
      </w:r>
      <w:r w:rsidRPr="00C37E4F">
        <w:rPr>
          <w:b/>
          <w:bCs/>
        </w:rPr>
        <w:t>júlu 2020 vyplatených spolu 38</w:t>
      </w:r>
      <w:r w:rsidR="0068581E">
        <w:rPr>
          <w:b/>
          <w:bCs/>
        </w:rPr>
        <w:t>2 mil. €</w:t>
      </w:r>
      <w:r w:rsidR="00814C8A" w:rsidRPr="00C37E4F">
        <w:rPr>
          <w:b/>
          <w:bCs/>
        </w:rPr>
        <w:t xml:space="preserve"> </w:t>
      </w:r>
      <w:r w:rsidRPr="00C37E4F">
        <w:rPr>
          <w:b/>
          <w:bCs/>
        </w:rPr>
        <w:t>nemocenských dávok a dávok na ošetrenie člena rodiny</w:t>
      </w:r>
      <w:r>
        <w:rPr>
          <w:b/>
          <w:bCs/>
        </w:rPr>
        <w:t xml:space="preserve">. </w:t>
      </w:r>
      <w:r>
        <w:t xml:space="preserve">Za rovnaké obdobie minulého roka (marec až júl 2019) </w:t>
      </w:r>
      <w:r w:rsidR="00AA5061">
        <w:t>ide</w:t>
      </w:r>
      <w:r>
        <w:t xml:space="preserve"> </w:t>
      </w:r>
      <w:r w:rsidR="0068581E">
        <w:t>o </w:t>
      </w:r>
      <w:r>
        <w:t>nárast 9</w:t>
      </w:r>
      <w:r w:rsidR="0068581E">
        <w:t>4 %</w:t>
      </w:r>
      <w:r>
        <w:t>, predovšetkým pri „</w:t>
      </w:r>
      <w:proofErr w:type="spellStart"/>
      <w:r>
        <w:t>pandemickom</w:t>
      </w:r>
      <w:proofErr w:type="spellEnd"/>
      <w:r>
        <w:t xml:space="preserve"> ošetrovnom“ bol pozorovaný výrazný medziročný skok, a to trinásťnásobný nárast. </w:t>
      </w:r>
      <w:r w:rsidR="0068581E">
        <w:t>V </w:t>
      </w:r>
      <w:r>
        <w:t>letných mesiacoch sa však očakáva</w:t>
      </w:r>
      <w:r w:rsidR="00673048">
        <w:t>l</w:t>
      </w:r>
      <w:r>
        <w:t xml:space="preserve"> výrazný pokles čerpania </w:t>
      </w:r>
      <w:r w:rsidR="0068581E">
        <w:t>z </w:t>
      </w:r>
      <w:r>
        <w:t xml:space="preserve">dôvodu letných prázdnin a následnom otvorení škôl </w:t>
      </w:r>
      <w:r w:rsidR="0068581E">
        <w:t>v </w:t>
      </w:r>
      <w:r>
        <w:t xml:space="preserve">novom školskom roku. </w:t>
      </w:r>
    </w:p>
    <w:p w14:paraId="5FF43572" w14:textId="726562E2" w:rsidR="00F0193E" w:rsidRDefault="009F53B1" w:rsidP="00F0193E">
      <w:pPr>
        <w:pStyle w:val="Modrnadpis"/>
      </w:pPr>
      <w:r w:rsidRPr="00D01103">
        <w:lastRenderedPageBreak/>
        <w:t>Nekoordinované ukončenie</w:t>
      </w:r>
      <w:r w:rsidR="00F0193E">
        <w:t xml:space="preserve"> podporných nástrojov môže ohroziť postupné oživovanie podnikového sektora </w:t>
      </w:r>
    </w:p>
    <w:p w14:paraId="527DDA13" w14:textId="395195C7" w:rsidR="009F53B1" w:rsidRDefault="00F0193E" w:rsidP="00BC5452">
      <w:r>
        <w:rPr>
          <w:b/>
          <w:bCs/>
        </w:rPr>
        <w:t xml:space="preserve">Vo väčšine krajín EÚ sa plánuje ukončenie nástrojov pomoci pre podnikový sektor </w:t>
      </w:r>
      <w:r w:rsidR="009F53B1" w:rsidRPr="009A411C">
        <w:rPr>
          <w:b/>
          <w:bCs/>
        </w:rPr>
        <w:t>na konci roka 2020</w:t>
      </w:r>
      <w:r w:rsidR="009F53B1">
        <w:t xml:space="preserve"> (viazané na platnosť Dočasného rámca štátnej pomoci schválen</w:t>
      </w:r>
      <w:r w:rsidR="001842B4">
        <w:t>ého</w:t>
      </w:r>
      <w:r w:rsidR="009F53B1">
        <w:t xml:space="preserve"> Európskou komisiou). Výnimku predstavujú Rakúsko, Belgicko, Estónsko a Španielsko, kde väčšinu nástrojov bude možné využiť len do októbra 2020. Na druhom konci sa nachádzajú Malta, Portugalsko a Švédsko </w:t>
      </w:r>
      <w:r w:rsidR="0068581E">
        <w:t>s </w:t>
      </w:r>
      <w:r w:rsidR="009F53B1">
        <w:t xml:space="preserve">čerpaním pomoci aj počas prvého štvrťroka 2021. </w:t>
      </w:r>
    </w:p>
    <w:p w14:paraId="759AD93F" w14:textId="2AA3CE11" w:rsidR="0040692D" w:rsidRDefault="0068581E" w:rsidP="0040692D">
      <w:r>
        <w:rPr>
          <w:b/>
          <w:bCs/>
        </w:rPr>
        <w:t>Z </w:t>
      </w:r>
      <w:r w:rsidR="00CA5E2A" w:rsidRPr="00BC5452">
        <w:rPr>
          <w:b/>
          <w:bCs/>
        </w:rPr>
        <w:t>pohľadu stability</w:t>
      </w:r>
      <w:r w:rsidR="0040692D">
        <w:rPr>
          <w:b/>
          <w:bCs/>
        </w:rPr>
        <w:t xml:space="preserve"> podnikového sektora</w:t>
      </w:r>
      <w:r w:rsidR="00CA5E2A" w:rsidRPr="00BC5452">
        <w:rPr>
          <w:b/>
          <w:bCs/>
        </w:rPr>
        <w:t xml:space="preserve"> je dôležité, aby zrušením možnosti čerpať výhody </w:t>
      </w:r>
      <w:r>
        <w:rPr>
          <w:b/>
          <w:bCs/>
        </w:rPr>
        <w:t>z </w:t>
      </w:r>
      <w:r w:rsidR="00CA5E2A" w:rsidRPr="00BC5452">
        <w:rPr>
          <w:b/>
          <w:bCs/>
        </w:rPr>
        <w:t>poskytnutých foriem pomoci nevznikol dodatočný šok, ktorý by ohrozil krehké oživenie ekonomiky.</w:t>
      </w:r>
      <w:r w:rsidR="00CA5E2A">
        <w:t xml:space="preserve"> </w:t>
      </w:r>
      <w:r w:rsidR="0040692D" w:rsidRPr="00CA5E2A">
        <w:t xml:space="preserve">Niektoré opatrenia prijaté </w:t>
      </w:r>
      <w:r>
        <w:t>v </w:t>
      </w:r>
      <w:r w:rsidR="0040692D" w:rsidRPr="00CA5E2A">
        <w:t xml:space="preserve">súvislosti </w:t>
      </w:r>
      <w:r>
        <w:t>s </w:t>
      </w:r>
      <w:r w:rsidR="0040692D" w:rsidRPr="00CA5E2A">
        <w:t xml:space="preserve">pandémiou COVID-19 sa na Slovensku plánujú stať stabilnou súčasťou nástrojov hospodárskej politiky </w:t>
      </w:r>
      <w:r w:rsidR="0040692D" w:rsidRPr="006A1767">
        <w:t>(</w:t>
      </w:r>
      <w:r w:rsidR="0040692D">
        <w:t>dočasná ochrana životaschopných podnikov pred konkurzným konaním, trvalý „</w:t>
      </w:r>
      <w:proofErr w:type="spellStart"/>
      <w:r w:rsidR="0040692D">
        <w:t>kurzarbeit</w:t>
      </w:r>
      <w:proofErr w:type="spellEnd"/>
      <w:r w:rsidR="0040692D">
        <w:t>“</w:t>
      </w:r>
      <w:r w:rsidR="0040692D" w:rsidRPr="006A1767">
        <w:t>)</w:t>
      </w:r>
      <w:r w:rsidR="0040692D">
        <w:t xml:space="preserve">. Ďalší </w:t>
      </w:r>
      <w:r>
        <w:t>z </w:t>
      </w:r>
      <w:r w:rsidR="0040692D">
        <w:t xml:space="preserve">nástrojov, odklad splátok úverov (bez vplyvu na kreditnú kvalitu dlžníka) pre domácnosti, SZČO a malé a stredné podniky, je viazaný na vyhlásený mimoriadny stav </w:t>
      </w:r>
      <w:r>
        <w:t>v </w:t>
      </w:r>
      <w:r w:rsidR="0040692D">
        <w:t xml:space="preserve">súlade </w:t>
      </w:r>
      <w:r>
        <w:t>s </w:t>
      </w:r>
      <w:r w:rsidR="0040692D">
        <w:rPr>
          <w:i/>
          <w:iCs/>
        </w:rPr>
        <w:t>l</w:t>
      </w:r>
      <w:r w:rsidR="0040692D" w:rsidRPr="006A1767">
        <w:rPr>
          <w:i/>
          <w:iCs/>
        </w:rPr>
        <w:t xml:space="preserve">ex </w:t>
      </w:r>
      <w:proofErr w:type="spellStart"/>
      <w:r w:rsidR="0040692D">
        <w:rPr>
          <w:i/>
          <w:iCs/>
        </w:rPr>
        <w:t>k</w:t>
      </w:r>
      <w:r w:rsidR="0040692D" w:rsidRPr="006A1767">
        <w:rPr>
          <w:i/>
          <w:iCs/>
        </w:rPr>
        <w:t>orona</w:t>
      </w:r>
      <w:proofErr w:type="spellEnd"/>
      <w:r w:rsidR="0040692D" w:rsidRPr="006A1767">
        <w:rPr>
          <w:rStyle w:val="FootnoteReference"/>
          <w:bCs/>
          <w:spacing w:val="0"/>
        </w:rPr>
        <w:footnoteReference w:id="21"/>
      </w:r>
      <w:r w:rsidR="0040692D" w:rsidRPr="00F12E29">
        <w:t>.</w:t>
      </w:r>
      <w:r w:rsidR="0040692D">
        <w:t xml:space="preserve"> </w:t>
      </w:r>
      <w:r>
        <w:t>V </w:t>
      </w:r>
      <w:r w:rsidR="0040692D" w:rsidRPr="00F12E29">
        <w:t>príp</w:t>
      </w:r>
      <w:r w:rsidR="0040692D">
        <w:t>a</w:t>
      </w:r>
      <w:r w:rsidR="0040692D" w:rsidRPr="00F12E29">
        <w:t>de</w:t>
      </w:r>
      <w:r w:rsidR="0040692D">
        <w:t xml:space="preserve"> daňových úľav (pozdržanie podávania daňového priznania </w:t>
      </w:r>
      <w:r>
        <w:t>k </w:t>
      </w:r>
      <w:r w:rsidR="0040692D">
        <w:t xml:space="preserve">dani </w:t>
      </w:r>
      <w:r>
        <w:t>z </w:t>
      </w:r>
      <w:r w:rsidR="0040692D">
        <w:t xml:space="preserve">príjmov a platby dane), pôvodne naviazaných rovnako na mimoriadny stav </w:t>
      </w:r>
      <w:r>
        <w:t>v </w:t>
      </w:r>
      <w:r w:rsidR="0040692D">
        <w:t xml:space="preserve">súlade </w:t>
      </w:r>
      <w:r>
        <w:t>s </w:t>
      </w:r>
      <w:r w:rsidR="0040692D" w:rsidRPr="006934FE">
        <w:rPr>
          <w:i/>
          <w:iCs/>
        </w:rPr>
        <w:t xml:space="preserve">lex </w:t>
      </w:r>
      <w:proofErr w:type="spellStart"/>
      <w:r w:rsidR="0040692D" w:rsidRPr="006934FE">
        <w:rPr>
          <w:i/>
          <w:iCs/>
        </w:rPr>
        <w:t>korona</w:t>
      </w:r>
      <w:proofErr w:type="spellEnd"/>
      <w:r w:rsidR="0040692D">
        <w:t xml:space="preserve">, je </w:t>
      </w:r>
      <w:r>
        <w:t>v </w:t>
      </w:r>
      <w:r w:rsidR="0040692D">
        <w:t xml:space="preserve">legislatívnom konaní materiál, ktorý určuje koniec mimoriadneho stavu na účely daňových priznaní a povinnosť predložiť daňové priznanie do 31. októbra 2020. Účinnosť vládnych garančných schém je dnes nastavená </w:t>
      </w:r>
      <w:r>
        <w:t>s </w:t>
      </w:r>
      <w:r w:rsidR="0040692D">
        <w:t>jednou výnimkou (</w:t>
      </w:r>
      <w:r w:rsidR="0040692D" w:rsidRPr="006934FE">
        <w:rPr>
          <w:i/>
          <w:iCs/>
        </w:rPr>
        <w:t xml:space="preserve">de </w:t>
      </w:r>
      <w:proofErr w:type="spellStart"/>
      <w:r w:rsidR="0040692D" w:rsidRPr="006934FE">
        <w:rPr>
          <w:i/>
          <w:iCs/>
        </w:rPr>
        <w:t>minimis</w:t>
      </w:r>
      <w:proofErr w:type="spellEnd"/>
      <w:r w:rsidR="0040692D">
        <w:t xml:space="preserve"> schéma) na koniec roka 2020. </w:t>
      </w:r>
    </w:p>
    <w:p w14:paraId="5CADD44F" w14:textId="4609D357" w:rsidR="00CA5E2A" w:rsidRDefault="00F0193E" w:rsidP="00BC5452">
      <w:r>
        <w:t xml:space="preserve">Súčasné oživovanie </w:t>
      </w:r>
      <w:r w:rsidR="0068581E">
        <w:t>v </w:t>
      </w:r>
      <w:r>
        <w:t xml:space="preserve">podnikovom sektore je podporované štátnymi podpornými schémami. Ich náhle ukončenie </w:t>
      </w:r>
      <w:r w:rsidR="0068581E">
        <w:t>v </w:t>
      </w:r>
      <w:r>
        <w:t xml:space="preserve">tejto stále citlivej fáze oživovania môže mať veľký </w:t>
      </w:r>
      <w:r w:rsidR="005C786E">
        <w:t>vplyv</w:t>
      </w:r>
      <w:r>
        <w:t xml:space="preserve"> na podniky. </w:t>
      </w:r>
      <w:r w:rsidR="00CA5E2A">
        <w:t xml:space="preserve">Koordinácia </w:t>
      </w:r>
      <w:r w:rsidR="008872AD">
        <w:t xml:space="preserve">krokov </w:t>
      </w:r>
      <w:r w:rsidR="00CA5E2A">
        <w:t xml:space="preserve">jednotlivých verejných inštitúcií je </w:t>
      </w:r>
      <w:r w:rsidR="0068581E">
        <w:t>z </w:t>
      </w:r>
      <w:r w:rsidR="00CA5E2A">
        <w:t xml:space="preserve">tohto pohľadu kľúčová, </w:t>
      </w:r>
      <w:r w:rsidR="002343BD">
        <w:t>tak</w:t>
      </w:r>
      <w:r w:rsidR="00CA5E2A">
        <w:t xml:space="preserve"> </w:t>
      </w:r>
      <w:r w:rsidR="0068581E">
        <w:t>v </w:t>
      </w:r>
      <w:r w:rsidR="00CA5E2A">
        <w:t xml:space="preserve">prípade vypínania </w:t>
      </w:r>
      <w:r>
        <w:t xml:space="preserve">jednotlivých </w:t>
      </w:r>
      <w:r w:rsidR="00CA5E2A">
        <w:t xml:space="preserve">nástrojov pomoci, </w:t>
      </w:r>
      <w:r w:rsidR="002343BD">
        <w:t>ako</w:t>
      </w:r>
      <w:r>
        <w:t xml:space="preserve"> aj </w:t>
      </w:r>
      <w:r w:rsidR="0068581E">
        <w:t>v </w:t>
      </w:r>
      <w:r>
        <w:t>prípade ich načasovania</w:t>
      </w:r>
      <w:r w:rsidR="00CA5E2A">
        <w:t xml:space="preserve">. </w:t>
      </w:r>
    </w:p>
    <w:p w14:paraId="74EE7EEF" w14:textId="7BD68CAB" w:rsidR="0045216D" w:rsidRDefault="0068581E" w:rsidP="00D04244">
      <w:r>
        <w:rPr>
          <w:b/>
        </w:rPr>
        <w:t>V </w:t>
      </w:r>
      <w:r w:rsidR="00CA5E2A" w:rsidRPr="00CA5E2A">
        <w:rPr>
          <w:b/>
        </w:rPr>
        <w:t>prípade opätovného zhoršovania ekonomického vývoja je možné zvážiť ďalšie nástroje na podporu podnikového sektora.</w:t>
      </w:r>
      <w:r w:rsidR="00CA5E2A">
        <w:t xml:space="preserve"> </w:t>
      </w:r>
      <w:r w:rsidR="009F53B1" w:rsidRPr="005355C7">
        <w:t xml:space="preserve">Ak by </w:t>
      </w:r>
      <w:r w:rsidR="00AA5061">
        <w:t xml:space="preserve">totiž </w:t>
      </w:r>
      <w:r w:rsidR="009F53B1" w:rsidRPr="005355C7">
        <w:t xml:space="preserve">napriek </w:t>
      </w:r>
      <w:r w:rsidR="009F53B1">
        <w:t xml:space="preserve">poskytnutým </w:t>
      </w:r>
      <w:r w:rsidR="009F53B1" w:rsidRPr="005355C7">
        <w:t xml:space="preserve">stimulom neprichádzalo </w:t>
      </w:r>
      <w:r>
        <w:t>k </w:t>
      </w:r>
      <w:r w:rsidR="009F53B1" w:rsidRPr="005355C7">
        <w:t xml:space="preserve">hospodárskemu oživeniu, Slovensko môže </w:t>
      </w:r>
      <w:r>
        <w:t>v </w:t>
      </w:r>
      <w:r w:rsidR="009F53B1" w:rsidRPr="005355C7">
        <w:t xml:space="preserve">súlade </w:t>
      </w:r>
      <w:r>
        <w:t>s </w:t>
      </w:r>
      <w:r w:rsidR="009F53B1" w:rsidRPr="005355C7">
        <w:t>dočasným rámcom št</w:t>
      </w:r>
      <w:r w:rsidR="009F53B1">
        <w:t>á</w:t>
      </w:r>
      <w:r w:rsidR="009F53B1" w:rsidRPr="005355C7">
        <w:t>tnej pomoci požiadať</w:t>
      </w:r>
      <w:r w:rsidR="009F53B1">
        <w:t xml:space="preserve"> </w:t>
      </w:r>
      <w:r>
        <w:t>o </w:t>
      </w:r>
      <w:r w:rsidR="009F53B1" w:rsidRPr="005355C7">
        <w:t xml:space="preserve"> schválenie ďalš</w:t>
      </w:r>
      <w:r w:rsidR="009F53B1">
        <w:t>ích</w:t>
      </w:r>
      <w:r w:rsidR="009F53B1" w:rsidRPr="005355C7">
        <w:t xml:space="preserve"> </w:t>
      </w:r>
      <w:r w:rsidR="009F53B1">
        <w:t xml:space="preserve">podporných </w:t>
      </w:r>
      <w:r w:rsidR="009F53B1" w:rsidRPr="005355C7">
        <w:t>nástroj</w:t>
      </w:r>
      <w:r w:rsidR="009F53B1">
        <w:t xml:space="preserve">ov. Príkladom môžu byť úvery </w:t>
      </w:r>
      <w:r>
        <w:t>z </w:t>
      </w:r>
      <w:r w:rsidR="009F53B1">
        <w:t xml:space="preserve">verejných zdrojov (ako nástroj využívaný vo väčšej miere </w:t>
      </w:r>
      <w:r>
        <w:t>v </w:t>
      </w:r>
      <w:r w:rsidR="009F53B1">
        <w:t>Litve, Estónsku a Grécku), priame platby podnikom a domácnostiam (Grécko, Dánsko</w:t>
      </w:r>
      <w:r w:rsidR="001842B4">
        <w:t xml:space="preserve"> a</w:t>
      </w:r>
      <w:r w:rsidR="009F53B1">
        <w:t xml:space="preserve"> </w:t>
      </w:r>
      <w:r w:rsidR="00635195">
        <w:t>Spojené kráľovstvo</w:t>
      </w:r>
      <w:r w:rsidR="009F53B1">
        <w:t xml:space="preserve">), resp. kapitálový vstup do vybraných podnikov (aktuálne schválené rámce na tento typ pomoci napr. </w:t>
      </w:r>
      <w:r>
        <w:t>v </w:t>
      </w:r>
      <w:r w:rsidR="009F53B1">
        <w:t>Nemecku, Dánsku</w:t>
      </w:r>
      <w:r w:rsidR="001842B4">
        <w:t xml:space="preserve"> a</w:t>
      </w:r>
      <w:r w:rsidR="009F53B1">
        <w:t xml:space="preserve"> Lotyšsku).</w:t>
      </w:r>
      <w:bookmarkStart w:id="25" w:name="_Hlk48822637"/>
    </w:p>
    <w:p w14:paraId="5E1342F9" w14:textId="3762804A" w:rsidR="007A0DCF" w:rsidRDefault="00F85202" w:rsidP="007A1EB1">
      <w:pPr>
        <w:pStyle w:val="Heading2"/>
      </w:pPr>
      <w:bookmarkStart w:id="26" w:name="_Toc43204207"/>
      <w:bookmarkStart w:id="27" w:name="_Toc52285632"/>
      <w:bookmarkEnd w:id="25"/>
      <w:r>
        <w:lastRenderedPageBreak/>
        <w:t>Ziskovosť</w:t>
      </w:r>
      <w:r w:rsidR="007A0DCF" w:rsidRPr="00C70E80">
        <w:t xml:space="preserve"> bankového sektora</w:t>
      </w:r>
      <w:bookmarkEnd w:id="26"/>
      <w:bookmarkEnd w:id="27"/>
    </w:p>
    <w:p w14:paraId="1D9FDC50" w14:textId="684AF33C" w:rsidR="00F85202" w:rsidRPr="00D01103" w:rsidRDefault="00F85202" w:rsidP="00F85202">
      <w:pPr>
        <w:pStyle w:val="Modrnadpis"/>
      </w:pPr>
      <w:r w:rsidRPr="00D01103">
        <w:t xml:space="preserve">Ziskovosť bánk bola </w:t>
      </w:r>
      <w:r w:rsidR="0068581E">
        <w:t>v </w:t>
      </w:r>
      <w:r w:rsidRPr="00D01103">
        <w:t>roku 2020 pod výrazným tlakom a jej vývoj čelí vysokej miere neistoty</w:t>
      </w:r>
    </w:p>
    <w:p w14:paraId="18D3A455" w14:textId="2DC6747B" w:rsidR="00F85202" w:rsidRDefault="00F85202" w:rsidP="00F85202">
      <w:bookmarkStart w:id="28" w:name="_Hlk39761770"/>
      <w:r w:rsidRPr="003F762B">
        <w:rPr>
          <w:b/>
          <w:bCs/>
        </w:rPr>
        <w:t xml:space="preserve">Čistý zisk bánk </w:t>
      </w:r>
      <w:r>
        <w:rPr>
          <w:b/>
          <w:bCs/>
        </w:rPr>
        <w:t xml:space="preserve">sa </w:t>
      </w:r>
      <w:r w:rsidR="0068581E">
        <w:rPr>
          <w:b/>
          <w:bCs/>
        </w:rPr>
        <w:t>k </w:t>
      </w:r>
      <w:r>
        <w:rPr>
          <w:b/>
          <w:bCs/>
        </w:rPr>
        <w:t>júnu</w:t>
      </w:r>
      <w:r w:rsidRPr="003F762B">
        <w:rPr>
          <w:b/>
          <w:bCs/>
        </w:rPr>
        <w:t xml:space="preserve"> 2020 medziročne prepadol </w:t>
      </w:r>
      <w:r w:rsidR="0068581E">
        <w:rPr>
          <w:b/>
          <w:bCs/>
        </w:rPr>
        <w:t>o </w:t>
      </w:r>
      <w:r w:rsidRPr="003F762B">
        <w:rPr>
          <w:b/>
          <w:bCs/>
        </w:rPr>
        <w:t>6</w:t>
      </w:r>
      <w:r w:rsidR="0068581E">
        <w:rPr>
          <w:b/>
          <w:bCs/>
        </w:rPr>
        <w:t>4 %</w:t>
      </w:r>
      <w:r>
        <w:rPr>
          <w:b/>
          <w:bCs/>
        </w:rPr>
        <w:t xml:space="preserve"> na úroveň 12</w:t>
      </w:r>
      <w:r w:rsidR="0068581E">
        <w:rPr>
          <w:b/>
          <w:bCs/>
        </w:rPr>
        <w:t>5 mil. €</w:t>
      </w:r>
      <w:r w:rsidRPr="003F762B">
        <w:rPr>
          <w:b/>
          <w:bCs/>
        </w:rPr>
        <w:t xml:space="preserve">. </w:t>
      </w:r>
      <w:r w:rsidRPr="001D252F">
        <w:t xml:space="preserve">Nárast zisku </w:t>
      </w:r>
      <w:r w:rsidRPr="003F762B">
        <w:t>zaznamenal</w:t>
      </w:r>
      <w:r>
        <w:t xml:space="preserve">a len jedna </w:t>
      </w:r>
      <w:r w:rsidR="0068581E">
        <w:t>z </w:t>
      </w:r>
      <w:r>
        <w:t>bánk</w:t>
      </w:r>
      <w:r w:rsidRPr="003F762B">
        <w:t xml:space="preserve">, </w:t>
      </w:r>
      <w:r>
        <w:t>naproti tomu celkovú stratu vykázala rovnako len jedna banka</w:t>
      </w:r>
      <w:r w:rsidR="00B22819" w:rsidRPr="00C42604">
        <w:t>.</w:t>
      </w:r>
      <w:r w:rsidR="00B22819">
        <w:t xml:space="preserve"> </w:t>
      </w:r>
      <w:r>
        <w:t xml:space="preserve">Medziročný pokles zisku bol výrazne akcelerovaný </w:t>
      </w:r>
      <w:r w:rsidR="0068581E">
        <w:t>v </w:t>
      </w:r>
      <w:r>
        <w:t xml:space="preserve">prvom polroku 2020, a to zdvojnásobením sadzby bankového odvodu a nárastom nákladov na kreditné riziko. Zatiaľ čo </w:t>
      </w:r>
      <w:r w:rsidR="0068581E">
        <w:t>v </w:t>
      </w:r>
      <w:r>
        <w:t xml:space="preserve"> prípade bankového odvodu môžeme už </w:t>
      </w:r>
      <w:r w:rsidR="0068581E">
        <w:t>z </w:t>
      </w:r>
      <w:r>
        <w:t xml:space="preserve">pohľadu celého roku 2020 hovoriť </w:t>
      </w:r>
      <w:r w:rsidR="0068581E">
        <w:t>o </w:t>
      </w:r>
      <w:r>
        <w:t>konečnom vplyve na ziskovosť bánk (približne 15</w:t>
      </w:r>
      <w:r w:rsidR="0068581E">
        <w:t>0 mil. €</w:t>
      </w:r>
      <w:r>
        <w:t>), náklady na kreditné riziko (zatiaľ 25</w:t>
      </w:r>
      <w:r w:rsidR="0068581E">
        <w:t>2 mil. €</w:t>
      </w:r>
      <w:r>
        <w:t xml:space="preserve">) môžu </w:t>
      </w:r>
      <w:r w:rsidR="0068581E">
        <w:t>v </w:t>
      </w:r>
      <w:r>
        <w:t xml:space="preserve">druhom polroku 2020 ešte narastať. Ich vývoj je však predmetom veľkej neistoty, predovšetkým </w:t>
      </w:r>
      <w:r w:rsidR="0068581E">
        <w:t>v </w:t>
      </w:r>
      <w:r>
        <w:t xml:space="preserve">súvislosti </w:t>
      </w:r>
      <w:r w:rsidR="0068581E">
        <w:t>s </w:t>
      </w:r>
      <w:r>
        <w:t>trvaním následkov pandémie COVID-19. N</w:t>
      </w:r>
      <w:r w:rsidRPr="00EB6951">
        <w:t xml:space="preserve">ajväčšou neznámou je aktuálne vývoj kvality portfólia po ukončení odkladu splácania úverov, ktorý sa naplno prejaví </w:t>
      </w:r>
      <w:r w:rsidR="0068581E">
        <w:t>v </w:t>
      </w:r>
      <w:r>
        <w:t>období od konca roka 2020 po koniec</w:t>
      </w:r>
      <w:r w:rsidRPr="00EB6951">
        <w:t> prv</w:t>
      </w:r>
      <w:r>
        <w:t>ého</w:t>
      </w:r>
      <w:r w:rsidRPr="00EB6951">
        <w:t xml:space="preserve"> </w:t>
      </w:r>
      <w:r w:rsidR="00840B31">
        <w:t>štvrťroka</w:t>
      </w:r>
      <w:r w:rsidR="00840B31" w:rsidRPr="00EB6951">
        <w:t xml:space="preserve"> </w:t>
      </w:r>
      <w:r w:rsidRPr="00EB6951">
        <w:t>2021. Okrem nákladov na kreditné riziko banky budú musieť</w:t>
      </w:r>
      <w:r>
        <w:t xml:space="preserve"> dodatočne</w:t>
      </w:r>
      <w:r w:rsidRPr="00EB6951">
        <w:t xml:space="preserve"> zohľadniť aj </w:t>
      </w:r>
      <w:r>
        <w:t xml:space="preserve">prípadné </w:t>
      </w:r>
      <w:r w:rsidRPr="00EB6951">
        <w:t xml:space="preserve">odúčtovanie úrokových výnosov </w:t>
      </w:r>
      <w:r>
        <w:t xml:space="preserve">pri </w:t>
      </w:r>
      <w:r w:rsidRPr="00EB6951">
        <w:t>kliento</w:t>
      </w:r>
      <w:r>
        <w:t>ch</w:t>
      </w:r>
      <w:r w:rsidRPr="00EB6951">
        <w:t>, ktorí neboli schopní po ukončení odkladu opätovne začať splácať svoj úver.</w:t>
      </w:r>
    </w:p>
    <w:p w14:paraId="0A541E5C" w14:textId="2AE6414A" w:rsidR="00F85202" w:rsidRPr="00A473EF" w:rsidRDefault="00F85202" w:rsidP="00F85202">
      <w:pPr>
        <w:pStyle w:val="Nadpisgrafu"/>
      </w:pPr>
      <w:r>
        <w:t xml:space="preserve">Graf </w:t>
      </w:r>
      <w:fldSimple w:instr=" SEQ Graf \* ARABIC ">
        <w:r w:rsidR="00A02A40">
          <w:rPr>
            <w:noProof/>
          </w:rPr>
          <w:t>12</w:t>
        </w:r>
      </w:fldSimple>
      <w:r>
        <w:t xml:space="preserve"> </w:t>
      </w:r>
      <w:r w:rsidRPr="00A473EF">
        <w:t xml:space="preserve">Zisk bánk </w:t>
      </w:r>
      <w:r w:rsidR="008266EA">
        <w:t xml:space="preserve">bol </w:t>
      </w:r>
      <w:r w:rsidRPr="00A473EF">
        <w:t xml:space="preserve">ku koncu prvého polroka 2020 medziročne výrazne nižší </w:t>
      </w:r>
      <w:r w:rsidR="0068581E">
        <w:t>z </w:t>
      </w:r>
      <w:r w:rsidRPr="00A473EF">
        <w:t>dôvodu nárastu nákladov na kreditné riziko a</w:t>
      </w:r>
      <w:r w:rsidR="00B44258">
        <w:t> </w:t>
      </w:r>
      <w:r w:rsidRPr="00A473EF">
        <w:t>bankového odvodu</w:t>
      </w:r>
    </w:p>
    <w:p w14:paraId="581D5BDA" w14:textId="32D9B6F3" w:rsidR="00F85202" w:rsidRPr="00BC5452" w:rsidRDefault="00F85202" w:rsidP="00F85202">
      <w:pPr>
        <w:pStyle w:val="Podnadpisgrafu"/>
      </w:pPr>
      <w:r w:rsidRPr="00BC5452">
        <w:t>Čistý zisk a najvýznamnejšie vplyvy jeho medziročného poklesu (mil. EUR)</w:t>
      </w:r>
    </w:p>
    <w:p w14:paraId="7959AF61" w14:textId="6F37CCB7" w:rsidR="00F85202" w:rsidRDefault="00F35281" w:rsidP="00F85202">
      <w:pPr>
        <w:pStyle w:val="Podgrafom"/>
        <w:rPr>
          <w:noProof/>
        </w:rPr>
      </w:pPr>
      <w:r w:rsidRPr="00F35281">
        <w:rPr>
          <w:noProof/>
        </w:rPr>
        <w:drawing>
          <wp:inline distT="0" distB="0" distL="0" distR="0" wp14:anchorId="2BD4C7C2" wp14:editId="766080BD">
            <wp:extent cx="4656455" cy="3001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6455" cy="3001010"/>
                    </a:xfrm>
                    <a:prstGeom prst="rect">
                      <a:avLst/>
                    </a:prstGeom>
                    <a:noFill/>
                    <a:ln>
                      <a:noFill/>
                    </a:ln>
                  </pic:spPr>
                </pic:pic>
              </a:graphicData>
            </a:graphic>
          </wp:inline>
        </w:drawing>
      </w:r>
    </w:p>
    <w:p w14:paraId="00AA1FBE" w14:textId="77777777" w:rsidR="00F85202" w:rsidRPr="00366281" w:rsidRDefault="00F85202" w:rsidP="00F85202">
      <w:pPr>
        <w:pStyle w:val="Podgrafom"/>
      </w:pPr>
      <w:r w:rsidRPr="00366281">
        <w:rPr>
          <w:bCs/>
        </w:rPr>
        <w:t>Zdroj:</w:t>
      </w:r>
      <w:r w:rsidRPr="00366281">
        <w:t xml:space="preserve"> NBS</w:t>
      </w:r>
    </w:p>
    <w:p w14:paraId="1990671C" w14:textId="77777777" w:rsidR="00F85202" w:rsidRPr="00366281" w:rsidRDefault="00F85202" w:rsidP="00F85202">
      <w:pPr>
        <w:pStyle w:val="Podgrafom"/>
      </w:pPr>
      <w:r w:rsidRPr="00366281">
        <w:rPr>
          <w:bCs/>
        </w:rPr>
        <w:t>Poznámka:</w:t>
      </w:r>
      <w:r w:rsidRPr="00366281">
        <w:t xml:space="preserve"> </w:t>
      </w:r>
      <w:proofErr w:type="spellStart"/>
      <w:r w:rsidRPr="00366281">
        <w:t>Regulatórne</w:t>
      </w:r>
      <w:proofErr w:type="spellEnd"/>
      <w:r w:rsidRPr="00366281">
        <w:t xml:space="preserve"> náklady zahŕňajú najmä vplyv nárastu bankového odvodu, ale aj nárast nákladov na príspevky do rezolučného fondu a ďalšie povinné príspevky. </w:t>
      </w:r>
    </w:p>
    <w:p w14:paraId="53D061A8" w14:textId="77777777" w:rsidR="00F85202" w:rsidRDefault="00F85202" w:rsidP="00F85202">
      <w:pPr>
        <w:pStyle w:val="Podgrafom"/>
      </w:pPr>
    </w:p>
    <w:bookmarkEnd w:id="28"/>
    <w:p w14:paraId="7C3F501E" w14:textId="1CD0CEF6" w:rsidR="00F85202" w:rsidRDefault="00F85202" w:rsidP="00F85202">
      <w:proofErr w:type="spellStart"/>
      <w:r w:rsidRPr="00FA1C33">
        <w:rPr>
          <w:b/>
          <w:bCs/>
        </w:rPr>
        <w:t>Anualizovaná</w:t>
      </w:r>
      <w:proofErr w:type="spellEnd"/>
      <w:r w:rsidRPr="00FA1C33">
        <w:rPr>
          <w:b/>
          <w:bCs/>
        </w:rPr>
        <w:t xml:space="preserve"> návratnosť kapitálu </w:t>
      </w:r>
      <w:r>
        <w:rPr>
          <w:b/>
          <w:bCs/>
        </w:rPr>
        <w:t xml:space="preserve">ku koncu prvého štvrťroka 2020 </w:t>
      </w:r>
      <w:r w:rsidR="0068581E">
        <w:rPr>
          <w:b/>
          <w:bCs/>
        </w:rPr>
        <w:t>v </w:t>
      </w:r>
      <w:r w:rsidRPr="00FA1C33">
        <w:rPr>
          <w:b/>
          <w:bCs/>
        </w:rPr>
        <w:t xml:space="preserve">prípade slovenského bankového trhu dosiahla úroveň </w:t>
      </w:r>
      <w:r w:rsidR="002E16A7">
        <w:rPr>
          <w:b/>
          <w:bCs/>
        </w:rPr>
        <w:t>2,8</w:t>
      </w:r>
      <w:r w:rsidR="0068581E">
        <w:rPr>
          <w:b/>
          <w:bCs/>
        </w:rPr>
        <w:t> %</w:t>
      </w:r>
      <w:r w:rsidRPr="00FA1C33">
        <w:rPr>
          <w:b/>
          <w:bCs/>
        </w:rPr>
        <w:t xml:space="preserve">, čo je </w:t>
      </w:r>
      <w:proofErr w:type="spellStart"/>
      <w:r w:rsidR="000A5239">
        <w:rPr>
          <w:b/>
          <w:bCs/>
        </w:rPr>
        <w:t>medzištvrťročný</w:t>
      </w:r>
      <w:proofErr w:type="spellEnd"/>
      <w:r w:rsidR="000A5239">
        <w:rPr>
          <w:b/>
          <w:bCs/>
        </w:rPr>
        <w:t xml:space="preserve"> </w:t>
      </w:r>
      <w:r w:rsidRPr="00FA1C33">
        <w:rPr>
          <w:b/>
          <w:bCs/>
        </w:rPr>
        <w:t xml:space="preserve">pokles </w:t>
      </w:r>
      <w:r w:rsidR="0068581E">
        <w:rPr>
          <w:b/>
          <w:bCs/>
        </w:rPr>
        <w:t>o </w:t>
      </w:r>
      <w:r w:rsidR="009F2DC8">
        <w:rPr>
          <w:b/>
          <w:bCs/>
        </w:rPr>
        <w:t>4</w:t>
      </w:r>
      <w:r w:rsidR="002E16A7">
        <w:rPr>
          <w:b/>
          <w:bCs/>
        </w:rPr>
        <w:t>43</w:t>
      </w:r>
      <w:r w:rsidR="0068581E">
        <w:rPr>
          <w:b/>
          <w:bCs/>
        </w:rPr>
        <w:t> b. b.</w:t>
      </w:r>
      <w:r>
        <w:t xml:space="preserve"> Úroveň ROE domácich bánk sa tak </w:t>
      </w:r>
      <w:r>
        <w:lastRenderedPageBreak/>
        <w:t xml:space="preserve">pohybuje </w:t>
      </w:r>
      <w:r w:rsidR="002E16A7">
        <w:t xml:space="preserve">tesne pod </w:t>
      </w:r>
      <w:r>
        <w:t>priemern</w:t>
      </w:r>
      <w:r w:rsidR="002E16A7">
        <w:t>ou</w:t>
      </w:r>
      <w:r>
        <w:t xml:space="preserve"> úrov</w:t>
      </w:r>
      <w:r w:rsidR="002E16A7">
        <w:t>ňou</w:t>
      </w:r>
      <w:r>
        <w:t xml:space="preserve"> EÚ. Medián za krajiny EÚ sa </w:t>
      </w:r>
      <w:r w:rsidR="0068581E">
        <w:t>v </w:t>
      </w:r>
      <w:r>
        <w:t xml:space="preserve">rovnakom období znížil </w:t>
      </w:r>
      <w:r w:rsidR="0068581E">
        <w:t>o </w:t>
      </w:r>
      <w:r>
        <w:t>46</w:t>
      </w:r>
      <w:r w:rsidR="0068581E">
        <w:t>8 b. b.</w:t>
      </w:r>
      <w:r>
        <w:t xml:space="preserve"> na hodnotu 3,</w:t>
      </w:r>
      <w:r w:rsidR="0068581E">
        <w:t>1 %</w:t>
      </w:r>
      <w:r>
        <w:t xml:space="preserve">. Zvýšenie </w:t>
      </w:r>
      <w:proofErr w:type="spellStart"/>
      <w:r>
        <w:t>anualizovanej</w:t>
      </w:r>
      <w:proofErr w:type="spellEnd"/>
      <w:r>
        <w:t xml:space="preserve"> hodnoty návratnosti kapitálu </w:t>
      </w:r>
      <w:r w:rsidR="0068581E">
        <w:t>k </w:t>
      </w:r>
      <w:r>
        <w:t xml:space="preserve">prvému štvrťroku 2020 </w:t>
      </w:r>
      <w:r w:rsidR="0068581E">
        <w:t>z </w:t>
      </w:r>
      <w:r>
        <w:t>úrovne konca roka 2019 pozorujeme len pri Slovinsku, Fínsku, Rumunsku a Grécku.</w:t>
      </w:r>
    </w:p>
    <w:p w14:paraId="23F18E94" w14:textId="7DEFAC6F" w:rsidR="00F85202" w:rsidRPr="00A473EF" w:rsidRDefault="00F85202" w:rsidP="00F85202">
      <w:pPr>
        <w:pStyle w:val="Nadpisgrafu"/>
      </w:pPr>
      <w:r>
        <w:t xml:space="preserve">Graf </w:t>
      </w:r>
      <w:fldSimple w:instr=" SEQ Graf \* ARABIC ">
        <w:r w:rsidR="00A02A40">
          <w:rPr>
            <w:noProof/>
          </w:rPr>
          <w:t>13</w:t>
        </w:r>
      </w:fldSimple>
      <w:r>
        <w:t xml:space="preserve"> </w:t>
      </w:r>
      <w:r w:rsidRPr="00A473EF">
        <w:t xml:space="preserve">Návratnosť kapitálu </w:t>
      </w:r>
      <w:r w:rsidR="0068581E">
        <w:t>v </w:t>
      </w:r>
      <w:r w:rsidRPr="00A473EF">
        <w:t xml:space="preserve">krajinách EÚ sa </w:t>
      </w:r>
      <w:r w:rsidR="0068581E">
        <w:t>v </w:t>
      </w:r>
      <w:r w:rsidRPr="00A473EF">
        <w:t xml:space="preserve">prvom </w:t>
      </w:r>
      <w:r w:rsidR="000A5239">
        <w:t>štvrťroku</w:t>
      </w:r>
      <w:r w:rsidR="000A5239" w:rsidRPr="00A473EF">
        <w:t xml:space="preserve"> </w:t>
      </w:r>
      <w:r w:rsidRPr="00A473EF">
        <w:t xml:space="preserve">2020 výrazne prepadla </w:t>
      </w:r>
    </w:p>
    <w:p w14:paraId="04F78B07" w14:textId="3E594002" w:rsidR="00F85202" w:rsidRDefault="00F85202" w:rsidP="00F85202">
      <w:pPr>
        <w:pStyle w:val="Podnadpisgrafu"/>
      </w:pPr>
      <w:r w:rsidRPr="000B1467">
        <w:t xml:space="preserve">Medzinárodné porovnanie návratnosti </w:t>
      </w:r>
      <w:r w:rsidRPr="00A473EF">
        <w:t xml:space="preserve">kapitálu </w:t>
      </w:r>
      <w:r w:rsidRPr="000B1467">
        <w:t xml:space="preserve">krajín EÚ </w:t>
      </w:r>
    </w:p>
    <w:p w14:paraId="00F9739B" w14:textId="0778487F" w:rsidR="00171430" w:rsidRPr="000B1467" w:rsidRDefault="002E16A7" w:rsidP="00F85202">
      <w:pPr>
        <w:pStyle w:val="Podnadpisgrafu"/>
      </w:pPr>
      <w:r>
        <w:rPr>
          <w:noProof/>
        </w:rPr>
        <w:drawing>
          <wp:inline distT="0" distB="0" distL="0" distR="0" wp14:anchorId="2C81ED6E" wp14:editId="167F99C6">
            <wp:extent cx="4679950" cy="2440940"/>
            <wp:effectExtent l="0" t="0" r="6350" b="0"/>
            <wp:docPr id="35" name="Chart 35">
              <a:extLst xmlns:a="http://schemas.openxmlformats.org/drawingml/2006/main">
                <a:ext uri="{FF2B5EF4-FFF2-40B4-BE49-F238E27FC236}">
                  <a16:creationId xmlns:a16="http://schemas.microsoft.com/office/drawing/2014/main" id="{96FA65E4-80E2-4AAB-82AA-29787D3A9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50925B0" w14:textId="30FBCD1D" w:rsidR="00F85202" w:rsidRDefault="00F85202" w:rsidP="00F85202">
      <w:pPr>
        <w:pStyle w:val="Podgrafom"/>
      </w:pPr>
      <w:r w:rsidRPr="00BC5452">
        <w:t>Zdroj: ECB</w:t>
      </w:r>
      <w:r w:rsidR="003D53B7">
        <w:t xml:space="preserve"> SDW</w:t>
      </w:r>
    </w:p>
    <w:p w14:paraId="46F8AF7F" w14:textId="6334D104" w:rsidR="003D53B7" w:rsidRDefault="003D53B7" w:rsidP="00F85202">
      <w:pPr>
        <w:pStyle w:val="Podgrafom"/>
      </w:pPr>
      <w:r w:rsidRPr="003D53B7">
        <w:t xml:space="preserve">Poznámka: </w:t>
      </w:r>
      <w:proofErr w:type="spellStart"/>
      <w:r w:rsidRPr="003D53B7">
        <w:t>an</w:t>
      </w:r>
      <w:proofErr w:type="spellEnd"/>
      <w:r w:rsidRPr="003D53B7">
        <w:t xml:space="preserve">. – </w:t>
      </w:r>
      <w:proofErr w:type="spellStart"/>
      <w:r w:rsidRPr="003D53B7">
        <w:t>anualizované</w:t>
      </w:r>
      <w:proofErr w:type="spellEnd"/>
      <w:r w:rsidRPr="003D53B7">
        <w:t>.</w:t>
      </w:r>
    </w:p>
    <w:p w14:paraId="5AF7B557" w14:textId="77777777" w:rsidR="00F85202" w:rsidRPr="00BC5452" w:rsidRDefault="00F85202" w:rsidP="00F85202">
      <w:pPr>
        <w:pStyle w:val="Podgrafom"/>
      </w:pPr>
    </w:p>
    <w:p w14:paraId="6BF4B3BA" w14:textId="1327A849" w:rsidR="00F85202" w:rsidRDefault="00F85202" w:rsidP="00F85202">
      <w:r w:rsidRPr="00E630DF">
        <w:rPr>
          <w:b/>
          <w:bCs/>
        </w:rPr>
        <w:t>Pandémia COVID-19</w:t>
      </w:r>
      <w:r>
        <w:rPr>
          <w:b/>
          <w:bCs/>
        </w:rPr>
        <w:t xml:space="preserve">, vzhľadom na jej ekonomické dôsledky, výrazným spôsobom ovplyvnila ziskovosť bankového sektora. Napriek tomu, že miery zlyhania podnikov a domácností zatiaľ nevzrástli, </w:t>
      </w:r>
      <w:r>
        <w:t xml:space="preserve">banky medziročne zvýšili alokáciu nákladov na kreditné riziko </w:t>
      </w:r>
      <w:r w:rsidR="0068581E">
        <w:t>o </w:t>
      </w:r>
      <w:r>
        <w:t>18</w:t>
      </w:r>
      <w:r w:rsidR="0068581E">
        <w:t>9 mil. €</w:t>
      </w:r>
      <w:r>
        <w:t xml:space="preserve">, pričom </w:t>
      </w:r>
      <w:r w:rsidR="0068581E">
        <w:t>v </w:t>
      </w:r>
      <w:r>
        <w:t xml:space="preserve">druhom </w:t>
      </w:r>
      <w:r w:rsidR="008741BC">
        <w:t xml:space="preserve">štvrťroku </w:t>
      </w:r>
      <w:r>
        <w:t>2020 banky vytvorili až 18</w:t>
      </w:r>
      <w:r w:rsidR="0068581E">
        <w:t>8 mil. €</w:t>
      </w:r>
      <w:r w:rsidR="00814C8A">
        <w:t xml:space="preserve"> </w:t>
      </w:r>
      <w:r>
        <w:t>opravných položiek a rezerv. Prístup</w:t>
      </w:r>
      <w:r w:rsidR="00814C8A">
        <w:t xml:space="preserve"> jednotlivých</w:t>
      </w:r>
      <w:r>
        <w:t xml:space="preserve"> bánk </w:t>
      </w:r>
      <w:r w:rsidR="0068581E">
        <w:t>k </w:t>
      </w:r>
      <w:r>
        <w:t xml:space="preserve">ich tvorbe </w:t>
      </w:r>
      <w:r w:rsidR="0068581E">
        <w:t>v </w:t>
      </w:r>
      <w:r>
        <w:t xml:space="preserve">súvislosti </w:t>
      </w:r>
      <w:r w:rsidR="0068581E">
        <w:t>s </w:t>
      </w:r>
      <w:r>
        <w:t>pandémiou COVID</w:t>
      </w:r>
      <w:r w:rsidR="008741BC">
        <w:noBreakHyphen/>
      </w:r>
      <w:r>
        <w:t xml:space="preserve">19 je však rôzny. </w:t>
      </w:r>
    </w:p>
    <w:p w14:paraId="259FE0B5" w14:textId="4913B3EF" w:rsidR="00F85202" w:rsidRDefault="00F85202" w:rsidP="00F85202">
      <w:r>
        <w:t xml:space="preserve">Medziročný nárast nákladov na kreditné riziko však pozorujeme </w:t>
      </w:r>
      <w:r w:rsidR="0068581E">
        <w:t>u </w:t>
      </w:r>
      <w:r>
        <w:t xml:space="preserve">všetkých významných bánk, a to </w:t>
      </w:r>
      <w:r w:rsidR="005C0083">
        <w:t>najmä</w:t>
      </w:r>
      <w:r>
        <w:t xml:space="preserve"> prostredníctvom </w:t>
      </w:r>
    </w:p>
    <w:p w14:paraId="15392AEF" w14:textId="74DD88A2" w:rsidR="00F85202" w:rsidRDefault="00F85202" w:rsidP="00F85202">
      <w:pPr>
        <w:pStyle w:val="ListParagraph"/>
        <w:numPr>
          <w:ilvl w:val="0"/>
          <w:numId w:val="23"/>
        </w:numPr>
        <w:spacing w:before="0"/>
      </w:pPr>
      <w:r>
        <w:t>preklasifikovania vybraných typov pôvodne neznehodnotených expozícií (</w:t>
      </w:r>
      <w:r w:rsidR="005C0083">
        <w:t xml:space="preserve">Úroveň </w:t>
      </w:r>
      <w:r>
        <w:t xml:space="preserve">1 podľa IFRS 9) na nezlyhané expozície </w:t>
      </w:r>
      <w:r w:rsidR="0068581E">
        <w:t>s </w:t>
      </w:r>
      <w:r>
        <w:t>výrazným zvýšením kreditného rizika od prvotného vykázania (</w:t>
      </w:r>
      <w:r w:rsidR="005C0083">
        <w:t>Úroveň</w:t>
      </w:r>
      <w:r>
        <w:t xml:space="preserve"> 2 podľa  IFRS 9) a</w:t>
      </w:r>
    </w:p>
    <w:p w14:paraId="4D30E0D3" w14:textId="2EA00D91" w:rsidR="00F85202" w:rsidRDefault="00F85202" w:rsidP="00F85202">
      <w:pPr>
        <w:pStyle w:val="ListParagraph"/>
        <w:numPr>
          <w:ilvl w:val="0"/>
          <w:numId w:val="23"/>
        </w:numPr>
        <w:spacing w:before="0"/>
      </w:pPr>
      <w:r>
        <w:t>aktualizácie „</w:t>
      </w:r>
      <w:r>
        <w:rPr>
          <w:i/>
          <w:iCs/>
        </w:rPr>
        <w:t>forward-</w:t>
      </w:r>
      <w:proofErr w:type="spellStart"/>
      <w:r>
        <w:rPr>
          <w:i/>
          <w:iCs/>
        </w:rPr>
        <w:t>looking</w:t>
      </w:r>
      <w:proofErr w:type="spellEnd"/>
      <w:r>
        <w:rPr>
          <w:i/>
          <w:iCs/>
        </w:rPr>
        <w:t xml:space="preserve"> </w:t>
      </w:r>
      <w:proofErr w:type="spellStart"/>
      <w:r>
        <w:rPr>
          <w:i/>
          <w:iCs/>
        </w:rPr>
        <w:t>indicator</w:t>
      </w:r>
      <w:proofErr w:type="spellEnd"/>
      <w:r>
        <w:rPr>
          <w:i/>
          <w:iCs/>
        </w:rPr>
        <w:t xml:space="preserve">“ </w:t>
      </w:r>
      <w:r w:rsidRPr="00AD3787">
        <w:t xml:space="preserve">berúc </w:t>
      </w:r>
      <w:r>
        <w:t xml:space="preserve">do úvahy aktuálne zhoršenie makroekonomických fundamentov národného hospodárstva pre expozície </w:t>
      </w:r>
      <w:r w:rsidR="0068581E">
        <w:t>s </w:t>
      </w:r>
      <w:r>
        <w:t>výrazným zvýšením kreditného rizika od prvotného vykázania</w:t>
      </w:r>
      <w:r w:rsidR="005C0083">
        <w:t>.</w:t>
      </w:r>
    </w:p>
    <w:p w14:paraId="126524BB" w14:textId="75F7C67A" w:rsidR="00A25479" w:rsidRDefault="00F85202" w:rsidP="00A25479">
      <w:r w:rsidRPr="00D81455">
        <w:rPr>
          <w:b/>
          <w:bCs/>
        </w:rPr>
        <w:t xml:space="preserve">Zvýšená dynamika alokácie nákladov na kreditné riziko </w:t>
      </w:r>
      <w:r w:rsidR="0068581E">
        <w:rPr>
          <w:b/>
          <w:bCs/>
        </w:rPr>
        <w:t>v </w:t>
      </w:r>
      <w:r>
        <w:rPr>
          <w:b/>
          <w:bCs/>
        </w:rPr>
        <w:t xml:space="preserve">prvom polroku 2020 </w:t>
      </w:r>
      <w:r w:rsidRPr="00D81455">
        <w:rPr>
          <w:b/>
          <w:bCs/>
        </w:rPr>
        <w:t>nie je odpoveďou na</w:t>
      </w:r>
      <w:r w:rsidR="00B246B9">
        <w:rPr>
          <w:b/>
          <w:bCs/>
        </w:rPr>
        <w:t xml:space="preserve"> už</w:t>
      </w:r>
      <w:r>
        <w:rPr>
          <w:b/>
          <w:bCs/>
        </w:rPr>
        <w:t xml:space="preserve"> realizované </w:t>
      </w:r>
      <w:r w:rsidRPr="00D81455">
        <w:rPr>
          <w:b/>
          <w:bCs/>
        </w:rPr>
        <w:t xml:space="preserve">straty, ale vytvorením si vankúša na potenciálne straty </w:t>
      </w:r>
      <w:r w:rsidR="0068581E">
        <w:rPr>
          <w:b/>
          <w:bCs/>
        </w:rPr>
        <w:t>z </w:t>
      </w:r>
      <w:r w:rsidRPr="00D81455">
        <w:rPr>
          <w:b/>
          <w:bCs/>
        </w:rPr>
        <w:t>úverov klientov, ktorí čelia zhoršeniu finančnej situácie</w:t>
      </w:r>
      <w:r>
        <w:rPr>
          <w:b/>
          <w:bCs/>
        </w:rPr>
        <w:t xml:space="preserve"> </w:t>
      </w:r>
      <w:r w:rsidR="0068581E">
        <w:rPr>
          <w:b/>
          <w:bCs/>
        </w:rPr>
        <w:t>z </w:t>
      </w:r>
      <w:r>
        <w:rPr>
          <w:b/>
          <w:bCs/>
        </w:rPr>
        <w:t>dôvodu pandémie</w:t>
      </w:r>
      <w:r w:rsidRPr="00D81455">
        <w:rPr>
          <w:b/>
          <w:bCs/>
        </w:rPr>
        <w:t xml:space="preserve">. </w:t>
      </w:r>
      <w:r>
        <w:t xml:space="preserve">Dôkazom toho je zaevidovaný nárast kreditného rizika </w:t>
      </w:r>
      <w:r w:rsidR="0068581E">
        <w:t>v </w:t>
      </w:r>
      <w:r>
        <w:t xml:space="preserve">portfóliách bánk (expozície preradené </w:t>
      </w:r>
      <w:r w:rsidR="0068581E">
        <w:t>z </w:t>
      </w:r>
      <w:r w:rsidR="005C0083">
        <w:t>Úrovne</w:t>
      </w:r>
      <w:r>
        <w:t xml:space="preserve"> 1 do </w:t>
      </w:r>
      <w:r w:rsidR="005C0083">
        <w:t xml:space="preserve">Úrovne </w:t>
      </w:r>
      <w:r>
        <w:t>2 podľa IFRS 9</w:t>
      </w:r>
      <w:r w:rsidRPr="007E0477">
        <w:t>)</w:t>
      </w:r>
      <w:r>
        <w:t xml:space="preserve"> a následne súvisiaca vyššia tvorba opravných položiek. </w:t>
      </w:r>
      <w:r w:rsidR="00A25479">
        <w:t xml:space="preserve">Naproti tomu, </w:t>
      </w:r>
      <w:r w:rsidR="00A25479">
        <w:lastRenderedPageBreak/>
        <w:t>nárast zlyhaných expozícií (</w:t>
      </w:r>
      <w:r w:rsidR="005C0083">
        <w:t xml:space="preserve">Úroveň </w:t>
      </w:r>
      <w:r w:rsidR="00A25479">
        <w:t xml:space="preserve">3 podľa  IFRS 9), ani významný nárast miery </w:t>
      </w:r>
      <w:r w:rsidR="00814C8A">
        <w:t xml:space="preserve">ich </w:t>
      </w:r>
      <w:r w:rsidR="00A25479">
        <w:t xml:space="preserve">pokrytia opravnými položkami a rezervami nebol zaznamenaný ani medziročne, a zatiaľ ani počas trvania pandémie COVID-19. </w:t>
      </w:r>
    </w:p>
    <w:p w14:paraId="6711C1BC" w14:textId="085E4189" w:rsidR="00F85202" w:rsidRPr="00224C91" w:rsidRDefault="00A25479" w:rsidP="00A25479">
      <w:pPr>
        <w:pStyle w:val="Nadpisgrafu"/>
      </w:pPr>
      <w:r>
        <w:t xml:space="preserve">Graf </w:t>
      </w:r>
      <w:fldSimple w:instr=" SEQ Graf \* ARABIC ">
        <w:r w:rsidR="00A02A40">
          <w:rPr>
            <w:noProof/>
          </w:rPr>
          <w:t>14</w:t>
        </w:r>
      </w:fldSimple>
      <w:r>
        <w:t xml:space="preserve"> </w:t>
      </w:r>
      <w:r w:rsidR="00F85202" w:rsidRPr="00224C91">
        <w:t xml:space="preserve">Tvorba opravných položiek za prvý polrok 2020 presiahla objem vytvorených opravných položiek za </w:t>
      </w:r>
      <w:r>
        <w:t>posledné</w:t>
      </w:r>
      <w:r w:rsidR="00F85202" w:rsidRPr="00224C91">
        <w:t xml:space="preserve"> roky</w:t>
      </w:r>
    </w:p>
    <w:p w14:paraId="2F42392B" w14:textId="1A479DE7" w:rsidR="00F85202" w:rsidRDefault="00BF1979" w:rsidP="00F85202">
      <w:pPr>
        <w:pStyle w:val="Podnadpisgrafu"/>
      </w:pPr>
      <w:r>
        <w:t>Štvrťročná</w:t>
      </w:r>
      <w:r w:rsidRPr="00910099">
        <w:t xml:space="preserve"> </w:t>
      </w:r>
      <w:r w:rsidR="00F85202" w:rsidRPr="00910099">
        <w:t>tvorba opravných položiek od roku 2010 (mil. EUR)</w:t>
      </w:r>
      <w:r w:rsidR="00F85202">
        <w:t xml:space="preserve"> </w:t>
      </w:r>
      <w:r w:rsidR="00F85202">
        <w:rPr>
          <w:noProof/>
        </w:rPr>
        <w:drawing>
          <wp:inline distT="0" distB="0" distL="0" distR="0" wp14:anchorId="4B81AEED" wp14:editId="383AF71B">
            <wp:extent cx="4492487" cy="2464905"/>
            <wp:effectExtent l="0" t="0" r="3810" b="0"/>
            <wp:docPr id="5" name="Chart 5">
              <a:extLst xmlns:a="http://schemas.openxmlformats.org/drawingml/2006/main">
                <a:ext uri="{FF2B5EF4-FFF2-40B4-BE49-F238E27FC236}">
                  <a16:creationId xmlns:a16="http://schemas.microsoft.com/office/drawing/2014/main" id="{9A7AF321-6E2D-4D37-B817-25FA6E64C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A97E15E" w14:textId="572F3375" w:rsidR="00F85202" w:rsidRDefault="00F85202" w:rsidP="00F85202">
      <w:pPr>
        <w:pStyle w:val="Podgrafom"/>
      </w:pPr>
      <w:r w:rsidRPr="00BC5452">
        <w:t>Zdroj: NBS</w:t>
      </w:r>
    </w:p>
    <w:p w14:paraId="48D5EEBD" w14:textId="35D2B6D0" w:rsidR="005C0083" w:rsidRPr="00BC5452" w:rsidRDefault="005C0083" w:rsidP="00F85202">
      <w:pPr>
        <w:pStyle w:val="Podgrafom"/>
      </w:pPr>
      <w:r>
        <w:t xml:space="preserve">Poznámka: K 1. 1. 2018 zmena účtovných štandardov k tvorbe opravných položiek z IAS 39 na IFRS 9. </w:t>
      </w:r>
    </w:p>
    <w:p w14:paraId="4FAD9635" w14:textId="77777777" w:rsidR="00F85202" w:rsidRPr="00BC5452" w:rsidRDefault="00F85202" w:rsidP="00F85202">
      <w:pPr>
        <w:pStyle w:val="Podgrafom"/>
      </w:pPr>
    </w:p>
    <w:p w14:paraId="2C0D69C2" w14:textId="4A6975C9" w:rsidR="00F85202" w:rsidRPr="00C23AE5" w:rsidRDefault="0068581E" w:rsidP="00F85202">
      <w:r>
        <w:rPr>
          <w:b/>
          <w:bCs/>
        </w:rPr>
        <w:t>Z </w:t>
      </w:r>
      <w:r w:rsidR="00F85202">
        <w:rPr>
          <w:b/>
          <w:bCs/>
        </w:rPr>
        <w:t xml:space="preserve">pohľadu ziskovosti bankového sektora je preto dôležité, že parlament na svojej júlovej schôdzi schválil zrušenie povinnosti bánk uhrádzať splátky bankového odvodu do konca roka 2020. </w:t>
      </w:r>
      <w:r w:rsidR="00F85202" w:rsidRPr="00C23AE5">
        <w:t>Bank</w:t>
      </w:r>
      <w:r w:rsidR="00F85202">
        <w:t xml:space="preserve">y </w:t>
      </w:r>
      <w:r>
        <w:t>k </w:t>
      </w:r>
      <w:r w:rsidR="00F85202">
        <w:t>júnu 2020 zaplatili na bankovom odvode 15</w:t>
      </w:r>
      <w:r>
        <w:t>0 mil. €</w:t>
      </w:r>
      <w:r w:rsidR="00F85202">
        <w:t xml:space="preserve">, čo je takmer dvojnásobne viac ako za rovnaké obdobie minulého roka. </w:t>
      </w:r>
      <w:r>
        <w:t>V </w:t>
      </w:r>
      <w:r w:rsidR="00F85202" w:rsidRPr="0014602A">
        <w:t>prípade, ak by bol bankový odvod zrušený od začiatku roka 2020, zisk bankového sektora by bol na úrovni 24</w:t>
      </w:r>
      <w:r>
        <w:t>4 mil. €</w:t>
      </w:r>
      <w:r w:rsidR="00814C8A" w:rsidRPr="0014602A">
        <w:t xml:space="preserve"> </w:t>
      </w:r>
      <w:r w:rsidR="00F85202" w:rsidRPr="0014602A">
        <w:t>a jeho medziročný pokles by bol oproti aktuálnym 6</w:t>
      </w:r>
      <w:r>
        <w:t>4 %</w:t>
      </w:r>
      <w:r w:rsidR="00F85202" w:rsidRPr="0014602A">
        <w:t xml:space="preserve"> na úrovni 3</w:t>
      </w:r>
      <w:r>
        <w:t>0 %</w:t>
      </w:r>
      <w:r w:rsidR="00F85202">
        <w:t xml:space="preserve">. Zároveň je dôležité, že bolo podpísané Memorandum </w:t>
      </w:r>
      <w:r>
        <w:t>o </w:t>
      </w:r>
      <w:r w:rsidR="00F85202">
        <w:t>porozumení medzi Ministerstvom financií SR a Slovenskou bankovou asociáciou, ktoré výhľadovo bankový odvod nahrádza novou schémou (2020 – 2023) na podporu ekonomiky. Banky sa podpisom dokumentu zaviazali investovať ročne do štátnych projektov 0,</w:t>
      </w:r>
      <w:r>
        <w:t>5 mld. €</w:t>
      </w:r>
      <w:r w:rsidR="00814C8A">
        <w:t xml:space="preserve"> </w:t>
      </w:r>
      <w:r w:rsidR="00F85202">
        <w:t xml:space="preserve">(vrátane projektov Rozvojového fondu Slovenska a nákupu štátnych dlhopisov) a každoročne navyšovať objem úverov domácnostiam a podnikom </w:t>
      </w:r>
      <w:r>
        <w:t>o 1 mld. €</w:t>
      </w:r>
      <w:r w:rsidR="00F85202">
        <w:t xml:space="preserve">. Zároveň pre banky so sídlom na Slovensku platí, že svoju dividendovú politiku obmedzia najviac do objemu čistého zisku za daný rok zníženého </w:t>
      </w:r>
      <w:r>
        <w:t>o </w:t>
      </w:r>
      <w:r w:rsidR="00F85202">
        <w:t>sumu rovnú 0,</w:t>
      </w:r>
      <w:r>
        <w:t>2 %</w:t>
      </w:r>
      <w:r w:rsidR="00F85202">
        <w:t xml:space="preserve"> vybraných pasív</w:t>
      </w:r>
      <w:r w:rsidR="00F85202">
        <w:rPr>
          <w:rStyle w:val="FootnoteReference"/>
        </w:rPr>
        <w:footnoteReference w:id="22"/>
      </w:r>
      <w:r w:rsidR="00F85202">
        <w:t xml:space="preserve">. Uvedené má za cieľ posilniť vlastné zdroje bánk do takej miery, aby pokryli kapitálové náklady spojené </w:t>
      </w:r>
      <w:r>
        <w:t>s </w:t>
      </w:r>
      <w:r w:rsidR="00F85202">
        <w:t>financovaním ekonomiky.</w:t>
      </w:r>
    </w:p>
    <w:p w14:paraId="199F06E7" w14:textId="0CB16E68" w:rsidR="00F85202" w:rsidRPr="002B6683" w:rsidRDefault="00F85202" w:rsidP="00F85202">
      <w:pPr>
        <w:rPr>
          <w:b/>
          <w:bCs/>
        </w:rPr>
      </w:pPr>
      <w:r w:rsidRPr="00366281">
        <w:rPr>
          <w:b/>
          <w:bCs/>
        </w:rPr>
        <w:t xml:space="preserve">Úrokový príjem bankového sektora pokračoval </w:t>
      </w:r>
      <w:r w:rsidR="0068581E">
        <w:rPr>
          <w:b/>
          <w:bCs/>
        </w:rPr>
        <w:t>v </w:t>
      </w:r>
      <w:r w:rsidRPr="00366281">
        <w:rPr>
          <w:b/>
          <w:bCs/>
        </w:rPr>
        <w:t xml:space="preserve">systematickom poklese aj </w:t>
      </w:r>
      <w:r w:rsidR="0068581E">
        <w:rPr>
          <w:b/>
          <w:bCs/>
        </w:rPr>
        <w:t>v </w:t>
      </w:r>
      <w:r w:rsidRPr="00366281">
        <w:rPr>
          <w:b/>
          <w:bCs/>
        </w:rPr>
        <w:t>prvom polroku 2020.</w:t>
      </w:r>
      <w:r>
        <w:rPr>
          <w:bCs/>
        </w:rPr>
        <w:t xml:space="preserve"> </w:t>
      </w:r>
      <w:r w:rsidRPr="00366281">
        <w:rPr>
          <w:bCs/>
        </w:rPr>
        <w:t xml:space="preserve">NBS </w:t>
      </w:r>
      <w:r w:rsidR="0068581E">
        <w:rPr>
          <w:bCs/>
        </w:rPr>
        <w:t>v </w:t>
      </w:r>
      <w:r w:rsidRPr="00366281">
        <w:rPr>
          <w:bCs/>
        </w:rPr>
        <w:t xml:space="preserve">posledných rokoch poukazovala na zhoršujúcu </w:t>
      </w:r>
      <w:r w:rsidRPr="00366281">
        <w:rPr>
          <w:bCs/>
        </w:rPr>
        <w:lastRenderedPageBreak/>
        <w:t xml:space="preserve">sa mieru ziskovosti bankového sektora. Jedným </w:t>
      </w:r>
      <w:r w:rsidR="0068581E">
        <w:rPr>
          <w:bCs/>
        </w:rPr>
        <w:t>z </w:t>
      </w:r>
      <w:r w:rsidRPr="00366281">
        <w:rPr>
          <w:bCs/>
        </w:rPr>
        <w:t>hlavných dôvodov sú klesajúce úrokové marže bánk. To spôsobuje dlhodobý pokles najvýznamnejšej položky ziskovosti bánk – úrokových príjmov.</w:t>
      </w:r>
      <w:r>
        <w:rPr>
          <w:b/>
          <w:bCs/>
        </w:rPr>
        <w:t xml:space="preserve"> </w:t>
      </w:r>
      <w:r w:rsidRPr="00CE2971">
        <w:t>Čisté úrokové</w:t>
      </w:r>
      <w:r>
        <w:rPr>
          <w:b/>
          <w:bCs/>
        </w:rPr>
        <w:t xml:space="preserve"> </w:t>
      </w:r>
      <w:r>
        <w:t>p</w:t>
      </w:r>
      <w:r w:rsidRPr="00F16E58">
        <w:t>ríjm</w:t>
      </w:r>
      <w:r>
        <w:t xml:space="preserve">y </w:t>
      </w:r>
      <w:r w:rsidR="0068581E">
        <w:t>v </w:t>
      </w:r>
      <w:proofErr w:type="spellStart"/>
      <w:r>
        <w:t>retaili</w:t>
      </w:r>
      <w:proofErr w:type="spellEnd"/>
      <w:r>
        <w:t xml:space="preserve"> medziročne klesli </w:t>
      </w:r>
      <w:r w:rsidR="0068581E">
        <w:t>o 5 %</w:t>
      </w:r>
      <w:r>
        <w:t xml:space="preserve">, pričom všetky štyri predchádzajúce </w:t>
      </w:r>
      <w:r w:rsidR="00F02017">
        <w:t xml:space="preserve">štvrťročné </w:t>
      </w:r>
      <w:r>
        <w:t xml:space="preserve">príspevky boli najnižšie od prvého </w:t>
      </w:r>
      <w:r w:rsidR="00F02017">
        <w:t>štvrťrok</w:t>
      </w:r>
      <w:r w:rsidR="001959B5">
        <w:t>a</w:t>
      </w:r>
      <w:r w:rsidR="00F02017">
        <w:t xml:space="preserve"> </w:t>
      </w:r>
      <w:r>
        <w:t xml:space="preserve">2013. Príjmy </w:t>
      </w:r>
      <w:r w:rsidR="0068581E">
        <w:t>z </w:t>
      </w:r>
      <w:r>
        <w:t xml:space="preserve">dlhopisového portfólia sa medziročne znížili </w:t>
      </w:r>
      <w:r w:rsidR="0068581E">
        <w:t>o </w:t>
      </w:r>
      <w:r>
        <w:t>1</w:t>
      </w:r>
      <w:r w:rsidR="0068581E">
        <w:t>3 %</w:t>
      </w:r>
      <w:r>
        <w:t>. Dôvodom tohto významného poklesu (1,3</w:t>
      </w:r>
      <w:r w:rsidR="00F02017">
        <w:t> </w:t>
      </w:r>
      <w:r>
        <w:t xml:space="preserve"> </w:t>
      </w:r>
      <w:r w:rsidR="0068581E">
        <w:t>mld. €</w:t>
      </w:r>
      <w:r>
        <w:t xml:space="preserve">) bola splatnosť 2 emisií slovenských štátnych dlhopisov </w:t>
      </w:r>
      <w:r w:rsidR="0068581E">
        <w:t>s </w:t>
      </w:r>
      <w:r>
        <w:t xml:space="preserve">kupónom </w:t>
      </w:r>
      <w:r w:rsidR="0068581E">
        <w:t>4 %</w:t>
      </w:r>
      <w:r w:rsidR="00AF0B24">
        <w:t>, resp.</w:t>
      </w:r>
      <w:r>
        <w:t> 5,</w:t>
      </w:r>
      <w:r w:rsidR="0068581E">
        <w:t>3 %</w:t>
      </w:r>
      <w:r>
        <w:t xml:space="preserve"> bez ich adekvátnej náhrady. Jediným významným sektorom, ktorý dokázal medziročne zvýšiť úrokový príjem</w:t>
      </w:r>
      <w:r w:rsidR="00F02017">
        <w:t>,</w:t>
      </w:r>
      <w:r>
        <w:t xml:space="preserve"> bol sektor podnikov, a to </w:t>
      </w:r>
      <w:r w:rsidR="0068581E">
        <w:t>o 2 %</w:t>
      </w:r>
      <w:r>
        <w:t>.</w:t>
      </w:r>
    </w:p>
    <w:p w14:paraId="04D89414" w14:textId="4E4E24DF" w:rsidR="00F85202" w:rsidRPr="000A54BE" w:rsidRDefault="00F85202" w:rsidP="00F85202">
      <w:pPr>
        <w:rPr>
          <w:b/>
          <w:bCs/>
        </w:rPr>
      </w:pPr>
      <w:r w:rsidRPr="000A54BE">
        <w:rPr>
          <w:b/>
          <w:bCs/>
        </w:rPr>
        <w:t xml:space="preserve">Čistý príjem </w:t>
      </w:r>
      <w:r w:rsidR="0068581E" w:rsidRPr="000A54BE">
        <w:rPr>
          <w:b/>
          <w:bCs/>
        </w:rPr>
        <w:t>z </w:t>
      </w:r>
      <w:r w:rsidRPr="000A54BE">
        <w:rPr>
          <w:b/>
          <w:bCs/>
        </w:rPr>
        <w:t xml:space="preserve">poplatkov a provízií vo vzťahu </w:t>
      </w:r>
      <w:r w:rsidR="0068581E" w:rsidRPr="000A54BE">
        <w:rPr>
          <w:b/>
          <w:bCs/>
        </w:rPr>
        <w:t>k </w:t>
      </w:r>
      <w:r w:rsidRPr="000A54BE">
        <w:rPr>
          <w:b/>
          <w:bCs/>
        </w:rPr>
        <w:t xml:space="preserve">sektorom </w:t>
      </w:r>
      <w:proofErr w:type="spellStart"/>
      <w:r w:rsidRPr="000A54BE">
        <w:rPr>
          <w:b/>
          <w:bCs/>
        </w:rPr>
        <w:t>retailu</w:t>
      </w:r>
      <w:proofErr w:type="spellEnd"/>
      <w:r w:rsidRPr="000A54BE">
        <w:rPr>
          <w:b/>
          <w:bCs/>
        </w:rPr>
        <w:t xml:space="preserve"> a podnikov zaznamenal prvý medziročný pokles (-0,</w:t>
      </w:r>
      <w:r w:rsidR="0068581E" w:rsidRPr="000A54BE">
        <w:rPr>
          <w:b/>
          <w:bCs/>
        </w:rPr>
        <w:t>4 %</w:t>
      </w:r>
      <w:r w:rsidRPr="000A54BE">
        <w:rPr>
          <w:b/>
          <w:bCs/>
        </w:rPr>
        <w:t xml:space="preserve">) od tretieho </w:t>
      </w:r>
      <w:r w:rsidR="009532A9" w:rsidRPr="000A54BE">
        <w:rPr>
          <w:b/>
          <w:bCs/>
        </w:rPr>
        <w:t xml:space="preserve">štvrťroka </w:t>
      </w:r>
      <w:r w:rsidRPr="000A54BE">
        <w:rPr>
          <w:b/>
          <w:bCs/>
        </w:rPr>
        <w:t>2017.</w:t>
      </w:r>
    </w:p>
    <w:p w14:paraId="5C741889" w14:textId="069526F0" w:rsidR="00F85202" w:rsidRPr="007E0477" w:rsidRDefault="00F85202" w:rsidP="00F85202">
      <w:r w:rsidRPr="00EB6951">
        <w:rPr>
          <w:b/>
          <w:bCs/>
        </w:rPr>
        <w:t xml:space="preserve">Tlak na ziskovosť </w:t>
      </w:r>
      <w:r>
        <w:rPr>
          <w:b/>
          <w:bCs/>
        </w:rPr>
        <w:t xml:space="preserve">naďalej </w:t>
      </w:r>
      <w:r w:rsidRPr="00EB6951">
        <w:rPr>
          <w:b/>
          <w:bCs/>
        </w:rPr>
        <w:t xml:space="preserve">vplýva na </w:t>
      </w:r>
      <w:r>
        <w:rPr>
          <w:b/>
          <w:bCs/>
        </w:rPr>
        <w:t>zefektívňovanie procesov a</w:t>
      </w:r>
      <w:r w:rsidR="009532A9">
        <w:rPr>
          <w:b/>
          <w:bCs/>
        </w:rPr>
        <w:t> </w:t>
      </w:r>
      <w:r>
        <w:rPr>
          <w:b/>
          <w:bCs/>
        </w:rPr>
        <w:t xml:space="preserve"> </w:t>
      </w:r>
      <w:r w:rsidRPr="00EB6951">
        <w:rPr>
          <w:b/>
          <w:bCs/>
        </w:rPr>
        <w:t>optimalizáciu prevádzkových nákladov</w:t>
      </w:r>
      <w:r>
        <w:rPr>
          <w:b/>
          <w:bCs/>
        </w:rPr>
        <w:t xml:space="preserve"> bankového sektora</w:t>
      </w:r>
      <w:r w:rsidRPr="00EB6951">
        <w:rPr>
          <w:b/>
          <w:bCs/>
        </w:rPr>
        <w:t>.</w:t>
      </w:r>
      <w:r>
        <w:t xml:space="preserve"> Banky medziročne na prevádzkových nákladoch ušetrili </w:t>
      </w:r>
      <w:r w:rsidR="0068581E">
        <w:t>2 %</w:t>
      </w:r>
      <w:r>
        <w:t xml:space="preserve">. Dynamika medziročného rastu personálnych nákladov výrazne spomalila a dosiahla najnižšiu hodnotu od roku 2017, a to úroveň </w:t>
      </w:r>
      <w:r w:rsidR="0068581E">
        <w:t>1 %</w:t>
      </w:r>
      <w:r>
        <w:t xml:space="preserve">. Je zrejmé, že pandémia COVID-19 urýchľuje transformáciu bánk smerom </w:t>
      </w:r>
      <w:r w:rsidR="0068581E">
        <w:t>k </w:t>
      </w:r>
      <w:r>
        <w:t>zoštíhleniu prevádzky, digitalizáci</w:t>
      </w:r>
      <w:r w:rsidR="00B16FAE">
        <w:t>i</w:t>
      </w:r>
      <w:r>
        <w:t xml:space="preserve"> procesov, pretláčaniu klienta do on-line priestoru a optimalizácii obchodných miest.</w:t>
      </w:r>
      <w:r w:rsidRPr="00F41055">
        <w:rPr>
          <w:highlight w:val="yellow"/>
        </w:rPr>
        <w:t xml:space="preserve"> </w:t>
      </w:r>
    </w:p>
    <w:p w14:paraId="683451EF" w14:textId="77777777" w:rsidR="007F23B5" w:rsidRDefault="007F23B5" w:rsidP="007F23B5">
      <w:pPr>
        <w:spacing w:line="0" w:lineRule="auto"/>
        <w:jc w:val="left"/>
        <w:rPr>
          <w:bCs/>
        </w:rPr>
      </w:pPr>
    </w:p>
    <w:p w14:paraId="3A38230E" w14:textId="70A77254" w:rsidR="007F23B5" w:rsidRDefault="00E03AFC" w:rsidP="007A1EB1">
      <w:pPr>
        <w:pStyle w:val="Heading2"/>
      </w:pPr>
      <w:bookmarkStart w:id="29" w:name="_Ref39761086"/>
      <w:bookmarkStart w:id="30" w:name="_Toc40873186"/>
      <w:bookmarkStart w:id="31" w:name="_Toc52285633"/>
      <w:r>
        <w:t>Solventnosť a likvidita</w:t>
      </w:r>
      <w:r w:rsidR="007F23B5">
        <w:t xml:space="preserve"> </w:t>
      </w:r>
      <w:r w:rsidR="009F53B1">
        <w:t>bankového</w:t>
      </w:r>
      <w:r w:rsidR="007F23B5">
        <w:t xml:space="preserve"> sektora</w:t>
      </w:r>
      <w:bookmarkEnd w:id="29"/>
      <w:bookmarkEnd w:id="30"/>
      <w:bookmarkEnd w:id="31"/>
    </w:p>
    <w:p w14:paraId="1C0D80F6" w14:textId="77777777" w:rsidR="006C01AE" w:rsidRDefault="006C01AE" w:rsidP="003C69C5">
      <w:pPr>
        <w:pStyle w:val="Modrnadpis"/>
      </w:pPr>
      <w:r>
        <w:t>Solventnosť a finančná páka</w:t>
      </w:r>
    </w:p>
    <w:p w14:paraId="4D193076" w14:textId="62D9EA06" w:rsidR="006C01AE" w:rsidRDefault="006C01AE" w:rsidP="006C01AE">
      <w:r w:rsidRPr="003C69C5">
        <w:rPr>
          <w:b/>
          <w:bCs/>
        </w:rPr>
        <w:t xml:space="preserve">Solventnosť bánk sa </w:t>
      </w:r>
      <w:r w:rsidR="0068581E">
        <w:rPr>
          <w:b/>
          <w:bCs/>
        </w:rPr>
        <w:t>v </w:t>
      </w:r>
      <w:r w:rsidRPr="003C69C5">
        <w:rPr>
          <w:b/>
          <w:bCs/>
        </w:rPr>
        <w:t>priebehu prvého polroka 2020 mierne zlepšila a ku koncu druhého štvrťrok</w:t>
      </w:r>
      <w:r w:rsidR="00706792">
        <w:rPr>
          <w:b/>
          <w:bCs/>
        </w:rPr>
        <w:t>a</w:t>
      </w:r>
      <w:r w:rsidRPr="003C69C5">
        <w:rPr>
          <w:b/>
          <w:bCs/>
        </w:rPr>
        <w:t xml:space="preserve"> 2020 bola na úrovni 19,</w:t>
      </w:r>
      <w:r w:rsidR="0068581E">
        <w:rPr>
          <w:b/>
          <w:bCs/>
        </w:rPr>
        <w:t>5 %</w:t>
      </w:r>
      <w:r w:rsidRPr="003C69C5">
        <w:rPr>
          <w:b/>
          <w:bCs/>
        </w:rPr>
        <w:t>.</w:t>
      </w:r>
      <w:r>
        <w:t xml:space="preserve"> Úroveň kapitálu sa </w:t>
      </w:r>
      <w:r w:rsidR="0068581E">
        <w:t>v </w:t>
      </w:r>
      <w:r>
        <w:t xml:space="preserve">porovnaní </w:t>
      </w:r>
      <w:r w:rsidR="0068581E">
        <w:t>s </w:t>
      </w:r>
      <w:r>
        <w:t>predchádzajúcim rokom (18,</w:t>
      </w:r>
      <w:r w:rsidR="0068581E">
        <w:t>2 %</w:t>
      </w:r>
      <w:r>
        <w:t xml:space="preserve"> </w:t>
      </w:r>
      <w:r w:rsidR="0068581E">
        <w:t>k </w:t>
      </w:r>
      <w:r>
        <w:t>31.</w:t>
      </w:r>
      <w:r w:rsidR="00706792">
        <w:t> </w:t>
      </w:r>
      <w:r>
        <w:t>12.</w:t>
      </w:r>
      <w:r w:rsidR="00706792">
        <w:t> </w:t>
      </w:r>
      <w:r>
        <w:t xml:space="preserve">2019) zvýšila hlavne vďaka tomu, že kapitál bánk bol navýšený takmer </w:t>
      </w:r>
      <w:r w:rsidR="0068581E">
        <w:t>o </w:t>
      </w:r>
      <w:r>
        <w:t xml:space="preserve">celý zisk </w:t>
      </w:r>
      <w:r w:rsidR="0068581E">
        <w:t>z </w:t>
      </w:r>
      <w:r>
        <w:t>roku 2019. Napriek tomu je kapitálová primeranosť bankového sektora na Slovensku mierne pod priemerom EÚ (19,</w:t>
      </w:r>
      <w:r w:rsidR="0068581E">
        <w:t>8 %</w:t>
      </w:r>
      <w:r>
        <w:t xml:space="preserve">). </w:t>
      </w:r>
      <w:r w:rsidR="0068581E">
        <w:t>Z </w:t>
      </w:r>
      <w:r>
        <w:t>hľadiska kvality kapitálu je však pozitívne, že väčšinu vlastných zdrojov (8</w:t>
      </w:r>
      <w:r w:rsidR="0068581E">
        <w:t>6 %</w:t>
      </w:r>
      <w:r>
        <w:t xml:space="preserve">) aj počas prvého polroka 2020 tvoril vlastný kapitál </w:t>
      </w:r>
      <w:proofErr w:type="spellStart"/>
      <w:r>
        <w:t>Tier</w:t>
      </w:r>
      <w:proofErr w:type="spellEnd"/>
      <w:r>
        <w:t xml:space="preserve"> 1. </w:t>
      </w:r>
    </w:p>
    <w:p w14:paraId="5A650990" w14:textId="09ACBF43" w:rsidR="006C01AE" w:rsidRDefault="006C01AE" w:rsidP="006C01AE">
      <w:r w:rsidRPr="003C69C5">
        <w:rPr>
          <w:b/>
          <w:bCs/>
        </w:rPr>
        <w:t xml:space="preserve">Aj vďaka rozhodnutiam NBS </w:t>
      </w:r>
      <w:r w:rsidR="0068581E">
        <w:rPr>
          <w:b/>
          <w:bCs/>
        </w:rPr>
        <w:t>o </w:t>
      </w:r>
      <w:r w:rsidRPr="003C69C5">
        <w:rPr>
          <w:b/>
          <w:bCs/>
        </w:rPr>
        <w:t xml:space="preserve">tvorbe kapitálových vankúšov prijatých </w:t>
      </w:r>
      <w:r w:rsidR="0068581E">
        <w:rPr>
          <w:b/>
          <w:bCs/>
        </w:rPr>
        <w:t>v </w:t>
      </w:r>
      <w:r w:rsidRPr="003C69C5">
        <w:rPr>
          <w:b/>
          <w:bCs/>
        </w:rPr>
        <w:t xml:space="preserve"> minulých rokoch vstupoval bankový sektor do </w:t>
      </w:r>
      <w:proofErr w:type="spellStart"/>
      <w:r w:rsidRPr="003C69C5">
        <w:rPr>
          <w:b/>
          <w:bCs/>
        </w:rPr>
        <w:t>koronakrízy</w:t>
      </w:r>
      <w:proofErr w:type="spellEnd"/>
      <w:r w:rsidRPr="003C69C5">
        <w:rPr>
          <w:b/>
          <w:bCs/>
        </w:rPr>
        <w:t xml:space="preserve"> </w:t>
      </w:r>
      <w:r w:rsidR="0068581E">
        <w:rPr>
          <w:b/>
          <w:bCs/>
        </w:rPr>
        <w:t>s </w:t>
      </w:r>
      <w:r w:rsidRPr="003C69C5">
        <w:rPr>
          <w:b/>
          <w:bCs/>
        </w:rPr>
        <w:t xml:space="preserve"> dostatočnou kapitálovou primeranosťou.</w:t>
      </w:r>
      <w:r>
        <w:t xml:space="preserve"> </w:t>
      </w:r>
      <w:r w:rsidR="0068581E">
        <w:t>V </w:t>
      </w:r>
      <w:r>
        <w:t xml:space="preserve">období 2016 – 2019 bolo prijatých viacero rozhodnutí </w:t>
      </w:r>
      <w:r w:rsidR="0068581E">
        <w:t>o </w:t>
      </w:r>
      <w:r>
        <w:t xml:space="preserve">zvyšovaní kapitálových vankúšov, ktoré prispeli </w:t>
      </w:r>
      <w:r w:rsidR="0068581E">
        <w:t>k </w:t>
      </w:r>
      <w:r>
        <w:t xml:space="preserve"> posineniu odolnosti bánk. Zv</w:t>
      </w:r>
      <w:r w:rsidR="00AF0B24">
        <w:t>y</w:t>
      </w:r>
      <w:r>
        <w:t xml:space="preserve">šovanie vankúšov vytváralo tlak na znižovanie dividendovej politiky, čo sa prejavilo nárastom kapitálovej primeranosti pred </w:t>
      </w:r>
      <w:proofErr w:type="spellStart"/>
      <w:r>
        <w:t>koronakrízou</w:t>
      </w:r>
      <w:proofErr w:type="spellEnd"/>
      <w:r>
        <w:t xml:space="preserve">. Osobitnú úlohu </w:t>
      </w:r>
      <w:r w:rsidR="0068581E">
        <w:t>v </w:t>
      </w:r>
      <w:r>
        <w:t xml:space="preserve">tomto zohráva </w:t>
      </w:r>
      <w:proofErr w:type="spellStart"/>
      <w:r>
        <w:t>proticyklický</w:t>
      </w:r>
      <w:proofErr w:type="spellEnd"/>
      <w:r>
        <w:t xml:space="preserve"> kapitálový vankúš, ktorým NBS priamo pripravovala bankový sektor na zlé časy. Vďaka jeho navyšovaniu </w:t>
      </w:r>
      <w:r w:rsidR="0068581E">
        <w:t>v </w:t>
      </w:r>
      <w:r>
        <w:t xml:space="preserve">rokoch 2016 až 2019 mohla NBS pristúpiť </w:t>
      </w:r>
      <w:r w:rsidR="0068581E">
        <w:t>k </w:t>
      </w:r>
      <w:r>
        <w:t xml:space="preserve">jeho postupnému znižovaniu. </w:t>
      </w:r>
      <w:r w:rsidR="00435A17">
        <w:t>K vyššej tvorbe kapitálových vankúšo</w:t>
      </w:r>
      <w:r w:rsidR="00AE1DA9">
        <w:t>v</w:t>
      </w:r>
      <w:r w:rsidR="00435A17">
        <w:t xml:space="preserve"> prispela aj zmena bankovej regulácie, napríklad zavedením požiadaviek na MREL a zmena prístupu k</w:t>
      </w:r>
      <w:r w:rsidR="00EC44EF">
        <w:t> </w:t>
      </w:r>
      <w:r w:rsidR="00435A17">
        <w:t xml:space="preserve"> určovaniu požiadaviek na kapitál z druhého piliera v rámci </w:t>
      </w:r>
      <w:r w:rsidR="00A25E5C">
        <w:t>j</w:t>
      </w:r>
      <w:r w:rsidR="00435A17">
        <w:t>ednotného mechanizmu dohľadu.</w:t>
      </w:r>
    </w:p>
    <w:p w14:paraId="69514616" w14:textId="09490D42" w:rsidR="00DD7D07" w:rsidRDefault="00DD7D07" w:rsidP="00DD7D07">
      <w:pPr>
        <w:pStyle w:val="Nadpisgrafu"/>
      </w:pPr>
      <w:r>
        <w:lastRenderedPageBreak/>
        <w:t xml:space="preserve">Graf </w:t>
      </w:r>
      <w:fldSimple w:instr=" SEQ Graf \* ARABIC ">
        <w:r w:rsidR="00A02A40">
          <w:rPr>
            <w:noProof/>
          </w:rPr>
          <w:t>15</w:t>
        </w:r>
      </w:fldSimple>
      <w:r w:rsidRPr="003C69C5">
        <w:t xml:space="preserve"> </w:t>
      </w:r>
      <w:r>
        <w:t>Rozhodnutia NBS o kapitálových vankúšoch a miera vyplácania dividend</w:t>
      </w:r>
    </w:p>
    <w:p w14:paraId="6DFAA703" w14:textId="77777777" w:rsidR="00DD7D07" w:rsidRDefault="00DD7D07" w:rsidP="00DD7D07">
      <w:pPr>
        <w:pStyle w:val="Podnadpisgrafu"/>
      </w:pPr>
      <w:r>
        <w:t>(%)</w:t>
      </w:r>
    </w:p>
    <w:p w14:paraId="43E602F2" w14:textId="77777777" w:rsidR="00DD7D07" w:rsidRDefault="00DD7D07" w:rsidP="00DD7D07">
      <w:pPr>
        <w:pStyle w:val="Podnadpisgrafu"/>
      </w:pPr>
      <w:r>
        <w:rPr>
          <w:noProof/>
        </w:rPr>
        <w:drawing>
          <wp:inline distT="0" distB="0" distL="0" distR="0" wp14:anchorId="2F88C5A7" wp14:editId="492686CC">
            <wp:extent cx="4679950" cy="2524836"/>
            <wp:effectExtent l="0" t="0" r="6350" b="8890"/>
            <wp:docPr id="27" name="Chart 27">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0BC445" w14:textId="77777777" w:rsidR="00DD7D07" w:rsidRDefault="00DD7D07" w:rsidP="00DD7D07">
      <w:pPr>
        <w:pStyle w:val="Podgrafom"/>
      </w:pPr>
      <w:r>
        <w:t>Zdroj: NBS</w:t>
      </w:r>
    </w:p>
    <w:p w14:paraId="60757A68" w14:textId="77777777" w:rsidR="00DD7D07" w:rsidRDefault="00DD7D07" w:rsidP="00DD7D07">
      <w:pPr>
        <w:pStyle w:val="Podgrafom"/>
      </w:pPr>
      <w:r>
        <w:t xml:space="preserve">Poznámka: Miera vyplácania dividend je </w:t>
      </w:r>
      <w:proofErr w:type="spellStart"/>
      <w:r>
        <w:t>mediánová</w:t>
      </w:r>
      <w:proofErr w:type="spellEnd"/>
      <w:r>
        <w:t xml:space="preserve"> hodnota za významné banky.</w:t>
      </w:r>
    </w:p>
    <w:p w14:paraId="15E5E4D7" w14:textId="77777777" w:rsidR="00DD7D07" w:rsidRDefault="00DD7D07" w:rsidP="00DD7D07">
      <w:pPr>
        <w:pStyle w:val="Podgrafom"/>
      </w:pPr>
    </w:p>
    <w:p w14:paraId="4957373C" w14:textId="0E67F277" w:rsidR="006C01AE" w:rsidRDefault="0068581E" w:rsidP="006C01AE">
      <w:r>
        <w:rPr>
          <w:b/>
          <w:bCs/>
        </w:rPr>
        <w:t>Z </w:t>
      </w:r>
      <w:r w:rsidR="006C01AE" w:rsidRPr="003C69C5">
        <w:rPr>
          <w:b/>
          <w:bCs/>
        </w:rPr>
        <w:t xml:space="preserve">hľadiska aktuálnej situácie, </w:t>
      </w:r>
      <w:r w:rsidR="00983ACC">
        <w:rPr>
          <w:b/>
          <w:bCs/>
        </w:rPr>
        <w:t>keď</w:t>
      </w:r>
      <w:r w:rsidR="006C01AE" w:rsidRPr="003C69C5">
        <w:rPr>
          <w:b/>
          <w:bCs/>
        </w:rPr>
        <w:t xml:space="preserve"> sú vyhliadky ekonomickej situácie stále neisté, je odolnosť bankového sektora kľúčová.</w:t>
      </w:r>
      <w:r w:rsidR="006C01AE">
        <w:t xml:space="preserve"> Dôležitú úlohu </w:t>
      </w:r>
      <w:r>
        <w:t>v </w:t>
      </w:r>
      <w:r w:rsidR="006C01AE">
        <w:t xml:space="preserve">prípade odolnosti bankového sektora tak zohráva aj dividendová politika bánk. </w:t>
      </w:r>
      <w:r>
        <w:t>V </w:t>
      </w:r>
      <w:r w:rsidR="006C01AE">
        <w:t xml:space="preserve"> takomto období neistoty </w:t>
      </w:r>
      <w:r>
        <w:t>v </w:t>
      </w:r>
      <w:r w:rsidR="006C01AE">
        <w:t>tomto kontexte reagovala</w:t>
      </w:r>
      <w:r w:rsidR="00820AF3">
        <w:t>, podobne ako ECB,</w:t>
      </w:r>
      <w:r w:rsidR="006C01AE">
        <w:t xml:space="preserve"> aj NBS </w:t>
      </w:r>
      <w:r w:rsidR="00881E5F">
        <w:t>o</w:t>
      </w:r>
      <w:r w:rsidR="006C01AE">
        <w:t>dporúčaním</w:t>
      </w:r>
      <w:r w:rsidR="003C69C5">
        <w:t> </w:t>
      </w:r>
      <w:r>
        <w:t>č. </w:t>
      </w:r>
      <w:r w:rsidR="006C01AE">
        <w:t xml:space="preserve">1/2020, ktorým odporučila bankám dočasne pozastaviť výplatu dividend (detailnejšie informácie uvádza </w:t>
      </w:r>
      <w:r w:rsidR="003D53B7">
        <w:rPr>
          <w:highlight w:val="yellow"/>
        </w:rPr>
        <w:fldChar w:fldCharType="begin"/>
      </w:r>
      <w:r w:rsidR="003D53B7">
        <w:instrText xml:space="preserve"> REF _Ref51326467 \h </w:instrText>
      </w:r>
      <w:r w:rsidR="003D53B7">
        <w:rPr>
          <w:highlight w:val="yellow"/>
        </w:rPr>
      </w:r>
      <w:r w:rsidR="003D53B7">
        <w:rPr>
          <w:highlight w:val="yellow"/>
        </w:rPr>
        <w:fldChar w:fldCharType="separate"/>
      </w:r>
      <w:r w:rsidR="00A02A40">
        <w:t xml:space="preserve">Box </w:t>
      </w:r>
      <w:r w:rsidR="00A02A40">
        <w:rPr>
          <w:noProof/>
        </w:rPr>
        <w:t>3</w:t>
      </w:r>
      <w:r w:rsidR="003D53B7">
        <w:rPr>
          <w:highlight w:val="yellow"/>
        </w:rPr>
        <w:fldChar w:fldCharType="end"/>
      </w:r>
      <w:r w:rsidR="006C01AE">
        <w:t xml:space="preserve">). </w:t>
      </w:r>
    </w:p>
    <w:p w14:paraId="31EEC24D" w14:textId="0A8B365B" w:rsidR="006C01AE" w:rsidRDefault="0068581E" w:rsidP="006C01AE">
      <w:r>
        <w:rPr>
          <w:b/>
          <w:bCs/>
        </w:rPr>
        <w:t>V </w:t>
      </w:r>
      <w:r w:rsidR="006C01AE" w:rsidRPr="003C69C5">
        <w:rPr>
          <w:b/>
          <w:bCs/>
        </w:rPr>
        <w:t>dôsledku celkového posilnenia kapitálu bankového sektora sa zlepšil aj ukazovateľ finančnej páky.</w:t>
      </w:r>
      <w:r w:rsidR="006C01AE">
        <w:t xml:space="preserve"> Na konci druhého štvrťrok</w:t>
      </w:r>
      <w:r w:rsidR="00881E5F">
        <w:t>a</w:t>
      </w:r>
      <w:r w:rsidR="006C01AE">
        <w:t xml:space="preserve"> 2020 sa </w:t>
      </w:r>
      <w:r>
        <w:t>v </w:t>
      </w:r>
      <w:r w:rsidR="006C01AE">
        <w:t xml:space="preserve">porovnaní </w:t>
      </w:r>
      <w:r>
        <w:t>s </w:t>
      </w:r>
      <w:r w:rsidR="006C01AE">
        <w:t>koncom roka 2019 mierne zvýšil zo 7,</w:t>
      </w:r>
      <w:r>
        <w:t>6 %</w:t>
      </w:r>
      <w:r w:rsidR="006C01AE">
        <w:t xml:space="preserve"> na 7,</w:t>
      </w:r>
      <w:r>
        <w:t>8 %</w:t>
      </w:r>
      <w:r w:rsidR="006C01AE">
        <w:t xml:space="preserve">. Všetky banky </w:t>
      </w:r>
      <w:r>
        <w:t>s </w:t>
      </w:r>
      <w:r w:rsidR="006C01AE">
        <w:t xml:space="preserve">dostatočnou rezervou plnili jeho minimálnu požiadavku na úrovni </w:t>
      </w:r>
      <w:r>
        <w:t>3 %</w:t>
      </w:r>
      <w:r w:rsidR="006C01AE">
        <w:t>.</w:t>
      </w:r>
    </w:p>
    <w:p w14:paraId="7BD48943" w14:textId="7285BD72" w:rsidR="00DD7D07" w:rsidRDefault="00DD7D07" w:rsidP="00DD7D07">
      <w:pPr>
        <w:pStyle w:val="Nadpisgrafu"/>
      </w:pPr>
      <w:r>
        <w:t xml:space="preserve">Graf </w:t>
      </w:r>
      <w:bookmarkStart w:id="32" w:name="_Hlk50724083"/>
      <w:r>
        <w:fldChar w:fldCharType="begin"/>
      </w:r>
      <w:r>
        <w:instrText xml:space="preserve"> SEQ Graf \* ARABIC </w:instrText>
      </w:r>
      <w:r>
        <w:fldChar w:fldCharType="separate"/>
      </w:r>
      <w:r w:rsidR="00A02A40">
        <w:rPr>
          <w:noProof/>
        </w:rPr>
        <w:t>16</w:t>
      </w:r>
      <w:r>
        <w:fldChar w:fldCharType="end"/>
      </w:r>
      <w:r>
        <w:t xml:space="preserve"> Navýšenie dobrovoľného kapitálového vankúša</w:t>
      </w:r>
    </w:p>
    <w:bookmarkEnd w:id="32"/>
    <w:p w14:paraId="23A2C761" w14:textId="77777777" w:rsidR="00DD7D07" w:rsidRDefault="00DD7D07" w:rsidP="00DD7D07">
      <w:pPr>
        <w:pStyle w:val="Podnadpisgrafu"/>
      </w:pPr>
      <w:r>
        <w:t>Kapitálová primeranosť bankového sektora (%)</w:t>
      </w:r>
    </w:p>
    <w:p w14:paraId="36C7876A" w14:textId="77777777" w:rsidR="00DD7D07" w:rsidRDefault="00DD7D07" w:rsidP="00DD7D07">
      <w:pPr>
        <w:pStyle w:val="Podgrafom"/>
      </w:pPr>
      <w:r>
        <w:t xml:space="preserve"> </w:t>
      </w:r>
      <w:r>
        <w:rPr>
          <w:noProof/>
        </w:rPr>
        <w:drawing>
          <wp:inline distT="0" distB="0" distL="0" distR="0" wp14:anchorId="00B15EA1" wp14:editId="3AC43141">
            <wp:extent cx="4472940" cy="2361062"/>
            <wp:effectExtent l="0" t="0" r="3810" b="1270"/>
            <wp:docPr id="244" name="Chart 244">
              <a:extLst xmlns:a="http://schemas.openxmlformats.org/drawingml/2006/main">
                <a:ext uri="{FF2B5EF4-FFF2-40B4-BE49-F238E27FC236}">
                  <a16:creationId xmlns:a16="http://schemas.microsoft.com/office/drawing/2014/main" id="{7FE9F63A-1991-4C0C-A81B-5442ADFDD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A2C9AC" w14:textId="77777777" w:rsidR="00DD7D07" w:rsidRDefault="00DD7D07" w:rsidP="00DD7D07">
      <w:pPr>
        <w:pStyle w:val="Podgrafom"/>
      </w:pPr>
      <w:r>
        <w:t>Zdroj: NBS</w:t>
      </w:r>
    </w:p>
    <w:p w14:paraId="431F8EFF" w14:textId="77777777" w:rsidR="00DD7D07" w:rsidRDefault="00DD7D07" w:rsidP="00DD7D07">
      <w:pPr>
        <w:pStyle w:val="Podgrafom"/>
      </w:pPr>
      <w:r>
        <w:t>Poznámka: CAR – primeranosť vlastných zdrojov (</w:t>
      </w:r>
      <w:proofErr w:type="spellStart"/>
      <w:r>
        <w:t>Capital</w:t>
      </w:r>
      <w:proofErr w:type="spellEnd"/>
      <w:r>
        <w:t xml:space="preserve"> </w:t>
      </w:r>
      <w:proofErr w:type="spellStart"/>
      <w:r>
        <w:t>Adequacy</w:t>
      </w:r>
      <w:proofErr w:type="spellEnd"/>
      <w:r>
        <w:t xml:space="preserve"> </w:t>
      </w:r>
      <w:proofErr w:type="spellStart"/>
      <w:r>
        <w:t>Ratio</w:t>
      </w:r>
      <w:proofErr w:type="spellEnd"/>
      <w:r>
        <w:t>), ECB – Európska centrálna banka, NBS – Národná banka Slovenska.</w:t>
      </w:r>
    </w:p>
    <w:p w14:paraId="2FA0E515" w14:textId="6187B054" w:rsidR="006C01AE" w:rsidRDefault="00F259A8" w:rsidP="006C01AE">
      <w:r w:rsidRPr="00F259A8">
        <w:rPr>
          <w:b/>
          <w:bCs/>
        </w:rPr>
        <w:lastRenderedPageBreak/>
        <w:t xml:space="preserve">Od začiatku roka 2020 stúpol dobrovoľný kapitálový vankúš o vyše </w:t>
      </w:r>
      <w:r w:rsidR="006C01AE" w:rsidRPr="003C69C5">
        <w:rPr>
          <w:b/>
          <w:bCs/>
        </w:rPr>
        <w:t>1,9</w:t>
      </w:r>
      <w:r w:rsidR="00B87E8A">
        <w:rPr>
          <w:b/>
          <w:bCs/>
        </w:rPr>
        <w:t> </w:t>
      </w:r>
      <w:r w:rsidR="006C01AE" w:rsidRPr="003C69C5">
        <w:rPr>
          <w:b/>
          <w:bCs/>
        </w:rPr>
        <w:t xml:space="preserve"> </w:t>
      </w:r>
      <w:r w:rsidR="0068581E">
        <w:rPr>
          <w:b/>
          <w:bCs/>
        </w:rPr>
        <w:t>mld. €</w:t>
      </w:r>
      <w:r w:rsidR="006C01AE" w:rsidRPr="003C69C5">
        <w:rPr>
          <w:b/>
          <w:bCs/>
        </w:rPr>
        <w:t>, čo predstavuje rozdiel medzi aktuálnou hodnotou kapitálu a</w:t>
      </w:r>
      <w:r w:rsidR="00B87E8A">
        <w:rPr>
          <w:b/>
          <w:bCs/>
        </w:rPr>
        <w:t> </w:t>
      </w:r>
      <w:r w:rsidR="006C01AE" w:rsidRPr="003C69C5">
        <w:rPr>
          <w:b/>
          <w:bCs/>
        </w:rPr>
        <w:t xml:space="preserve"> minimálnou </w:t>
      </w:r>
      <w:proofErr w:type="spellStart"/>
      <w:r w:rsidR="006C01AE" w:rsidRPr="003C69C5">
        <w:rPr>
          <w:b/>
          <w:bCs/>
        </w:rPr>
        <w:t>regulatórnou</w:t>
      </w:r>
      <w:proofErr w:type="spellEnd"/>
      <w:r w:rsidR="006C01AE" w:rsidRPr="003C69C5">
        <w:rPr>
          <w:b/>
          <w:bCs/>
        </w:rPr>
        <w:t xml:space="preserve"> požiadavkou na jeho výšku.</w:t>
      </w:r>
      <w:r w:rsidR="006C01AE">
        <w:t xml:space="preserve"> Tento dobrovoľný kapitálový vankúš narástol </w:t>
      </w:r>
      <w:r w:rsidR="0068581E">
        <w:t>v </w:t>
      </w:r>
      <w:r w:rsidR="006C01AE">
        <w:t xml:space="preserve">dôsledku viacerých zmien. Na jednej strane banky reagovali na situáciu a výzvy </w:t>
      </w:r>
      <w:proofErr w:type="spellStart"/>
      <w:r w:rsidR="006C01AE">
        <w:t>regulatórnych</w:t>
      </w:r>
      <w:proofErr w:type="spellEnd"/>
      <w:r w:rsidR="006C01AE">
        <w:t xml:space="preserve"> orgánov tak, že nepristúpili </w:t>
      </w:r>
      <w:r w:rsidR="0068581E">
        <w:t>k </w:t>
      </w:r>
      <w:r w:rsidR="006C01AE">
        <w:t xml:space="preserve"> vyplácaniu dividend a takmer celý zisk </w:t>
      </w:r>
      <w:r w:rsidR="0068581E">
        <w:t>z </w:t>
      </w:r>
      <w:r w:rsidR="006C01AE">
        <w:t xml:space="preserve">roku 2019 použili na zvýšenie celkového objemu kapitálu. Na druhej strane ECB uvoľnila požiadavky na kapitál a zároveň viaceré </w:t>
      </w:r>
      <w:proofErr w:type="spellStart"/>
      <w:r w:rsidR="006C01AE">
        <w:t>makroprudenciálne</w:t>
      </w:r>
      <w:proofErr w:type="spellEnd"/>
      <w:r w:rsidR="006C01AE">
        <w:t xml:space="preserve"> autority </w:t>
      </w:r>
      <w:r w:rsidR="0068581E">
        <w:t>v </w:t>
      </w:r>
      <w:r w:rsidR="006C01AE">
        <w:t xml:space="preserve">EÚ vrátane NBS a ČNB pristúpili </w:t>
      </w:r>
      <w:r w:rsidR="0068581E">
        <w:t>k </w:t>
      </w:r>
      <w:r w:rsidR="006C01AE">
        <w:t xml:space="preserve">zníženiu miery </w:t>
      </w:r>
      <w:proofErr w:type="spellStart"/>
      <w:r w:rsidR="006C01AE">
        <w:t>proticyklického</w:t>
      </w:r>
      <w:proofErr w:type="spellEnd"/>
      <w:r w:rsidR="006C01AE">
        <w:t xml:space="preserve"> kapitálového vankúša. Tým sa výška voľného kapitálu </w:t>
      </w:r>
      <w:r w:rsidR="0068581E">
        <w:t>v </w:t>
      </w:r>
      <w:r w:rsidR="006C01AE">
        <w:t>bankovom sektore zvýšila na približne 2,</w:t>
      </w:r>
      <w:r w:rsidR="0068581E">
        <w:t>7 mld. €</w:t>
      </w:r>
      <w:r w:rsidR="006C01AE">
        <w:t xml:space="preserve">. </w:t>
      </w:r>
      <w:r w:rsidR="00AF0B24">
        <w:t>V</w:t>
      </w:r>
      <w:r w:rsidR="006C01AE">
        <w:t xml:space="preserve">ankúš </w:t>
      </w:r>
      <w:r w:rsidR="00AF0B24">
        <w:t xml:space="preserve">na zachovanie kapitálu </w:t>
      </w:r>
      <w:r w:rsidR="0068581E">
        <w:t>z </w:t>
      </w:r>
      <w:r w:rsidR="006C01AE">
        <w:t>toho predstavuje 0,9</w:t>
      </w:r>
      <w:r w:rsidR="0068581E">
        <w:t>2 mld. €</w:t>
      </w:r>
      <w:r w:rsidR="006C01AE">
        <w:t xml:space="preserve">. Banky teda majú dostatok voľného kapitálu, aby mohli pokračovať </w:t>
      </w:r>
      <w:r w:rsidR="0068581E">
        <w:t>v </w:t>
      </w:r>
      <w:r w:rsidR="006C01AE">
        <w:t xml:space="preserve">podpore oživenia ekonomiky cez </w:t>
      </w:r>
      <w:r w:rsidR="00AF0B24">
        <w:t xml:space="preserve">poskytovanie </w:t>
      </w:r>
      <w:r w:rsidR="006C01AE">
        <w:t>nových úverov.</w:t>
      </w:r>
    </w:p>
    <w:p w14:paraId="6F622699" w14:textId="2E871259" w:rsidR="00D01103" w:rsidRDefault="00D01103" w:rsidP="00906D52">
      <w:pPr>
        <w:pStyle w:val="sloboxu"/>
        <w:rPr>
          <w:noProof/>
        </w:rPr>
      </w:pPr>
      <w:bookmarkStart w:id="33" w:name="_Ref51326467"/>
      <w:r>
        <w:t xml:space="preserve">Box </w:t>
      </w:r>
      <w:fldSimple w:instr=" SEQ Box \* ARABIC ">
        <w:r w:rsidR="00A02A40">
          <w:rPr>
            <w:noProof/>
          </w:rPr>
          <w:t>3</w:t>
        </w:r>
      </w:fldSimple>
      <w:bookmarkEnd w:id="33"/>
    </w:p>
    <w:p w14:paraId="2E284EF2" w14:textId="168838DB" w:rsidR="00A473EF" w:rsidRPr="00A473EF" w:rsidRDefault="00A473EF" w:rsidP="00906D52">
      <w:pPr>
        <w:pStyle w:val="Nzovboxu"/>
      </w:pPr>
      <w:bookmarkStart w:id="34" w:name="_Toc52285642"/>
      <w:r w:rsidRPr="00A473EF">
        <w:t xml:space="preserve">Odporúčanie </w:t>
      </w:r>
      <w:r w:rsidR="00832D49">
        <w:t xml:space="preserve">NBS </w:t>
      </w:r>
      <w:r w:rsidR="0068581E">
        <w:t>o </w:t>
      </w:r>
      <w:r w:rsidRPr="00A473EF">
        <w:t>distribúci</w:t>
      </w:r>
      <w:r w:rsidR="00722DCC">
        <w:t>i</w:t>
      </w:r>
      <w:r w:rsidRPr="00A473EF">
        <w:t xml:space="preserve"> vlastných zdrojov</w:t>
      </w:r>
      <w:bookmarkEnd w:id="34"/>
    </w:p>
    <w:p w14:paraId="5B6966B7" w14:textId="39B3A02B" w:rsidR="00A473EF" w:rsidRDefault="00A473EF" w:rsidP="00906D52">
      <w:pPr>
        <w:pStyle w:val="Textvboxe"/>
      </w:pPr>
      <w:r>
        <w:rPr>
          <w:b/>
          <w:bCs/>
        </w:rPr>
        <w:t xml:space="preserve">Pandémia COVID-19 výrazne zvýšila pravdepodobnosť materializácie vybraných finančných rizík. </w:t>
      </w:r>
      <w:r w:rsidR="0068581E">
        <w:t>V </w:t>
      </w:r>
      <w:r w:rsidRPr="00EF06E3">
        <w:t xml:space="preserve">bankovom sektore </w:t>
      </w:r>
      <w:r>
        <w:t xml:space="preserve">sa zintenzívnilo </w:t>
      </w:r>
      <w:r w:rsidRPr="00EF06E3">
        <w:t xml:space="preserve">riziko </w:t>
      </w:r>
      <w:r w:rsidR="0068581E">
        <w:t>z </w:t>
      </w:r>
      <w:r w:rsidRPr="00EF06E3">
        <w:t>nesplácaných úverov</w:t>
      </w:r>
      <w:r>
        <w:t xml:space="preserve">, </w:t>
      </w:r>
      <w:r w:rsidR="0068581E">
        <w:t>v </w:t>
      </w:r>
      <w:r w:rsidRPr="00EF06E3">
        <w:t xml:space="preserve">poistnom sektore </w:t>
      </w:r>
      <w:r>
        <w:t xml:space="preserve">narástlo riziko vyplývajúce </w:t>
      </w:r>
      <w:r w:rsidR="0068581E">
        <w:t>z </w:t>
      </w:r>
      <w:r>
        <w:t xml:space="preserve">transformácie splatnosti </w:t>
      </w:r>
      <w:r w:rsidR="0068581E">
        <w:t>v </w:t>
      </w:r>
      <w:r>
        <w:t xml:space="preserve">životnom poistení a očakáva sa </w:t>
      </w:r>
      <w:r w:rsidR="0068581E">
        <w:t>i </w:t>
      </w:r>
      <w:r>
        <w:t xml:space="preserve">rast poistných plnení </w:t>
      </w:r>
      <w:r w:rsidR="0068581E">
        <w:t>v </w:t>
      </w:r>
      <w:r>
        <w:t xml:space="preserve">rámci </w:t>
      </w:r>
      <w:r w:rsidRPr="00B8173A">
        <w:t>neživotn</w:t>
      </w:r>
      <w:r>
        <w:t xml:space="preserve">ého </w:t>
      </w:r>
      <w:r w:rsidRPr="00B8173A">
        <w:t>poisten</w:t>
      </w:r>
      <w:r>
        <w:t>ia</w:t>
      </w:r>
      <w:r w:rsidRPr="00B8173A">
        <w:t xml:space="preserve"> </w:t>
      </w:r>
      <w:r w:rsidR="0068581E">
        <w:t>v </w:t>
      </w:r>
      <w:r w:rsidRPr="00B8173A">
        <w:t>odvetviach kryjúcich ekonomické škody</w:t>
      </w:r>
      <w:r>
        <w:t xml:space="preserve">. </w:t>
      </w:r>
      <w:r w:rsidR="0068581E">
        <w:t>V </w:t>
      </w:r>
      <w:r>
        <w:t xml:space="preserve">prípade ich materializácie môže mať uvedené významný vplyv na stabilitu finančného sektora a jeho schopnosť plniť si základné funkcie vo vzťahu </w:t>
      </w:r>
      <w:r w:rsidR="0068581E">
        <w:t>k </w:t>
      </w:r>
      <w:r>
        <w:t xml:space="preserve">subjektom reálnej ekonomiky. </w:t>
      </w:r>
    </w:p>
    <w:p w14:paraId="75965B49" w14:textId="657ADDCA" w:rsidR="00A473EF" w:rsidRDefault="00A473EF" w:rsidP="00906D52">
      <w:pPr>
        <w:pStyle w:val="Textvboxe"/>
      </w:pPr>
      <w:r w:rsidRPr="00510D2B">
        <w:t xml:space="preserve">Európsky výbor pre systémové riziká </w:t>
      </w:r>
      <w:r w:rsidR="0068581E">
        <w:t>v </w:t>
      </w:r>
      <w:r w:rsidRPr="00510D2B">
        <w:t xml:space="preserve">máji 2020 </w:t>
      </w:r>
      <w:r w:rsidR="00B04C68" w:rsidRPr="00510D2B">
        <w:t>odporuč</w:t>
      </w:r>
      <w:r w:rsidR="00B04C68">
        <w:t>il orgánom dohľadu</w:t>
      </w:r>
      <w:r w:rsidRPr="00510D2B">
        <w:t xml:space="preserve"> obmedz</w:t>
      </w:r>
      <w:r w:rsidR="00B04C68">
        <w:t>iť</w:t>
      </w:r>
      <w:r w:rsidRPr="00510D2B">
        <w:t xml:space="preserve"> rozdeľovani</w:t>
      </w:r>
      <w:r w:rsidR="0043015C">
        <w:t>e</w:t>
      </w:r>
      <w:r w:rsidRPr="00510D2B">
        <w:t xml:space="preserve"> zisku počas trvania pandémie COVID-19. Cieľom tohto odporúčania je zmiernenie rozsahu systémového rizika vo finančnom sektore a prispieť tak </w:t>
      </w:r>
      <w:r w:rsidR="0068581E">
        <w:t>k </w:t>
      </w:r>
      <w:r w:rsidRPr="00510D2B">
        <w:t xml:space="preserve">ekonomickému oživeniu. </w:t>
      </w:r>
      <w:r>
        <w:t xml:space="preserve">Obdobné odporúčania a výzvy na obozretnú dividendovú politiku a zodpovedný prístup </w:t>
      </w:r>
      <w:r w:rsidR="0068581E">
        <w:t>k </w:t>
      </w:r>
      <w:r>
        <w:t xml:space="preserve">rozdeľovaniu kapitálu vydali aj Európska centrálna banka, Európsky orgán pre bankovníctvo </w:t>
      </w:r>
      <w:r w:rsidR="0068581E">
        <w:t>i </w:t>
      </w:r>
      <w:r w:rsidRPr="006E313C">
        <w:t>Európsky orgán pre poisťovníctvo a dôchodkové poistenie zamestnancov</w:t>
      </w:r>
      <w:r>
        <w:t xml:space="preserve">. </w:t>
      </w:r>
      <w:r w:rsidRPr="00510D2B">
        <w:t xml:space="preserve">NBS reagovala na krok Európskeho výboru pre systémové riziká vydaním </w:t>
      </w:r>
      <w:r w:rsidR="00407812">
        <w:t>o</w:t>
      </w:r>
      <w:r w:rsidRPr="00510D2B">
        <w:t xml:space="preserve">dporúčania </w:t>
      </w:r>
      <w:r w:rsidR="0068581E">
        <w:t>č. </w:t>
      </w:r>
      <w:r w:rsidRPr="00510D2B">
        <w:t xml:space="preserve">1/2020 </w:t>
      </w:r>
      <w:r w:rsidR="0068581E">
        <w:t>o </w:t>
      </w:r>
      <w:r w:rsidRPr="00510D2B">
        <w:t>distribúcii vlastných zdrojov a zisku bankami a poisťovňami počas pandémie COVID-19</w:t>
      </w:r>
      <w:r>
        <w:rPr>
          <w:rStyle w:val="FootnoteReference"/>
        </w:rPr>
        <w:footnoteReference w:id="23"/>
      </w:r>
      <w:r>
        <w:t xml:space="preserve">. Účinnosť odporúčania je aktuálne nastavená do konca roka 2020. </w:t>
      </w:r>
      <w:r w:rsidR="0068581E">
        <w:t>V </w:t>
      </w:r>
      <w:r>
        <w:t xml:space="preserve">prípade potreby je NBS pripravená aktívne pristúpiť </w:t>
      </w:r>
      <w:r w:rsidR="0068581E">
        <w:t>k </w:t>
      </w:r>
      <w:r>
        <w:t xml:space="preserve">prehodnoteniu účinnosti a rozsahu odporúčania </w:t>
      </w:r>
      <w:r w:rsidR="0068581E">
        <w:t>s </w:t>
      </w:r>
      <w:r>
        <w:t>cieľom čo najadresnejšieho posilnenia odolnosti finančného sektora.</w:t>
      </w:r>
    </w:p>
    <w:p w14:paraId="2438F370" w14:textId="3710E2E8" w:rsidR="00A473EF" w:rsidRDefault="00A473EF" w:rsidP="00906D52">
      <w:pPr>
        <w:pStyle w:val="Textvboxe"/>
      </w:pPr>
      <w:r>
        <w:rPr>
          <w:b/>
          <w:bCs/>
        </w:rPr>
        <w:t xml:space="preserve">NBS vydaním odporúčania sledovala vytvorenie predpokladov na oživenie hospodárstva a stabilitu finančného sektora. </w:t>
      </w:r>
      <w:r w:rsidRPr="008119A2">
        <w:t xml:space="preserve">Kľúčovým predpokladom </w:t>
      </w:r>
      <w:r w:rsidR="0068581E">
        <w:t>k </w:t>
      </w:r>
      <w:r w:rsidRPr="008119A2">
        <w:t xml:space="preserve">hospodárskemu oživeniu je, aby si subjekty finančného sektora aj počas trvania následkov pandémie COVID-19 plnili svoje úlohy </w:t>
      </w:r>
      <w:r w:rsidR="0068581E">
        <w:t>k </w:t>
      </w:r>
      <w:r w:rsidRPr="008119A2">
        <w:t>financovaniu podnikov a</w:t>
      </w:r>
      <w:r>
        <w:t> </w:t>
      </w:r>
      <w:r w:rsidRPr="008119A2">
        <w:t>domácností</w:t>
      </w:r>
      <w:r>
        <w:t>. Zároveň, k</w:t>
      </w:r>
      <w:r w:rsidRPr="008119A2">
        <w:t>apitálové vybavenie subjektov finančného</w:t>
      </w:r>
      <w:r>
        <w:t xml:space="preserve"> sektora, ktoré zabezpečí ich odolnosť </w:t>
      </w:r>
      <w:r w:rsidR="0068581E">
        <w:t>v </w:t>
      </w:r>
      <w:r>
        <w:t>čase narastajúcej neistoty, posilní ich schopnosť absorbovať prípadné straty.</w:t>
      </w:r>
    </w:p>
    <w:p w14:paraId="37DFC32A" w14:textId="02F9E043" w:rsidR="00A473EF" w:rsidRDefault="00A473EF" w:rsidP="00906D52">
      <w:pPr>
        <w:pStyle w:val="Textvboxe"/>
      </w:pPr>
      <w:r w:rsidRPr="000D25B5">
        <w:t xml:space="preserve">Hlavnou myšlienkou odporúčania je udržanie objemu a kvality kapitálu bánk a poisťovní </w:t>
      </w:r>
      <w:r w:rsidR="0068581E">
        <w:t>s </w:t>
      </w:r>
      <w:r w:rsidRPr="000D25B5">
        <w:t>významným vplyvom na slovenský finančný trh</w:t>
      </w:r>
      <w:r>
        <w:t xml:space="preserve">, a to vrátane ziskov dosiahnutých za rok 2019. Vybrané finančné subjekty by sa počas platnosti odporúčania mali zdržať rozdeľovania ziskov a rezerv, výplaty kupónov </w:t>
      </w:r>
      <w:r w:rsidR="0068581E">
        <w:lastRenderedPageBreak/>
        <w:t>z </w:t>
      </w:r>
      <w:r>
        <w:t xml:space="preserve">vydaných </w:t>
      </w:r>
      <w:proofErr w:type="spellStart"/>
      <w:r>
        <w:t>perpetuitných</w:t>
      </w:r>
      <w:proofErr w:type="spellEnd"/>
      <w:r>
        <w:t xml:space="preserve"> nástrojov, výplaty variabilnej zložky odmien a spätného </w:t>
      </w:r>
      <w:proofErr w:type="spellStart"/>
      <w:r>
        <w:t>odkupu</w:t>
      </w:r>
      <w:proofErr w:type="spellEnd"/>
      <w:r>
        <w:t xml:space="preserve"> nástrojov, ktoré sú súčasťou vlastných zdrojov.</w:t>
      </w:r>
    </w:p>
    <w:p w14:paraId="471D0E61" w14:textId="77777777" w:rsidR="00832D49" w:rsidRDefault="00832D49" w:rsidP="00906D52">
      <w:pPr>
        <w:pStyle w:val="Textvboxe"/>
      </w:pPr>
    </w:p>
    <w:p w14:paraId="4D35DC60" w14:textId="4D764E09" w:rsidR="0045216D" w:rsidRDefault="0045216D" w:rsidP="003C69C5">
      <w:pPr>
        <w:pStyle w:val="Modrnadpis"/>
      </w:pPr>
      <w:r>
        <w:t xml:space="preserve">Národná banka Slovenska znižovala od nástupu </w:t>
      </w:r>
      <w:proofErr w:type="spellStart"/>
      <w:r>
        <w:t>koronakrízy</w:t>
      </w:r>
      <w:proofErr w:type="spellEnd"/>
      <w:r>
        <w:t xml:space="preserve"> </w:t>
      </w:r>
      <w:proofErr w:type="spellStart"/>
      <w:r>
        <w:t>proticyklický</w:t>
      </w:r>
      <w:proofErr w:type="spellEnd"/>
      <w:r>
        <w:t xml:space="preserve"> kapitálový vankúš už dva</w:t>
      </w:r>
      <w:r w:rsidR="00432D2A">
        <w:t>krát</w:t>
      </w:r>
    </w:p>
    <w:p w14:paraId="26543CA6" w14:textId="03B382AC" w:rsidR="0045216D" w:rsidRPr="005F115A" w:rsidRDefault="0045216D" w:rsidP="0045216D">
      <w:r>
        <w:rPr>
          <w:b/>
          <w:bCs/>
        </w:rPr>
        <w:t xml:space="preserve">Výskyt kríz je na finančnom trhu zvyčajne spojený </w:t>
      </w:r>
      <w:r w:rsidR="0068581E">
        <w:rPr>
          <w:b/>
          <w:bCs/>
        </w:rPr>
        <w:t>s </w:t>
      </w:r>
      <w:r>
        <w:rPr>
          <w:b/>
          <w:bCs/>
        </w:rPr>
        <w:t xml:space="preserve">nárastom počtu a objemu zlyhaných úverov a so zníženou ochotou bankového sektora poskytovať úvery </w:t>
      </w:r>
      <w:r w:rsidR="0068581E">
        <w:rPr>
          <w:b/>
          <w:bCs/>
        </w:rPr>
        <w:t>v </w:t>
      </w:r>
      <w:r>
        <w:rPr>
          <w:b/>
          <w:bCs/>
        </w:rPr>
        <w:t xml:space="preserve">ekonomike </w:t>
      </w:r>
      <w:r w:rsidR="0068581E">
        <w:rPr>
          <w:b/>
          <w:bCs/>
        </w:rPr>
        <w:t>v </w:t>
      </w:r>
      <w:r>
        <w:rPr>
          <w:b/>
          <w:bCs/>
        </w:rPr>
        <w:t xml:space="preserve">nepriaznivých časoch. </w:t>
      </w:r>
      <w:r>
        <w:t>To následne môže ešte prehĺbiť a pred</w:t>
      </w:r>
      <w:r w:rsidR="004F7C06">
        <w:t>ĺ</w:t>
      </w:r>
      <w:r>
        <w:t xml:space="preserve">žiť priebeh krízy </w:t>
      </w:r>
      <w:r w:rsidR="0068581E">
        <w:t>v </w:t>
      </w:r>
      <w:r>
        <w:t xml:space="preserve">ekonomike a zvýrazniť jej nepriaznivé </w:t>
      </w:r>
      <w:r w:rsidR="004F7C06">
        <w:t xml:space="preserve">vplyvy </w:t>
      </w:r>
      <w:r>
        <w:t xml:space="preserve">na súkromný sektor. </w:t>
      </w:r>
      <w:r w:rsidR="0068581E">
        <w:t>V </w:t>
      </w:r>
      <w:r>
        <w:t xml:space="preserve">snahe zmiernenia nepriaznivých </w:t>
      </w:r>
      <w:r w:rsidR="004F7C06">
        <w:t xml:space="preserve">vplyvov </w:t>
      </w:r>
      <w:r>
        <w:t xml:space="preserve">spojených </w:t>
      </w:r>
      <w:r w:rsidR="0068581E">
        <w:t>s </w:t>
      </w:r>
      <w:r>
        <w:t xml:space="preserve">vývojom ekonomického a finančného cyklu je bankovému sektoru stanovovaný tzv. </w:t>
      </w:r>
      <w:proofErr w:type="spellStart"/>
      <w:r>
        <w:t>proticyklický</w:t>
      </w:r>
      <w:proofErr w:type="spellEnd"/>
      <w:r>
        <w:t xml:space="preserve"> kapitálový vankúš. Ide </w:t>
      </w:r>
      <w:r w:rsidR="0068581E">
        <w:t>o </w:t>
      </w:r>
      <w:r>
        <w:t xml:space="preserve">požiadavku na kapitál, ktorá je </w:t>
      </w:r>
      <w:r w:rsidR="0068581E">
        <w:t>v </w:t>
      </w:r>
      <w:r>
        <w:t xml:space="preserve">slovenských podmienkach stanovovaná </w:t>
      </w:r>
      <w:r w:rsidR="00B04C68">
        <w:t>NBS</w:t>
      </w:r>
      <w:r>
        <w:t>, a</w:t>
      </w:r>
      <w:r w:rsidR="00BA2376">
        <w:t> </w:t>
      </w:r>
      <w:r>
        <w:t>ukladá</w:t>
      </w:r>
      <w:r w:rsidR="00BA2376">
        <w:t xml:space="preserve"> ju</w:t>
      </w:r>
      <w:r>
        <w:t xml:space="preserve"> bankám </w:t>
      </w:r>
      <w:r w:rsidR="0068581E">
        <w:t>s </w:t>
      </w:r>
      <w:r>
        <w:t xml:space="preserve">cieľom vytvorenia dostatočnej rezervy na krytie rizík spojených </w:t>
      </w:r>
      <w:r w:rsidR="0068581E">
        <w:t>s </w:t>
      </w:r>
      <w:r>
        <w:t xml:space="preserve">vývojom finančného cyklu. </w:t>
      </w:r>
      <w:proofErr w:type="spellStart"/>
      <w:r>
        <w:t>Proticyklický</w:t>
      </w:r>
      <w:proofErr w:type="spellEnd"/>
      <w:r>
        <w:t xml:space="preserve"> kapitálový vankúš sa vytvára </w:t>
      </w:r>
      <w:r w:rsidR="0068581E">
        <w:t>v </w:t>
      </w:r>
      <w:r>
        <w:t xml:space="preserve">priaznivých časoch ekonomického a finančného cyklu, keď schopnosť tvorby zisku zo strany bankového sektora je relatívne vysoká a rozpúšťa sa </w:t>
      </w:r>
      <w:r w:rsidR="0068581E">
        <w:t>v </w:t>
      </w:r>
      <w:r>
        <w:t xml:space="preserve">nepriaznivých časoch recesie alebo finančnej krízy, keď dochádza </w:t>
      </w:r>
      <w:r w:rsidR="0068581E">
        <w:t>k </w:t>
      </w:r>
      <w:r>
        <w:t xml:space="preserve">nárastu strát bankového sektora, napríklad zvýšenou mierou zlyhávania poskytnutých úverov. Zároveň </w:t>
      </w:r>
      <w:r w:rsidR="0068581E">
        <w:t>v </w:t>
      </w:r>
      <w:r>
        <w:t xml:space="preserve">nepriaznivých časoch krízy klesá aj ochota bankového sektora </w:t>
      </w:r>
      <w:r w:rsidR="0068581E">
        <w:t>k </w:t>
      </w:r>
      <w:r>
        <w:t xml:space="preserve">poskytovaniu úverov. Vytvorenie dostatočnej kapitálovej rezervy, ktorá umožňuje bankám krytie strát tak znižuje aj averziu bankového sektora </w:t>
      </w:r>
      <w:r w:rsidR="0068581E">
        <w:t>k </w:t>
      </w:r>
      <w:r>
        <w:t xml:space="preserve">riziku </w:t>
      </w:r>
      <w:r w:rsidR="0068581E">
        <w:t>v </w:t>
      </w:r>
      <w:r>
        <w:t xml:space="preserve">časoch ekonomického stresu a napomáha </w:t>
      </w:r>
      <w:r w:rsidR="0068581E">
        <w:t>k </w:t>
      </w:r>
      <w:r>
        <w:t xml:space="preserve">zachovaniu plnenia základných funkcií bankového sektora, vrátane poskytovania úverov. </w:t>
      </w:r>
    </w:p>
    <w:p w14:paraId="08A763C1" w14:textId="65DFFEB6" w:rsidR="0045216D" w:rsidRPr="00B872BD" w:rsidRDefault="0045216D" w:rsidP="0045216D">
      <w:r>
        <w:rPr>
          <w:b/>
          <w:bCs/>
        </w:rPr>
        <w:t xml:space="preserve">Od roku 2014, </w:t>
      </w:r>
      <w:r w:rsidR="004F7C06">
        <w:rPr>
          <w:b/>
          <w:bCs/>
        </w:rPr>
        <w:t xml:space="preserve">keď </w:t>
      </w:r>
      <w:r>
        <w:rPr>
          <w:b/>
          <w:bCs/>
        </w:rPr>
        <w:t xml:space="preserve">sa začal určovať </w:t>
      </w:r>
      <w:proofErr w:type="spellStart"/>
      <w:r>
        <w:rPr>
          <w:b/>
          <w:bCs/>
        </w:rPr>
        <w:t>proticyklický</w:t>
      </w:r>
      <w:proofErr w:type="spellEnd"/>
      <w:r>
        <w:rPr>
          <w:b/>
          <w:bCs/>
        </w:rPr>
        <w:t xml:space="preserve"> kapitálový vankúš na Slovensku, NBS postupne zvýšila jeho úroveň až na </w:t>
      </w:r>
      <w:r w:rsidR="0068581E">
        <w:rPr>
          <w:b/>
          <w:bCs/>
        </w:rPr>
        <w:t>2 %</w:t>
      </w:r>
      <w:r>
        <w:rPr>
          <w:b/>
          <w:bCs/>
        </w:rPr>
        <w:t xml:space="preserve"> </w:t>
      </w:r>
      <w:r w:rsidR="0068581E">
        <w:rPr>
          <w:b/>
          <w:bCs/>
        </w:rPr>
        <w:t>z </w:t>
      </w:r>
      <w:r>
        <w:rPr>
          <w:b/>
          <w:bCs/>
        </w:rPr>
        <w:t>objemu rizikovo-vážených aktív</w:t>
      </w:r>
      <w:r>
        <w:rPr>
          <w:rStyle w:val="FootnoteReference"/>
          <w:b/>
          <w:bCs/>
        </w:rPr>
        <w:footnoteReference w:id="24"/>
      </w:r>
      <w:r>
        <w:rPr>
          <w:b/>
          <w:bCs/>
        </w:rPr>
        <w:t xml:space="preserve">. </w:t>
      </w:r>
      <w:r>
        <w:t xml:space="preserve">Pre navyšovanie </w:t>
      </w:r>
      <w:proofErr w:type="spellStart"/>
      <w:r>
        <w:t>proticyklického</w:t>
      </w:r>
      <w:proofErr w:type="spellEnd"/>
      <w:r>
        <w:t xml:space="preserve"> kapitálového vankúša tak boli využité dobré časy (2016 - 2019), keď slovenská ekonomika zaznamenala priaznivý makroekonomický vývoj. Úvery </w:t>
      </w:r>
      <w:r w:rsidR="0068581E">
        <w:t>v </w:t>
      </w:r>
      <w:r>
        <w:t xml:space="preserve">ekonomike dosahovali dynamický rast a ziskovosť bankového sektora bola relatívne stabilná. Nástupom </w:t>
      </w:r>
      <w:proofErr w:type="spellStart"/>
      <w:r>
        <w:t>koronakrízy</w:t>
      </w:r>
      <w:proofErr w:type="spellEnd"/>
      <w:r>
        <w:t xml:space="preserve"> sa však situácia zmenila. Ekonomický rast sa prepadol, počet nezamestnaných sa zvýšil a banky po dlhšom období pristúpili </w:t>
      </w:r>
      <w:r w:rsidR="0068581E">
        <w:t>k </w:t>
      </w:r>
      <w:r>
        <w:t xml:space="preserve">sprísneniu úverových štandardov, pričom ich ziskovosť sa výrazne zhoršila. Vplyvom týchto udalostí NBS už dvakrát pristúpila </w:t>
      </w:r>
      <w:r w:rsidR="0068581E">
        <w:t>k </w:t>
      </w:r>
      <w:r>
        <w:t xml:space="preserve">zníženiu úrovne </w:t>
      </w:r>
      <w:proofErr w:type="spellStart"/>
      <w:r>
        <w:t>proticyklického</w:t>
      </w:r>
      <w:proofErr w:type="spellEnd"/>
      <w:r>
        <w:t xml:space="preserve"> kapitálového vankúša. Najprv 28. 4. 2020 zrušila svoje rozhodnutie </w:t>
      </w:r>
      <w:r w:rsidR="0068581E">
        <w:t>o </w:t>
      </w:r>
      <w:r>
        <w:t xml:space="preserve">zvýšení úrovne </w:t>
      </w:r>
      <w:proofErr w:type="spellStart"/>
      <w:r>
        <w:t>proticyklického</w:t>
      </w:r>
      <w:proofErr w:type="spellEnd"/>
      <w:r>
        <w:t xml:space="preserve"> kapitálového vankúša </w:t>
      </w:r>
      <w:r w:rsidR="0068581E">
        <w:t>o </w:t>
      </w:r>
      <w:r>
        <w:t>0,</w:t>
      </w:r>
      <w:r w:rsidR="0068581E">
        <w:t>5 p. b.</w:t>
      </w:r>
      <w:r>
        <w:t xml:space="preserve"> na </w:t>
      </w:r>
      <w:r w:rsidR="0068581E">
        <w:t>2 %</w:t>
      </w:r>
      <w:r>
        <w:t>, ktoré malo byť účinného od augusta 2020</w:t>
      </w:r>
      <w:r w:rsidR="004F7C06">
        <w:t>,</w:t>
      </w:r>
      <w:r>
        <w:t xml:space="preserve"> a následne 14. 7. 2020 NBS pristúpila </w:t>
      </w:r>
      <w:r w:rsidR="0068581E">
        <w:t>k </w:t>
      </w:r>
      <w:r>
        <w:t xml:space="preserve">ďalšiemu zníženiu jeho úrovne </w:t>
      </w:r>
      <w:r w:rsidR="0068581E">
        <w:t>o </w:t>
      </w:r>
      <w:r>
        <w:t>0,</w:t>
      </w:r>
      <w:r w:rsidR="0068581E">
        <w:t>5 p. b.</w:t>
      </w:r>
      <w:r>
        <w:t xml:space="preserve">  na </w:t>
      </w:r>
      <w:r w:rsidR="0068581E">
        <w:t>1 %</w:t>
      </w:r>
      <w:r>
        <w:t xml:space="preserve"> </w:t>
      </w:r>
      <w:r w:rsidR="0068581E">
        <w:t>s </w:t>
      </w:r>
      <w:r>
        <w:t xml:space="preserve">termínom účinnosti od 1. 8. 2020. Cieľom týchto krokov bolo vytvoriť bankovému sektoru dostatočný priestor na </w:t>
      </w:r>
      <w:r>
        <w:lastRenderedPageBreak/>
        <w:t xml:space="preserve">vysporiadanie sa </w:t>
      </w:r>
      <w:r w:rsidR="0068581E">
        <w:t>s </w:t>
      </w:r>
      <w:r>
        <w:t xml:space="preserve">prípadnými stratami vyplývajúcimi </w:t>
      </w:r>
      <w:r w:rsidR="0068581E">
        <w:t>z </w:t>
      </w:r>
      <w:r>
        <w:t xml:space="preserve">kreditného rizika a udržanie plynulého poskytovania základných funkcií bankového sektora, vrátane pokračovania úverovania ekonomiky. </w:t>
      </w:r>
    </w:p>
    <w:p w14:paraId="18AAA67A" w14:textId="2CD524E5" w:rsidR="0045216D" w:rsidRDefault="0045216D" w:rsidP="00DD7D07">
      <w:pPr>
        <w:keepNext/>
      </w:pPr>
      <w:r>
        <w:rPr>
          <w:b/>
          <w:bCs/>
        </w:rPr>
        <w:t xml:space="preserve">NBS pri rozhodnutiach </w:t>
      </w:r>
      <w:r w:rsidR="0068581E">
        <w:rPr>
          <w:b/>
          <w:bCs/>
        </w:rPr>
        <w:t>o </w:t>
      </w:r>
      <w:r>
        <w:rPr>
          <w:b/>
          <w:bCs/>
        </w:rPr>
        <w:t xml:space="preserve">znižovaní úrovne </w:t>
      </w:r>
      <w:proofErr w:type="spellStart"/>
      <w:r>
        <w:rPr>
          <w:b/>
          <w:bCs/>
        </w:rPr>
        <w:t>proticyklického</w:t>
      </w:r>
      <w:proofErr w:type="spellEnd"/>
      <w:r>
        <w:rPr>
          <w:b/>
          <w:bCs/>
        </w:rPr>
        <w:t xml:space="preserve"> kapitálového vankúša  zohľadnila celkový vývoj </w:t>
      </w:r>
      <w:r w:rsidR="0068581E">
        <w:rPr>
          <w:b/>
          <w:bCs/>
        </w:rPr>
        <w:t>v </w:t>
      </w:r>
      <w:r>
        <w:rPr>
          <w:b/>
          <w:bCs/>
        </w:rPr>
        <w:t xml:space="preserve">bankovom sektore a na úverovom trhu </w:t>
      </w:r>
      <w:r w:rsidR="0068581E">
        <w:rPr>
          <w:b/>
          <w:bCs/>
        </w:rPr>
        <w:t>s </w:t>
      </w:r>
      <w:r>
        <w:rPr>
          <w:b/>
          <w:bCs/>
        </w:rPr>
        <w:t xml:space="preserve">osobitným dôrazom na vývoj kreditného rizika, predovšetkým </w:t>
      </w:r>
      <w:r w:rsidR="0068581E">
        <w:rPr>
          <w:b/>
          <w:bCs/>
        </w:rPr>
        <w:t>v </w:t>
      </w:r>
      <w:r>
        <w:rPr>
          <w:b/>
          <w:bCs/>
        </w:rPr>
        <w:t xml:space="preserve">oblasti zvýšenej tvorby opravných položiek a očakávanej miery zlyhaných úverov. </w:t>
      </w:r>
      <w:r w:rsidRPr="008E52A6">
        <w:t>M</w:t>
      </w:r>
      <w:r>
        <w:t xml:space="preserve">iera zlyhaných úverov si od nástupu </w:t>
      </w:r>
      <w:proofErr w:type="spellStart"/>
      <w:r>
        <w:t>koronakrízy</w:t>
      </w:r>
      <w:proofErr w:type="spellEnd"/>
      <w:r>
        <w:t xml:space="preserve"> zachovala stabilný priebeh, čo do značnej miery súvisí </w:t>
      </w:r>
      <w:r w:rsidR="0068581E">
        <w:t>s </w:t>
      </w:r>
      <w:r>
        <w:t xml:space="preserve">prijatými opatreniami, predovšetkým </w:t>
      </w:r>
      <w:r w:rsidR="0068581E">
        <w:t>s </w:t>
      </w:r>
      <w:r>
        <w:t xml:space="preserve">možnosťou dočasného odkladu úverových splátok. Zatiaľ teda nedošlo </w:t>
      </w:r>
      <w:r w:rsidR="0068581E">
        <w:t>k </w:t>
      </w:r>
      <w:r>
        <w:t xml:space="preserve">akcelerácii miery zlyhaných úverov. Pri opravných položkách je situácia odlišná, keďže banky po nástupe </w:t>
      </w:r>
      <w:proofErr w:type="spellStart"/>
      <w:r>
        <w:t>koronakrízy</w:t>
      </w:r>
      <w:proofErr w:type="spellEnd"/>
      <w:r>
        <w:t xml:space="preserve"> pristúpili </w:t>
      </w:r>
      <w:r w:rsidR="0068581E">
        <w:t>k </w:t>
      </w:r>
      <w:r>
        <w:t xml:space="preserve">ich zvýšenej tvorbe. Kým teda </w:t>
      </w:r>
      <w:r w:rsidR="0068581E">
        <w:t>v </w:t>
      </w:r>
      <w:r>
        <w:t>kríze 2008</w:t>
      </w:r>
      <w:r w:rsidR="00B44258">
        <w:t> </w:t>
      </w:r>
      <w:r>
        <w:t>–</w:t>
      </w:r>
      <w:r w:rsidR="00B44258">
        <w:t> </w:t>
      </w:r>
      <w:r>
        <w:t xml:space="preserve">2010 mala tvorba opravných položiek rovnaký priebeh ako zlyhávanie úverov, aktuálne môžeme hovoriť skôr </w:t>
      </w:r>
      <w:r w:rsidR="0068581E">
        <w:t>o </w:t>
      </w:r>
      <w:r>
        <w:t>ich preventívnej tvorbe (</w:t>
      </w:r>
      <w:r w:rsidR="00DD7D07">
        <w:rPr>
          <w:highlight w:val="red"/>
        </w:rPr>
        <w:fldChar w:fldCharType="begin"/>
      </w:r>
      <w:r w:rsidR="00DD7D07">
        <w:instrText xml:space="preserve"> REF _Ref52285078 \h </w:instrText>
      </w:r>
      <w:r w:rsidR="00DD7D07">
        <w:rPr>
          <w:highlight w:val="red"/>
        </w:rPr>
      </w:r>
      <w:r w:rsidR="00DD7D07">
        <w:rPr>
          <w:highlight w:val="red"/>
        </w:rPr>
        <w:fldChar w:fldCharType="separate"/>
      </w:r>
      <w:r w:rsidR="00A02A40">
        <w:t xml:space="preserve">Graf </w:t>
      </w:r>
      <w:r w:rsidR="00A02A40">
        <w:rPr>
          <w:noProof/>
        </w:rPr>
        <w:t>18</w:t>
      </w:r>
      <w:r w:rsidR="00DD7D07">
        <w:rPr>
          <w:highlight w:val="red"/>
        </w:rPr>
        <w:fldChar w:fldCharType="end"/>
      </w:r>
      <w:r>
        <w:t>)</w:t>
      </w:r>
      <w:r w:rsidR="006D639D">
        <w:t>.</w:t>
      </w:r>
      <w:r>
        <w:t xml:space="preserve"> </w:t>
      </w:r>
      <w:r w:rsidR="0068581E">
        <w:t>V </w:t>
      </w:r>
      <w:r>
        <w:t xml:space="preserve">porovnaní </w:t>
      </w:r>
      <w:r w:rsidR="0068581E">
        <w:t>s </w:t>
      </w:r>
      <w:r>
        <w:t xml:space="preserve">júlom 2019 sa </w:t>
      </w:r>
      <w:r w:rsidR="00725B02">
        <w:t>výška vytvorených</w:t>
      </w:r>
      <w:r>
        <w:t xml:space="preserve"> opravných položiek strojnásobila. Na konci júla tohto roka čistá tvorba opravných položiek prekročila úroveň 25</w:t>
      </w:r>
      <w:r w:rsidR="0068581E">
        <w:t>3 mil. €</w:t>
      </w:r>
      <w:r>
        <w:t>, kým pred rokom to bolo iba 8</w:t>
      </w:r>
      <w:r w:rsidR="0068581E">
        <w:t>6 mil. €</w:t>
      </w:r>
      <w:r>
        <w:t xml:space="preserve">. Pre účely rozhodovania </w:t>
      </w:r>
      <w:r w:rsidR="0068581E">
        <w:t>o </w:t>
      </w:r>
      <w:r>
        <w:t xml:space="preserve">výške </w:t>
      </w:r>
      <w:proofErr w:type="spellStart"/>
      <w:r>
        <w:t>proticyklického</w:t>
      </w:r>
      <w:proofErr w:type="spellEnd"/>
      <w:r>
        <w:t xml:space="preserve"> kapitálového vankúša je dôležité sledovať, ako výrazne tvorba opravných položiek prekračuje úroveň ich bežnej tvorby. </w:t>
      </w:r>
    </w:p>
    <w:p w14:paraId="3C266761" w14:textId="1B05F9FC" w:rsidR="00030E96" w:rsidRDefault="00030E96" w:rsidP="00030E96">
      <w:pPr>
        <w:pStyle w:val="Nadpisgrafu"/>
      </w:pPr>
      <w:r>
        <w:t xml:space="preserve">Graf </w:t>
      </w:r>
      <w:fldSimple w:instr=" SEQ Graf \* ARABIC ">
        <w:r w:rsidR="00A02A40">
          <w:rPr>
            <w:noProof/>
          </w:rPr>
          <w:t>17</w:t>
        </w:r>
      </w:fldSimple>
      <w:r>
        <w:t xml:space="preserve"> Vývoj zlyhaných úverov a </w:t>
      </w:r>
      <w:proofErr w:type="spellStart"/>
      <w:r>
        <w:t>anualizovanej</w:t>
      </w:r>
      <w:proofErr w:type="spellEnd"/>
      <w:r>
        <w:t xml:space="preserve"> tvorby opravných položiek v bankovom sektore</w:t>
      </w:r>
    </w:p>
    <w:p w14:paraId="2858BE58" w14:textId="77777777" w:rsidR="00030E96" w:rsidRDefault="00030E96" w:rsidP="00030E96">
      <w:pPr>
        <w:pStyle w:val="Podnadpisgrafu"/>
      </w:pPr>
      <w:r>
        <w:t>(%, %)</w:t>
      </w:r>
    </w:p>
    <w:p w14:paraId="6F8B0D8F" w14:textId="77777777" w:rsidR="00030E96" w:rsidRPr="004B63CF" w:rsidRDefault="00030E96" w:rsidP="00030E96">
      <w:pPr>
        <w:pStyle w:val="Podnadpisgrafu"/>
      </w:pPr>
      <w:r>
        <w:rPr>
          <w:noProof/>
        </w:rPr>
        <w:drawing>
          <wp:inline distT="0" distB="0" distL="0" distR="0" wp14:anchorId="27E91E1C" wp14:editId="6C7E01EA">
            <wp:extent cx="4679950" cy="3314498"/>
            <wp:effectExtent l="0" t="0" r="6350" b="635"/>
            <wp:docPr id="3" name="Chart 3">
              <a:extLst xmlns:a="http://schemas.openxmlformats.org/drawingml/2006/main">
                <a:ext uri="{FF2B5EF4-FFF2-40B4-BE49-F238E27FC236}">
                  <a16:creationId xmlns:a16="http://schemas.microsoft.com/office/drawing/2014/main" id="{172048CB-2DB4-4169-9213-4336808C0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940DC0" w14:textId="77777777" w:rsidR="00030E96" w:rsidRDefault="00030E96" w:rsidP="00030E96">
      <w:pPr>
        <w:pStyle w:val="Podgrafom"/>
      </w:pPr>
    </w:p>
    <w:p w14:paraId="7EE060AE" w14:textId="77777777" w:rsidR="00030E96" w:rsidRDefault="00030E96" w:rsidP="00030E96">
      <w:pPr>
        <w:pStyle w:val="Podgrafom"/>
      </w:pPr>
      <w:r w:rsidRPr="00BC6DFC">
        <w:t xml:space="preserve">Zdroj: </w:t>
      </w:r>
      <w:r>
        <w:t>NBS</w:t>
      </w:r>
    </w:p>
    <w:p w14:paraId="00E9DC90" w14:textId="77777777" w:rsidR="00030E96" w:rsidRDefault="00030E96" w:rsidP="00030E96">
      <w:pPr>
        <w:pStyle w:val="Podgrafom"/>
      </w:pPr>
      <w:r>
        <w:t>Poznámka: Šedé podfarbenie na grafe označuje výskyt stresových období na slovenskom finančnom trhu (globálna finančná kríza a kríza vyvolaná šírením ochorenia COVID-19).</w:t>
      </w:r>
    </w:p>
    <w:p w14:paraId="26BF42C7" w14:textId="77777777" w:rsidR="00030E96" w:rsidRDefault="00030E96" w:rsidP="00030E96">
      <w:pPr>
        <w:pStyle w:val="Podgrafom"/>
      </w:pPr>
      <w:r>
        <w:t>RVA – rizikovo-vážené aktíva.</w:t>
      </w:r>
    </w:p>
    <w:p w14:paraId="12718432" w14:textId="77777777" w:rsidR="00030E96" w:rsidRDefault="00030E96" w:rsidP="00030E96">
      <w:pPr>
        <w:pStyle w:val="Podgrafom"/>
      </w:pPr>
    </w:p>
    <w:p w14:paraId="65C1551C" w14:textId="1E8B89A3" w:rsidR="0045216D" w:rsidRDefault="0045216D" w:rsidP="0045216D">
      <w:r w:rsidRPr="00211BEE">
        <w:rPr>
          <w:b/>
          <w:bCs/>
        </w:rPr>
        <w:lastRenderedPageBreak/>
        <w:t xml:space="preserve">Kým </w:t>
      </w:r>
      <w:r w:rsidR="0068581E">
        <w:rPr>
          <w:b/>
          <w:bCs/>
        </w:rPr>
        <w:t>v </w:t>
      </w:r>
      <w:r w:rsidRPr="00211BEE">
        <w:rPr>
          <w:b/>
          <w:bCs/>
        </w:rPr>
        <w:t xml:space="preserve">pokrízovom období 2011 až 2019 bola priemerná ročná úroveň tvorby opravných položiek </w:t>
      </w:r>
      <w:r w:rsidR="0068581E">
        <w:rPr>
          <w:b/>
          <w:bCs/>
        </w:rPr>
        <w:t>v </w:t>
      </w:r>
      <w:r w:rsidRPr="00211BEE">
        <w:rPr>
          <w:b/>
          <w:bCs/>
        </w:rPr>
        <w:t>bankovom sektore na úrovni 0,</w:t>
      </w:r>
      <w:r w:rsidR="0068581E">
        <w:rPr>
          <w:b/>
          <w:bCs/>
        </w:rPr>
        <w:t>5 %</w:t>
      </w:r>
      <w:r w:rsidRPr="00211BEE">
        <w:rPr>
          <w:b/>
          <w:bCs/>
        </w:rPr>
        <w:t xml:space="preserve"> rizikovo-vážených aktív, </w:t>
      </w:r>
      <w:r w:rsidR="0068581E">
        <w:rPr>
          <w:b/>
          <w:bCs/>
        </w:rPr>
        <w:t>k </w:t>
      </w:r>
      <w:r w:rsidRPr="00211BEE">
        <w:rPr>
          <w:b/>
          <w:bCs/>
        </w:rPr>
        <w:t>máju 2020</w:t>
      </w:r>
      <w:r w:rsidRPr="00211BEE">
        <w:rPr>
          <w:rStyle w:val="FootnoteReference"/>
          <w:b/>
          <w:bCs/>
        </w:rPr>
        <w:footnoteReference w:id="25"/>
      </w:r>
      <w:r w:rsidRPr="00211BEE">
        <w:rPr>
          <w:b/>
          <w:bCs/>
        </w:rPr>
        <w:t xml:space="preserve"> tvoril </w:t>
      </w:r>
      <w:proofErr w:type="spellStart"/>
      <w:r w:rsidRPr="00211BEE">
        <w:rPr>
          <w:b/>
          <w:bCs/>
        </w:rPr>
        <w:t>anualizovaný</w:t>
      </w:r>
      <w:proofErr w:type="spellEnd"/>
      <w:r w:rsidRPr="00211BEE">
        <w:rPr>
          <w:b/>
          <w:bCs/>
        </w:rPr>
        <w:t xml:space="preserve"> objem opravných položiek už takmer 0,</w:t>
      </w:r>
      <w:r w:rsidR="0068581E">
        <w:rPr>
          <w:b/>
          <w:bCs/>
        </w:rPr>
        <w:t>8 %</w:t>
      </w:r>
      <w:r w:rsidRPr="00211BEE">
        <w:rPr>
          <w:b/>
          <w:bCs/>
        </w:rPr>
        <w:t xml:space="preserve"> rizikovo-vážených aktív a na konci júla 2020 to už bolo vyše </w:t>
      </w:r>
      <w:r w:rsidR="0068581E">
        <w:rPr>
          <w:b/>
          <w:bCs/>
        </w:rPr>
        <w:t>1 %</w:t>
      </w:r>
      <w:r w:rsidRPr="00211BEE">
        <w:rPr>
          <w:b/>
          <w:bCs/>
        </w:rPr>
        <w:t xml:space="preserve"> rizikovo-vážených aktív.</w:t>
      </w:r>
      <w:r>
        <w:t xml:space="preserve"> Objem mimoriadnej tvorby opravných položiek tvorených nad rámec ich </w:t>
      </w:r>
      <w:r w:rsidRPr="003D1E75">
        <w:t xml:space="preserve">bežnej tvorby </w:t>
      </w:r>
      <w:r w:rsidR="0068581E">
        <w:t>v </w:t>
      </w:r>
      <w:r w:rsidRPr="003D1E75">
        <w:t>nekrízových časoch</w:t>
      </w:r>
      <w:r>
        <w:t xml:space="preserve"> tak </w:t>
      </w:r>
      <w:r w:rsidR="0068581E">
        <w:t>v </w:t>
      </w:r>
      <w:r>
        <w:t xml:space="preserve">čase prijímania posledného rozhodnutia </w:t>
      </w:r>
      <w:r w:rsidR="0068581E">
        <w:t>o </w:t>
      </w:r>
      <w:r>
        <w:t xml:space="preserve">znížení </w:t>
      </w:r>
      <w:proofErr w:type="spellStart"/>
      <w:r>
        <w:t>proticyklického</w:t>
      </w:r>
      <w:proofErr w:type="spellEnd"/>
      <w:r>
        <w:t xml:space="preserve"> kapitálového vankúša</w:t>
      </w:r>
      <w:r>
        <w:rPr>
          <w:rStyle w:val="FootnoteReference"/>
        </w:rPr>
        <w:footnoteReference w:id="26"/>
      </w:r>
      <w:r>
        <w:t xml:space="preserve"> dosiahol úroveň približne 0,</w:t>
      </w:r>
      <w:r w:rsidR="0068581E">
        <w:t>3 %</w:t>
      </w:r>
      <w:r>
        <w:t xml:space="preserve"> rizikovo-vážených</w:t>
      </w:r>
      <w:r w:rsidR="00AB5C2F">
        <w:t xml:space="preserve"> aktív</w:t>
      </w:r>
      <w:r>
        <w:t xml:space="preserve">, aktuálne </w:t>
      </w:r>
      <w:r w:rsidR="0068581E">
        <w:t>k </w:t>
      </w:r>
      <w:r>
        <w:t>mesiacu júl už okolo 0,</w:t>
      </w:r>
      <w:r w:rsidR="0068581E">
        <w:t>5 %</w:t>
      </w:r>
      <w:r>
        <w:t xml:space="preserve"> rizikovo vážených aktív (</w:t>
      </w:r>
      <w:r w:rsidR="00DD7D07">
        <w:rPr>
          <w:highlight w:val="red"/>
        </w:rPr>
        <w:fldChar w:fldCharType="begin"/>
      </w:r>
      <w:r w:rsidR="00DD7D07">
        <w:instrText xml:space="preserve"> REF _Ref52285078 \h </w:instrText>
      </w:r>
      <w:r w:rsidR="00DD7D07">
        <w:rPr>
          <w:highlight w:val="red"/>
        </w:rPr>
      </w:r>
      <w:r w:rsidR="00DD7D07">
        <w:rPr>
          <w:highlight w:val="red"/>
        </w:rPr>
        <w:fldChar w:fldCharType="separate"/>
      </w:r>
      <w:r w:rsidR="00A02A40">
        <w:t xml:space="preserve">Graf </w:t>
      </w:r>
      <w:r w:rsidR="00A02A40">
        <w:rPr>
          <w:noProof/>
        </w:rPr>
        <w:t>18</w:t>
      </w:r>
      <w:r w:rsidR="00DD7D07">
        <w:rPr>
          <w:highlight w:val="red"/>
        </w:rPr>
        <w:fldChar w:fldCharType="end"/>
      </w:r>
      <w:r>
        <w:t xml:space="preserve">). Banky pristúpili </w:t>
      </w:r>
      <w:r w:rsidR="0068581E">
        <w:t>k </w:t>
      </w:r>
      <w:r>
        <w:t xml:space="preserve">zvýšenej tvorbe opravných položiek najmä </w:t>
      </w:r>
      <w:r w:rsidR="0068581E">
        <w:t>z </w:t>
      </w:r>
      <w:r>
        <w:t xml:space="preserve">dôvodu zhoršených očakávaní ohľadom budúceho vývoja pri zlyhaných úveroch. Súčasná vyššia tvorba opravných položiek súvisí hlavne so zakomponovaním zhoršenej makroekonomickej predikcie </w:t>
      </w:r>
      <w:r w:rsidR="0068581E">
        <w:t>v </w:t>
      </w:r>
      <w:r>
        <w:t xml:space="preserve">modeloch pre tvorbu opravných položiek </w:t>
      </w:r>
      <w:r w:rsidR="0068581E">
        <w:t>v </w:t>
      </w:r>
      <w:r>
        <w:t xml:space="preserve">súlade </w:t>
      </w:r>
      <w:r w:rsidR="0068581E">
        <w:t>s </w:t>
      </w:r>
      <w:r>
        <w:t>účtovnými štandardami IFRS 9 a</w:t>
      </w:r>
      <w:r w:rsidR="00AB5C2F">
        <w:t> </w:t>
      </w:r>
      <w:r w:rsidR="0068581E">
        <w:t>s </w:t>
      </w:r>
      <w:r>
        <w:t xml:space="preserve"> preklasifikovaním časti úverov so zvýšeným rizikom do vyššej kategórie úverov, kde je pre ešte nezlyhaný úver potrebné tvoriť opravnú položku pokrývajúcu už celú životnosť úveru. </w:t>
      </w:r>
    </w:p>
    <w:p w14:paraId="30D02E88" w14:textId="45E4B578" w:rsidR="0045216D" w:rsidRDefault="0045216D" w:rsidP="0045216D">
      <w:r w:rsidRPr="009C4D89">
        <w:rPr>
          <w:b/>
          <w:bCs/>
        </w:rPr>
        <w:t xml:space="preserve">Napriek tomu, že doterajšia zvýšená tvorba opravných položiek neodráža </w:t>
      </w:r>
      <w:r w:rsidR="009C0844">
        <w:rPr>
          <w:b/>
          <w:bCs/>
        </w:rPr>
        <w:t xml:space="preserve">už </w:t>
      </w:r>
      <w:r w:rsidRPr="009C4D89">
        <w:rPr>
          <w:b/>
          <w:bCs/>
        </w:rPr>
        <w:t>reálne vzniknuté straty</w:t>
      </w:r>
      <w:r>
        <w:rPr>
          <w:b/>
          <w:bCs/>
        </w:rPr>
        <w:t xml:space="preserve"> </w:t>
      </w:r>
      <w:r w:rsidR="0068581E">
        <w:rPr>
          <w:b/>
          <w:bCs/>
        </w:rPr>
        <w:t>z </w:t>
      </w:r>
      <w:r>
        <w:rPr>
          <w:b/>
          <w:bCs/>
        </w:rPr>
        <w:t>úverov</w:t>
      </w:r>
      <w:r w:rsidRPr="009C4D89">
        <w:rPr>
          <w:b/>
          <w:bCs/>
        </w:rPr>
        <w:t xml:space="preserve">, ale je výsledkom odhadu budúcich strát na základe rôznych parametrov, NBS už druhýkrát po sebe pristúpila </w:t>
      </w:r>
      <w:r w:rsidR="0068581E">
        <w:rPr>
          <w:b/>
          <w:bCs/>
        </w:rPr>
        <w:t>k </w:t>
      </w:r>
      <w:r w:rsidRPr="009C4D89">
        <w:rPr>
          <w:b/>
          <w:bCs/>
        </w:rPr>
        <w:t xml:space="preserve">zníženiu úrovne </w:t>
      </w:r>
      <w:proofErr w:type="spellStart"/>
      <w:r w:rsidRPr="009C4D89">
        <w:rPr>
          <w:b/>
          <w:bCs/>
        </w:rPr>
        <w:t>proticyklického</w:t>
      </w:r>
      <w:proofErr w:type="spellEnd"/>
      <w:r w:rsidRPr="009C4D89">
        <w:rPr>
          <w:b/>
          <w:bCs/>
        </w:rPr>
        <w:t xml:space="preserve"> kapitálového vankúša</w:t>
      </w:r>
      <w:r>
        <w:t xml:space="preserve">. Týmto krokom chcela NBS vytvoriť pre banky priestor pre využitie zníženej kapitálovej požiadavky na tvorbu opravných položiek a zabezpečiť dostatok voľného kapitálu potrebného na financovanie rastu úverov. Nakoľko doterajšie zníženie úrovne </w:t>
      </w:r>
      <w:proofErr w:type="spellStart"/>
      <w:r>
        <w:t>proticyklického</w:t>
      </w:r>
      <w:proofErr w:type="spellEnd"/>
      <w:r>
        <w:t xml:space="preserve"> kapitálového vankúša na úroveň 1,0</w:t>
      </w:r>
      <w:r w:rsidR="0068581E">
        <w:t>0 %</w:t>
      </w:r>
      <w:r>
        <w:t xml:space="preserve"> svojou mierou zníženia presiahlo objem mimoriadnych opravných položiek vytvorených </w:t>
      </w:r>
      <w:r w:rsidR="0068581E">
        <w:t>v </w:t>
      </w:r>
      <w:r>
        <w:t xml:space="preserve">tomto období nad rámec ich bežnej tvorby, poskytlo bankovému sektoru dostatočný priestor a možnosť pokračovania ich tvorby </w:t>
      </w:r>
      <w:r w:rsidR="0068581E">
        <w:t>v </w:t>
      </w:r>
      <w:r>
        <w:t xml:space="preserve">prípade potreby aj </w:t>
      </w:r>
      <w:r w:rsidR="0068581E">
        <w:t>v </w:t>
      </w:r>
      <w:r>
        <w:t xml:space="preserve">nasledujúcich mesiacoch. Dá sa očakávať, že </w:t>
      </w:r>
      <w:r w:rsidR="0068581E">
        <w:t>k </w:t>
      </w:r>
      <w:r>
        <w:t xml:space="preserve">zvýšenej miere zlyhania úverov môže dôjsť po exspirácii prijatých opatrení, predovšetkým po ukončení odkladu splátok úverov. Od výšky skutočne zlyhaných úverov tak bude následne závisieť, či trend zvýšenej tvorby opravných položiek bude pokračovať aj </w:t>
      </w:r>
      <w:r w:rsidR="0068581E">
        <w:t>v </w:t>
      </w:r>
      <w:r>
        <w:t xml:space="preserve">nasledujúcom roku, alebo naopak dôjde </w:t>
      </w:r>
      <w:r w:rsidR="0068581E">
        <w:t>k </w:t>
      </w:r>
      <w:r>
        <w:t xml:space="preserve">zníženiu ich úrovne </w:t>
      </w:r>
      <w:r w:rsidR="0068581E">
        <w:t>v </w:t>
      </w:r>
      <w:r>
        <w:t xml:space="preserve">prípade, že by sa aktuálny preventívny prístup ukázal ako príliš konzervatívny. NBS komunikovala očakávanie, že tento uvoľnený kapitál nebude akcionármi bánk využitý na výplatu dividend alebo </w:t>
      </w:r>
      <w:r w:rsidR="00994C52">
        <w:t xml:space="preserve">k </w:t>
      </w:r>
      <w:r>
        <w:t>spätného nákupu akcií, ale bude aj</w:t>
      </w:r>
      <w:r w:rsidRPr="007E19AC">
        <w:t xml:space="preserve"> naďalej využívaný pre účely zachovania odolnosti bánk a udržania vitálnych funkcií bankového sektora.</w:t>
      </w:r>
      <w:r>
        <w:t xml:space="preserve"> </w:t>
      </w:r>
    </w:p>
    <w:p w14:paraId="3D95D932" w14:textId="3A9AC0FE" w:rsidR="0045216D" w:rsidRDefault="0045216D" w:rsidP="0045216D">
      <w:r w:rsidRPr="007E19AC">
        <w:rPr>
          <w:b/>
          <w:bCs/>
        </w:rPr>
        <w:t xml:space="preserve">Pre ďalšie zmeny výšky </w:t>
      </w:r>
      <w:proofErr w:type="spellStart"/>
      <w:r w:rsidRPr="007E19AC">
        <w:rPr>
          <w:b/>
          <w:bCs/>
        </w:rPr>
        <w:t>proticyklického</w:t>
      </w:r>
      <w:proofErr w:type="spellEnd"/>
      <w:r w:rsidRPr="007E19AC">
        <w:rPr>
          <w:b/>
          <w:bCs/>
        </w:rPr>
        <w:t xml:space="preserve"> </w:t>
      </w:r>
      <w:r w:rsidR="009E71E7">
        <w:rPr>
          <w:b/>
          <w:bCs/>
        </w:rPr>
        <w:t xml:space="preserve">kapitálového </w:t>
      </w:r>
      <w:r w:rsidRPr="007E19AC">
        <w:rPr>
          <w:b/>
          <w:bCs/>
        </w:rPr>
        <w:t xml:space="preserve">vankúša bude dôležitý vývoj </w:t>
      </w:r>
      <w:r w:rsidR="0068581E">
        <w:rPr>
          <w:b/>
          <w:bCs/>
        </w:rPr>
        <w:t>v </w:t>
      </w:r>
      <w:r w:rsidRPr="007E19AC">
        <w:rPr>
          <w:b/>
          <w:bCs/>
        </w:rPr>
        <w:t xml:space="preserve">oblasti kreditných strát, </w:t>
      </w:r>
      <w:r>
        <w:rPr>
          <w:b/>
          <w:bCs/>
        </w:rPr>
        <w:t xml:space="preserve">zlyhaných úverov, </w:t>
      </w:r>
      <w:r w:rsidRPr="007E19AC">
        <w:rPr>
          <w:b/>
          <w:bCs/>
        </w:rPr>
        <w:t>dostatočnosti voľného kapitálu na úverovanie ekonomiky</w:t>
      </w:r>
      <w:r w:rsidR="005D455F">
        <w:rPr>
          <w:b/>
          <w:bCs/>
        </w:rPr>
        <w:t>, ako aj</w:t>
      </w:r>
      <w:r w:rsidRPr="007E19AC">
        <w:rPr>
          <w:b/>
          <w:bCs/>
        </w:rPr>
        <w:t xml:space="preserve"> dividendová politika </w:t>
      </w:r>
      <w:r w:rsidRPr="007E19AC">
        <w:rPr>
          <w:b/>
          <w:bCs/>
        </w:rPr>
        <w:lastRenderedPageBreak/>
        <w:t>bánk.</w:t>
      </w:r>
      <w:r w:rsidRPr="007E19AC">
        <w:t xml:space="preserve"> NBS bude detailne monitorovať tieto oblasti a </w:t>
      </w:r>
      <w:r w:rsidR="0068581E">
        <w:t>v </w:t>
      </w:r>
      <w:r w:rsidRPr="007E19AC">
        <w:t xml:space="preserve">prípade potreby je pripravená pristúpiť </w:t>
      </w:r>
      <w:r w:rsidR="0068581E">
        <w:t>k </w:t>
      </w:r>
      <w:r w:rsidRPr="007E19AC">
        <w:t xml:space="preserve">ďalšiemu znižovaniu miery </w:t>
      </w:r>
      <w:proofErr w:type="spellStart"/>
      <w:r w:rsidRPr="007E19AC">
        <w:t>proticyklického</w:t>
      </w:r>
      <w:proofErr w:type="spellEnd"/>
      <w:r w:rsidRPr="007E19AC">
        <w:t xml:space="preserve"> kapitálového vankúša.</w:t>
      </w:r>
    </w:p>
    <w:p w14:paraId="13CC9961" w14:textId="77777777" w:rsidR="00E03AFC" w:rsidRDefault="00E03AFC" w:rsidP="00E03AFC">
      <w:pPr>
        <w:rPr>
          <w:rStyle w:val="ModrnadpisChar"/>
        </w:rPr>
      </w:pPr>
      <w:r>
        <w:rPr>
          <w:rStyle w:val="ModrnadpisChar"/>
        </w:rPr>
        <w:t>Bankový sektor disponuje dostatkom stabilných a zároveň lacných zdrojov financovania, likvidné aktíva sa zvýšili</w:t>
      </w:r>
    </w:p>
    <w:p w14:paraId="2B24D11E" w14:textId="2D317210" w:rsidR="00E03AFC" w:rsidRDefault="00E03AFC" w:rsidP="00E03AFC">
      <w:r>
        <w:rPr>
          <w:b/>
          <w:bCs/>
        </w:rPr>
        <w:t xml:space="preserve">Pokračujúci rast úverov podnikom a domácnostiam si vyžaduje dostatok stabilných zdrojov financovania. </w:t>
      </w:r>
      <w:r>
        <w:t xml:space="preserve">Najvýznamnejšiu časť týchto zdrojov </w:t>
      </w:r>
      <w:r w:rsidR="0068581E">
        <w:t>v </w:t>
      </w:r>
      <w:r>
        <w:t xml:space="preserve">slovenskom bankovom sektore dlhodobo tvoria vklady. </w:t>
      </w:r>
      <w:r w:rsidR="0068581E">
        <w:t>Z </w:t>
      </w:r>
      <w:r>
        <w:t xml:space="preserve">pohľadu finančnej stability je preto dobré, že aj počas prvého polroka 2020 si vklady udržali relatívne robustný medziročný rast, ktorý </w:t>
      </w:r>
      <w:r w:rsidR="0068581E">
        <w:t>v </w:t>
      </w:r>
      <w:r>
        <w:t>júl</w:t>
      </w:r>
      <w:r w:rsidR="000E40CF">
        <w:t>i</w:t>
      </w:r>
      <w:r>
        <w:t xml:space="preserve"> dosiahol 4,</w:t>
      </w:r>
      <w:r w:rsidR="0068581E">
        <w:t>8 %</w:t>
      </w:r>
      <w:r>
        <w:t xml:space="preserve">. Navyše, </w:t>
      </w:r>
      <w:r w:rsidR="0068581E">
        <w:t>v </w:t>
      </w:r>
      <w:r>
        <w:t xml:space="preserve">segmente </w:t>
      </w:r>
      <w:proofErr w:type="spellStart"/>
      <w:r>
        <w:t>retailu</w:t>
      </w:r>
      <w:proofErr w:type="spellEnd"/>
      <w:r>
        <w:t xml:space="preserve">, ktorý je </w:t>
      </w:r>
      <w:r w:rsidR="0068581E">
        <w:t>z </w:t>
      </w:r>
      <w:r>
        <w:t xml:space="preserve">hľadiska stabilných zdrojov rozhodujúci, bol medziročný rast objemu </w:t>
      </w:r>
      <w:r w:rsidRPr="00020913">
        <w:t xml:space="preserve">vkladov a úverov </w:t>
      </w:r>
      <w:r>
        <w:t>n</w:t>
      </w:r>
      <w:r w:rsidRPr="00020913">
        <w:t xml:space="preserve">a </w:t>
      </w:r>
      <w:r>
        <w:t>podobnej</w:t>
      </w:r>
      <w:r w:rsidRPr="00020913">
        <w:t xml:space="preserve"> úr</w:t>
      </w:r>
      <w:r>
        <w:t>o</w:t>
      </w:r>
      <w:r w:rsidRPr="00020913">
        <w:t>vni</w:t>
      </w:r>
      <w:r>
        <w:t>. Aj vďaka tomu celkový tlak na podiel úverov na vkladoch počas roka 2020 nerástol a tento ukazovateľ zaznamenal relatívne stabilný priebeh.</w:t>
      </w:r>
    </w:p>
    <w:p w14:paraId="3E772C30" w14:textId="28FC38B8" w:rsidR="00E03AFC" w:rsidRDefault="00AA3C96" w:rsidP="00AA3C96">
      <w:pPr>
        <w:pStyle w:val="Nadpisgrafu"/>
      </w:pPr>
      <w:bookmarkStart w:id="35" w:name="_Ref52285078"/>
      <w:r>
        <w:t xml:space="preserve">Graf </w:t>
      </w:r>
      <w:fldSimple w:instr=" SEQ Graf \* ARABIC ">
        <w:r w:rsidR="00A02A40">
          <w:rPr>
            <w:noProof/>
          </w:rPr>
          <w:t>18</w:t>
        </w:r>
      </w:fldSimple>
      <w:bookmarkEnd w:id="35"/>
      <w:r>
        <w:rPr>
          <w:noProof/>
        </w:rPr>
        <w:t xml:space="preserve"> </w:t>
      </w:r>
      <w:r w:rsidR="00E03AFC">
        <w:t xml:space="preserve">Medziročné zmeny objemu úverov a vkladov </w:t>
      </w:r>
      <w:proofErr w:type="spellStart"/>
      <w:r w:rsidR="00E03AFC">
        <w:t>retailu</w:t>
      </w:r>
      <w:proofErr w:type="spellEnd"/>
    </w:p>
    <w:p w14:paraId="3ACDEDCC" w14:textId="6BF3D922" w:rsidR="00AA3C96" w:rsidRPr="00D66353" w:rsidRDefault="00AA3C96" w:rsidP="00AA3C96">
      <w:pPr>
        <w:pStyle w:val="Podnadpisgrafu"/>
        <w:rPr>
          <w:b/>
        </w:rPr>
      </w:pPr>
      <w:r>
        <w:t>(</w:t>
      </w:r>
      <w:r w:rsidR="0024521D">
        <w:t>mld.</w:t>
      </w:r>
      <w:r>
        <w:t>)</w:t>
      </w:r>
    </w:p>
    <w:p w14:paraId="7CE7016E" w14:textId="77777777" w:rsidR="00E03AFC" w:rsidRDefault="00E03AFC" w:rsidP="00E03AFC">
      <w:r>
        <w:rPr>
          <w:noProof/>
        </w:rPr>
        <w:drawing>
          <wp:inline distT="0" distB="0" distL="0" distR="0" wp14:anchorId="5BB9AD94" wp14:editId="391C6BF7">
            <wp:extent cx="4572000" cy="1844703"/>
            <wp:effectExtent l="0" t="0" r="0" b="3175"/>
            <wp:docPr id="19" name="Chart 19">
              <a:extLst xmlns:a="http://schemas.openxmlformats.org/drawingml/2006/main">
                <a:ext uri="{FF2B5EF4-FFF2-40B4-BE49-F238E27FC236}">
                  <a16:creationId xmlns:a16="http://schemas.microsoft.com/office/drawing/2014/main" id="{851E7EAD-67DA-48B5-ABAE-144D1084D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2ECA8D" w14:textId="4F132A23" w:rsidR="00E03AFC" w:rsidRPr="009033FA" w:rsidRDefault="00E03AFC" w:rsidP="00AA3C96">
      <w:pPr>
        <w:pStyle w:val="Podgrafom"/>
      </w:pPr>
      <w:r w:rsidRPr="009033FA">
        <w:t>Zdroj: NBS</w:t>
      </w:r>
    </w:p>
    <w:p w14:paraId="2F1D6B26" w14:textId="77777777" w:rsidR="00E03AFC" w:rsidRDefault="00E03AFC" w:rsidP="00AA3C96">
      <w:pPr>
        <w:pStyle w:val="Podgrafom"/>
        <w:rPr>
          <w:b/>
          <w:bCs/>
        </w:rPr>
      </w:pPr>
    </w:p>
    <w:p w14:paraId="16A4682D" w14:textId="72931FAF" w:rsidR="00E03AFC" w:rsidRDefault="00E03AFC" w:rsidP="00E03AFC">
      <w:r>
        <w:rPr>
          <w:b/>
          <w:bCs/>
        </w:rPr>
        <w:t>Cena</w:t>
      </w:r>
      <w:r w:rsidR="00553C4B">
        <w:rPr>
          <w:b/>
          <w:bCs/>
        </w:rPr>
        <w:t>,</w:t>
      </w:r>
      <w:r>
        <w:rPr>
          <w:b/>
          <w:bCs/>
        </w:rPr>
        <w:t xml:space="preserve"> ktorú banky platili za vklady a ostatné zdroje financovania</w:t>
      </w:r>
      <w:r w:rsidR="00553C4B">
        <w:rPr>
          <w:b/>
          <w:bCs/>
        </w:rPr>
        <w:t>,</w:t>
      </w:r>
      <w:r>
        <w:rPr>
          <w:b/>
          <w:bCs/>
        </w:rPr>
        <w:t xml:space="preserve"> klesala aj počas prvého polroka 2020. </w:t>
      </w:r>
      <w:r>
        <w:t xml:space="preserve">Bankový sektor zaznamenal pokles ceny vo všetkých hlavných kategóriách. Najmä vplyvom uvoľnenej menovej politiky dokázali banky postupne získať lacnejšie zdroje nielen </w:t>
      </w:r>
      <w:r w:rsidR="0068581E">
        <w:t>z </w:t>
      </w:r>
      <w:r>
        <w:t xml:space="preserve">medzibankového trhu (výnimku tvoria len niektoré </w:t>
      </w:r>
      <w:proofErr w:type="spellStart"/>
      <w:r>
        <w:t>vnútroskupinové</w:t>
      </w:r>
      <w:proofErr w:type="spellEnd"/>
      <w:r>
        <w:t xml:space="preserve"> transakcie), ale aj cez vklady či emisie krytých dlhopisov. Počas prvého polroka 2020 </w:t>
      </w:r>
      <w:r w:rsidR="0068581E">
        <w:t>v </w:t>
      </w:r>
      <w:r>
        <w:t xml:space="preserve">bankovom sektore klesol medián nákladu na zdroje </w:t>
      </w:r>
      <w:r w:rsidR="0068581E">
        <w:t>z </w:t>
      </w:r>
      <w:r>
        <w:t>0,1</w:t>
      </w:r>
      <w:r w:rsidR="0068581E">
        <w:t>7 %</w:t>
      </w:r>
      <w:r>
        <w:t xml:space="preserve"> na 0,0</w:t>
      </w:r>
      <w:r w:rsidR="0068581E">
        <w:t>6 %</w:t>
      </w:r>
      <w:r>
        <w:t xml:space="preserve">. Zároveň však ostávajú medzi bankami významné rozdiely, ktoré súvisia najmä </w:t>
      </w:r>
      <w:r w:rsidR="0068581E">
        <w:t>s </w:t>
      </w:r>
      <w:r>
        <w:t>cenou</w:t>
      </w:r>
      <w:r w:rsidR="00905B1A">
        <w:t>,</w:t>
      </w:r>
      <w:r>
        <w:t xml:space="preserve"> ktorú jednotlivé banky platia za vklady domácností</w:t>
      </w:r>
      <w:r w:rsidRPr="0025190C">
        <w:t>.</w:t>
      </w:r>
    </w:p>
    <w:p w14:paraId="7E997D00" w14:textId="44AB9B1F" w:rsidR="00E03AFC" w:rsidRDefault="0068581E" w:rsidP="00E03AFC">
      <w:r>
        <w:rPr>
          <w:b/>
          <w:bCs/>
        </w:rPr>
        <w:t>Z </w:t>
      </w:r>
      <w:r w:rsidR="00E03AFC">
        <w:rPr>
          <w:b/>
          <w:bCs/>
        </w:rPr>
        <w:t xml:space="preserve">pohľadu likvidity bolo prospešné, že banky zvýšili investície do domácich štátnych dlhopisov. </w:t>
      </w:r>
      <w:r>
        <w:t>V </w:t>
      </w:r>
      <w:r w:rsidR="00E03AFC">
        <w:t>prvých siedm</w:t>
      </w:r>
      <w:r w:rsidR="0061348F">
        <w:t>i</w:t>
      </w:r>
      <w:r w:rsidR="00E03AFC">
        <w:t xml:space="preserve">ch mesiacoch vzrástol objem štátnych dlhopisov </w:t>
      </w:r>
      <w:r>
        <w:t>o </w:t>
      </w:r>
      <w:r w:rsidR="00E03AFC">
        <w:t>takmer 90</w:t>
      </w:r>
      <w:r>
        <w:t>0 mil. €</w:t>
      </w:r>
      <w:r w:rsidR="0061348F">
        <w:t>.</w:t>
      </w:r>
      <w:r w:rsidR="00E03AFC">
        <w:t xml:space="preserve"> Prejavilo sa to aj </w:t>
      </w:r>
      <w:r>
        <w:t>v </w:t>
      </w:r>
      <w:r w:rsidR="00E03AFC">
        <w:t xml:space="preserve">celkovom náraste objemu likvidných aktív, vďaka čomu sa vo viacerých bankách zvýšil ukazovateľ krytia likvidity (LCR). Nárast investícií do štátnych dlhopisov mal síce priaznivý </w:t>
      </w:r>
      <w:r w:rsidR="00900E4C">
        <w:t>vplyv</w:t>
      </w:r>
      <w:r w:rsidR="00E03AFC">
        <w:t xml:space="preserve"> na likviditu, </w:t>
      </w:r>
      <w:r>
        <w:t>v </w:t>
      </w:r>
      <w:r w:rsidR="00E03AFC">
        <w:t xml:space="preserve">aktuálnom prostredí nízkych úrokových sadzieb mal však </w:t>
      </w:r>
      <w:r w:rsidR="00E03AFC">
        <w:lastRenderedPageBreak/>
        <w:t xml:space="preserve">negatívny </w:t>
      </w:r>
      <w:r w:rsidR="00582EF2">
        <w:t>vplyv</w:t>
      </w:r>
      <w:r w:rsidR="00E03AFC">
        <w:t xml:space="preserve"> na priemerný výnos dlhopisového portfólia. Od decembra 2019 do mája 2020 klesla priemerná výška kupónov </w:t>
      </w:r>
      <w:r>
        <w:t>v </w:t>
      </w:r>
      <w:r w:rsidR="00E03AFC">
        <w:t xml:space="preserve">tomto portfóliu </w:t>
      </w:r>
      <w:r>
        <w:t>z </w:t>
      </w:r>
      <w:r w:rsidR="00E03AFC">
        <w:t>2,4</w:t>
      </w:r>
      <w:r>
        <w:t>6 %</w:t>
      </w:r>
      <w:r w:rsidR="00E03AFC">
        <w:t xml:space="preserve"> na 2,1</w:t>
      </w:r>
      <w:r>
        <w:t>3 %</w:t>
      </w:r>
      <w:r w:rsidR="00E03AFC">
        <w:t>.</w:t>
      </w:r>
    </w:p>
    <w:p w14:paraId="615D6142" w14:textId="7BAED96C" w:rsidR="00E03AFC" w:rsidRDefault="00E03AFC" w:rsidP="00E03AFC">
      <w:r>
        <w:rPr>
          <w:b/>
          <w:bCs/>
        </w:rPr>
        <w:t xml:space="preserve">Likviditu ovplyvnili aj emisie krytých dlhopisov </w:t>
      </w:r>
      <w:r w:rsidR="00CB32B9">
        <w:rPr>
          <w:b/>
          <w:bCs/>
        </w:rPr>
        <w:t xml:space="preserve">do </w:t>
      </w:r>
      <w:r>
        <w:rPr>
          <w:b/>
          <w:bCs/>
        </w:rPr>
        <w:t xml:space="preserve">vlastného portfólia, ktoré sa </w:t>
      </w:r>
      <w:r w:rsidR="0068581E">
        <w:rPr>
          <w:b/>
          <w:bCs/>
        </w:rPr>
        <w:t>v </w:t>
      </w:r>
      <w:r>
        <w:rPr>
          <w:b/>
          <w:bCs/>
        </w:rPr>
        <w:t xml:space="preserve">tomto polroku objavili po prvýkrát </w:t>
      </w:r>
      <w:r w:rsidR="0068581E">
        <w:rPr>
          <w:b/>
          <w:bCs/>
        </w:rPr>
        <w:t>v </w:t>
      </w:r>
      <w:r>
        <w:rPr>
          <w:b/>
          <w:bCs/>
        </w:rPr>
        <w:t>histórii.</w:t>
      </w:r>
      <w:r>
        <w:t xml:space="preserve"> Napriek tomu,</w:t>
      </w:r>
      <w:r w:rsidR="00127B1D">
        <w:t xml:space="preserve"> že</w:t>
      </w:r>
      <w:r>
        <w:t xml:space="preserve"> hlavnou motiváciou tejto operácie je využitie mimoriadne lacných úverov </w:t>
      </w:r>
      <w:r w:rsidR="0068581E">
        <w:t>z </w:t>
      </w:r>
      <w:r>
        <w:t xml:space="preserve">centrálnej banky </w:t>
      </w:r>
      <w:r w:rsidR="0068581E">
        <w:t>s </w:t>
      </w:r>
      <w:r>
        <w:t xml:space="preserve">priaznivým </w:t>
      </w:r>
      <w:r w:rsidR="00900E4C">
        <w:t>vplyvom</w:t>
      </w:r>
      <w:r>
        <w:t xml:space="preserve"> za ziskovosť, táto aktivita má vplyv aj na likviditu.</w:t>
      </w:r>
    </w:p>
    <w:p w14:paraId="56690F58" w14:textId="7895B878" w:rsidR="00E03AFC" w:rsidRDefault="00E03AFC" w:rsidP="00E03AFC">
      <w:r>
        <w:rPr>
          <w:b/>
          <w:bCs/>
        </w:rPr>
        <w:t xml:space="preserve">Obchodný model slovenského bankového sektora je postavený na dostatku vkladov podnikov a domácností. </w:t>
      </w:r>
      <w:r w:rsidR="0068581E">
        <w:t>V </w:t>
      </w:r>
      <w:r>
        <w:t xml:space="preserve">rámci eurozóny je miera podielu vkladov druhá najvyššia. Tento typ zdrojov predstavuje nielen stabilný, ale aj relatívne lacný spôsob financovania sa. Zároveň to však znamená, že tento obchodný model patrí </w:t>
      </w:r>
      <w:r w:rsidR="0068581E">
        <w:t>v </w:t>
      </w:r>
      <w:r>
        <w:t xml:space="preserve">eurozóne medzi najmenej diverzifikované. Preto je dôležité, že samotné vklady podnikov a domácností nie sú neprimerane koncentrované ani čo sa týka konkrétnych klientov, ani produktového zloženia. Dostatok vkladov tiež znamená, že bankový sektor ako celok nie je závislý ani na zdrojoch </w:t>
      </w:r>
      <w:r w:rsidR="0068581E">
        <w:t>z </w:t>
      </w:r>
      <w:r>
        <w:t xml:space="preserve">centrálnej banky alebo na zahraničných vkladoch. </w:t>
      </w:r>
    </w:p>
    <w:p w14:paraId="177E922A" w14:textId="463BA7F1" w:rsidR="00E03AFC" w:rsidRDefault="00AA3C96" w:rsidP="00AA3C96">
      <w:pPr>
        <w:pStyle w:val="Nadpisgrafu"/>
      </w:pPr>
      <w:r>
        <w:t xml:space="preserve">Graf </w:t>
      </w:r>
      <w:fldSimple w:instr=" SEQ Graf \* ARABIC ">
        <w:r w:rsidR="00A02A40">
          <w:rPr>
            <w:noProof/>
          </w:rPr>
          <w:t>19</w:t>
        </w:r>
      </w:fldSimple>
      <w:r>
        <w:rPr>
          <w:noProof/>
        </w:rPr>
        <w:t xml:space="preserve"> </w:t>
      </w:r>
      <w:r w:rsidR="00E03AFC" w:rsidRPr="00DC0C29">
        <w:t>Podiel vkladov podnikov a domácností na bilancii bankového sektora</w:t>
      </w:r>
    </w:p>
    <w:p w14:paraId="4F113733" w14:textId="63A7A103" w:rsidR="00AA3C96" w:rsidRPr="00DC0C29" w:rsidRDefault="00AA3C96" w:rsidP="00AA3C96">
      <w:pPr>
        <w:pStyle w:val="Podnadpisgrafu"/>
        <w:rPr>
          <w:b/>
        </w:rPr>
      </w:pPr>
      <w:r>
        <w:t>(%, HHI index)</w:t>
      </w:r>
    </w:p>
    <w:p w14:paraId="6DBA1E03" w14:textId="77777777" w:rsidR="00E03AFC" w:rsidRDefault="00E03AFC" w:rsidP="00E03AFC">
      <w:r w:rsidRPr="000B3BD7">
        <w:rPr>
          <w:rFonts w:ascii="Verdana" w:hAnsi="Verdana"/>
          <w:noProof/>
          <w:sz w:val="16"/>
          <w:szCs w:val="16"/>
        </w:rPr>
        <w:drawing>
          <wp:inline distT="0" distB="0" distL="0" distR="0" wp14:anchorId="7C0C5D13" wp14:editId="1266A33F">
            <wp:extent cx="4688006" cy="2483892"/>
            <wp:effectExtent l="0" t="0" r="0" b="0"/>
            <wp:docPr id="21" name="Chart 21">
              <a:extLst xmlns:a="http://schemas.openxmlformats.org/drawingml/2006/main">
                <a:ext uri="{FF2B5EF4-FFF2-40B4-BE49-F238E27FC236}">
                  <a16:creationId xmlns:a16="http://schemas.microsoft.com/office/drawing/2014/main" id="{BB5C8648-3BFD-4D44-827B-D99D293C8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DFF0162" w14:textId="3C5C2B35" w:rsidR="00576971" w:rsidRDefault="00E03AFC" w:rsidP="00576971">
      <w:pPr>
        <w:pStyle w:val="Podgrafom"/>
      </w:pPr>
      <w:r>
        <w:t>Zdroj: NBS</w:t>
      </w:r>
    </w:p>
    <w:p w14:paraId="5807AE91" w14:textId="77777777" w:rsidR="00576971" w:rsidRDefault="00576971" w:rsidP="00576971">
      <w:pPr>
        <w:pStyle w:val="Podgrafom"/>
      </w:pPr>
    </w:p>
    <w:p w14:paraId="086B9395" w14:textId="6AE4EE9B" w:rsidR="00576971" w:rsidRPr="00576971" w:rsidRDefault="00576971" w:rsidP="00576971">
      <w:pPr>
        <w:pStyle w:val="Podgrafom"/>
      </w:pPr>
      <w:bookmarkStart w:id="36" w:name="_Toc43204210"/>
      <w:bookmarkStart w:id="37" w:name="_Ref8647019"/>
    </w:p>
    <w:p w14:paraId="2DA8C2DC" w14:textId="77777777" w:rsidR="00DD7D07" w:rsidRDefault="00DD7D07">
      <w:pPr>
        <w:spacing w:before="0" w:line="0" w:lineRule="auto"/>
        <w:jc w:val="left"/>
        <w:rPr>
          <w:rFonts w:ascii="Verdana" w:eastAsiaTheme="majorEastAsia" w:hAnsi="Verdana" w:cstheme="majorBidi"/>
          <w:color w:val="0067AC" w:themeColor="accent1"/>
          <w:sz w:val="54"/>
          <w:szCs w:val="32"/>
        </w:rPr>
      </w:pPr>
      <w:r>
        <w:br w:type="page"/>
      </w:r>
    </w:p>
    <w:p w14:paraId="282E69BF" w14:textId="28786433" w:rsidR="00C34D04" w:rsidRPr="00C70E80" w:rsidRDefault="00C34D04" w:rsidP="00C34D04">
      <w:pPr>
        <w:pStyle w:val="Heading1"/>
      </w:pPr>
      <w:bookmarkStart w:id="38" w:name="_Toc52285634"/>
      <w:r w:rsidRPr="00C70E80">
        <w:lastRenderedPageBreak/>
        <w:t>Sektor poisťovní</w:t>
      </w:r>
      <w:bookmarkEnd w:id="36"/>
      <w:bookmarkEnd w:id="38"/>
    </w:p>
    <w:p w14:paraId="41C02D91" w14:textId="77777777" w:rsidR="00EC2B89" w:rsidRDefault="00EC2B89" w:rsidP="00EC2B89">
      <w:pPr>
        <w:rPr>
          <w:rStyle w:val="ModrnadpisChar"/>
        </w:rPr>
      </w:pPr>
      <w:bookmarkStart w:id="39" w:name="_Toc43204211"/>
      <w:bookmarkEnd w:id="37"/>
      <w:r>
        <w:rPr>
          <w:rStyle w:val="ModrnadpisChar"/>
        </w:rPr>
        <w:t>Pozitívny vývoj hospodárskeho výsledku</w:t>
      </w:r>
    </w:p>
    <w:p w14:paraId="239C7BA7" w14:textId="118DB46D" w:rsidR="00297A5B" w:rsidRDefault="00297A5B" w:rsidP="00297A5B">
      <w:r>
        <w:rPr>
          <w:b/>
          <w:bCs/>
        </w:rPr>
        <w:t>H</w:t>
      </w:r>
      <w:r w:rsidRPr="00AB0355">
        <w:rPr>
          <w:b/>
          <w:bCs/>
        </w:rPr>
        <w:t>ospodársk</w:t>
      </w:r>
      <w:r>
        <w:rPr>
          <w:b/>
          <w:bCs/>
        </w:rPr>
        <w:t>y</w:t>
      </w:r>
      <w:r w:rsidRPr="00AB0355">
        <w:rPr>
          <w:b/>
          <w:bCs/>
        </w:rPr>
        <w:t xml:space="preserve"> výsled</w:t>
      </w:r>
      <w:r>
        <w:rPr>
          <w:b/>
          <w:bCs/>
        </w:rPr>
        <w:t>ok</w:t>
      </w:r>
      <w:r w:rsidRPr="00AB0355">
        <w:rPr>
          <w:b/>
          <w:bCs/>
        </w:rPr>
        <w:t xml:space="preserve"> sektora </w:t>
      </w:r>
      <w:r>
        <w:rPr>
          <w:b/>
          <w:bCs/>
        </w:rPr>
        <w:t>ku koncu prvého polroka 2020 dosiahol</w:t>
      </w:r>
      <w:r w:rsidRPr="00066C2B">
        <w:rPr>
          <w:b/>
          <w:bCs/>
        </w:rPr>
        <w:t xml:space="preserve"> </w:t>
      </w:r>
      <w:r w:rsidR="0068581E">
        <w:rPr>
          <w:b/>
          <w:bCs/>
        </w:rPr>
        <w:t>v </w:t>
      </w:r>
      <w:r>
        <w:rPr>
          <w:b/>
          <w:bCs/>
        </w:rPr>
        <w:t xml:space="preserve">čistom vyjadrení </w:t>
      </w:r>
      <w:r w:rsidRPr="00066C2B">
        <w:rPr>
          <w:b/>
          <w:bCs/>
        </w:rPr>
        <w:t>9</w:t>
      </w:r>
      <w:r w:rsidR="0068581E">
        <w:rPr>
          <w:b/>
          <w:bCs/>
        </w:rPr>
        <w:t>3 mil. €</w:t>
      </w:r>
      <w:r>
        <w:t xml:space="preserve">. </w:t>
      </w:r>
      <w:r w:rsidR="0068581E">
        <w:t>V </w:t>
      </w:r>
      <w:r>
        <w:t>rovnakom období</w:t>
      </w:r>
      <w:r w:rsidR="006E7D3B">
        <w:t xml:space="preserve"> minulého roka</w:t>
      </w:r>
      <w:r>
        <w:t xml:space="preserve"> bola jeho výška </w:t>
      </w:r>
      <w:r w:rsidR="006E7D3B">
        <w:t xml:space="preserve">dodatočne </w:t>
      </w:r>
      <w:r>
        <w:t xml:space="preserve">znížená </w:t>
      </w:r>
      <w:r w:rsidR="0068581E">
        <w:t>v </w:t>
      </w:r>
      <w:r>
        <w:t>dôsledku účtovnej zmeny</w:t>
      </w:r>
      <w:r>
        <w:rPr>
          <w:rStyle w:val="FootnoteReference"/>
        </w:rPr>
        <w:footnoteReference w:id="27"/>
      </w:r>
      <w:r>
        <w:t xml:space="preserve">, preto medziročné porovnanie naznačuje vysoký nárast </w:t>
      </w:r>
      <w:r w:rsidR="0068581E">
        <w:t>o </w:t>
      </w:r>
      <w:r>
        <w:t>3</w:t>
      </w:r>
      <w:r w:rsidR="0068581E">
        <w:t>7 %</w:t>
      </w:r>
      <w:r>
        <w:t xml:space="preserve">. </w:t>
      </w:r>
      <w:r w:rsidR="0068581E">
        <w:t>V </w:t>
      </w:r>
      <w:r>
        <w:t xml:space="preserve">porovnaní </w:t>
      </w:r>
      <w:r w:rsidR="0068581E">
        <w:t>s </w:t>
      </w:r>
      <w:r>
        <w:t>rokmi 2017 a 2018 je však výška čistého zisku relatívne stabilná (</w:t>
      </w:r>
      <w:r>
        <w:rPr>
          <w:highlight w:val="yellow"/>
        </w:rPr>
        <w:fldChar w:fldCharType="begin"/>
      </w:r>
      <w:r>
        <w:instrText xml:space="preserve"> REF _Ref51164962 \h </w:instrText>
      </w:r>
      <w:r>
        <w:rPr>
          <w:highlight w:val="yellow"/>
        </w:rPr>
      </w:r>
      <w:r>
        <w:rPr>
          <w:highlight w:val="yellow"/>
        </w:rPr>
        <w:fldChar w:fldCharType="separate"/>
      </w:r>
      <w:r w:rsidR="00A02A40">
        <w:t xml:space="preserve">Graf </w:t>
      </w:r>
      <w:r w:rsidR="00A02A40">
        <w:rPr>
          <w:noProof/>
        </w:rPr>
        <w:t>20</w:t>
      </w:r>
      <w:r>
        <w:rPr>
          <w:highlight w:val="yellow"/>
        </w:rPr>
        <w:fldChar w:fldCharType="end"/>
      </w:r>
      <w:r>
        <w:t xml:space="preserve">). </w:t>
      </w:r>
      <w:proofErr w:type="spellStart"/>
      <w:r w:rsidRPr="00356865">
        <w:t>Anualizovaný</w:t>
      </w:r>
      <w:proofErr w:type="spellEnd"/>
      <w:r w:rsidRPr="00356865">
        <w:t xml:space="preserve"> ukazova</w:t>
      </w:r>
      <w:r w:rsidRPr="00AB0355">
        <w:t xml:space="preserve">teľ ROE </w:t>
      </w:r>
      <w:r>
        <w:t xml:space="preserve">dosiahol </w:t>
      </w:r>
      <w:r w:rsidR="0068581E">
        <w:t>k </w:t>
      </w:r>
      <w:r>
        <w:t xml:space="preserve">júnu 2020 </w:t>
      </w:r>
      <w:r w:rsidRPr="00AB0355">
        <w:t>14,3</w:t>
      </w:r>
      <w:r w:rsidR="0068581E">
        <w:t>4 %</w:t>
      </w:r>
      <w:r w:rsidRPr="00AB0355">
        <w:t xml:space="preserve">. </w:t>
      </w:r>
    </w:p>
    <w:p w14:paraId="45407176" w14:textId="5424565F" w:rsidR="00297A5B" w:rsidRDefault="00297A5B" w:rsidP="00297A5B">
      <w:pPr>
        <w:pStyle w:val="Nadpisgrafu"/>
      </w:pPr>
      <w:bookmarkStart w:id="40" w:name="_Ref51164962"/>
      <w:r>
        <w:t xml:space="preserve">Graf </w:t>
      </w:r>
      <w:fldSimple w:instr=" SEQ Graf \* ARABIC ">
        <w:r w:rsidR="00A02A40">
          <w:rPr>
            <w:noProof/>
          </w:rPr>
          <w:t>20</w:t>
        </w:r>
      </w:fldSimple>
      <w:bookmarkEnd w:id="40"/>
      <w:r>
        <w:t xml:space="preserve"> Zisk sektora poisťovní bol výsledkom výrazných variácií jednotlivých zložiek</w:t>
      </w:r>
    </w:p>
    <w:p w14:paraId="544D93C2" w14:textId="77777777" w:rsidR="00297A5B" w:rsidRDefault="00297A5B" w:rsidP="00297A5B">
      <w:pPr>
        <w:pStyle w:val="Podnadpisgrafu"/>
      </w:pPr>
      <w:r>
        <w:t>Rozklad čistého zisku poisťovní na zložky (mil. EUR)</w:t>
      </w:r>
    </w:p>
    <w:p w14:paraId="3F2A55CA" w14:textId="77777777" w:rsidR="00297A5B" w:rsidRDefault="00297A5B" w:rsidP="00125E19">
      <w:pPr>
        <w:pStyle w:val="Podgrafom"/>
        <w:rPr>
          <w:b/>
          <w:bCs/>
        </w:rPr>
      </w:pPr>
      <w:r>
        <w:rPr>
          <w:noProof/>
        </w:rPr>
        <w:drawing>
          <wp:inline distT="0" distB="0" distL="0" distR="0" wp14:anchorId="53AADD8F" wp14:editId="5F1515EA">
            <wp:extent cx="4679950" cy="1945843"/>
            <wp:effectExtent l="0" t="0" r="6350" b="0"/>
            <wp:docPr id="22" name="Chart 22">
              <a:extLst xmlns:a="http://schemas.openxmlformats.org/drawingml/2006/main">
                <a:ext uri="{FF2B5EF4-FFF2-40B4-BE49-F238E27FC236}">
                  <a16:creationId xmlns:a16="http://schemas.microsoft.com/office/drawing/2014/main" id="{59C0F7A0-278E-4C02-A3C5-00607B189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29F7D4" w14:textId="77777777" w:rsidR="00297A5B" w:rsidRDefault="00297A5B" w:rsidP="00297A5B">
      <w:pPr>
        <w:pStyle w:val="Podgrafom"/>
      </w:pPr>
      <w:r w:rsidRPr="00B4137E">
        <w:t>Zdroj: NBS</w:t>
      </w:r>
    </w:p>
    <w:p w14:paraId="23156ADE" w14:textId="474F425D" w:rsidR="00297A5B" w:rsidRPr="00B4137E" w:rsidRDefault="00297A5B" w:rsidP="00297A5B">
      <w:pPr>
        <w:pStyle w:val="Podgrafom"/>
      </w:pPr>
      <w:r>
        <w:t xml:space="preserve">Poznámka: Údaj nad stĺpcami vyjadruje hodnotu čistého zisku </w:t>
      </w:r>
      <w:r w:rsidR="0068581E">
        <w:t>v </w:t>
      </w:r>
      <w:r>
        <w:t>mil. EUR. ŽP – životné poistenie, IŽP – investičné životné poistenie, NP – neživotné poistenie.</w:t>
      </w:r>
    </w:p>
    <w:p w14:paraId="07B17AE1" w14:textId="77777777" w:rsidR="00297A5B" w:rsidRDefault="00297A5B" w:rsidP="00297A5B">
      <w:pPr>
        <w:pStyle w:val="Podgrafom"/>
      </w:pPr>
    </w:p>
    <w:p w14:paraId="3EC3AE01" w14:textId="37650C12" w:rsidR="00297A5B" w:rsidRDefault="00297A5B" w:rsidP="00297A5B">
      <w:r w:rsidRPr="00036AAA">
        <w:rPr>
          <w:b/>
          <w:bCs/>
        </w:rPr>
        <w:t xml:space="preserve">Hospodársky výsledok </w:t>
      </w:r>
      <w:r w:rsidR="0068581E">
        <w:rPr>
          <w:b/>
          <w:bCs/>
        </w:rPr>
        <w:t>v </w:t>
      </w:r>
      <w:r w:rsidRPr="00036AAA">
        <w:rPr>
          <w:b/>
          <w:bCs/>
        </w:rPr>
        <w:t xml:space="preserve"> životnom poistení (okrem investičného životného poistenia, „IŽP“) bol podmienený výraznými výkyvmi </w:t>
      </w:r>
      <w:r w:rsidR="0068581E">
        <w:rPr>
          <w:b/>
          <w:bCs/>
        </w:rPr>
        <w:t>v </w:t>
      </w:r>
      <w:r w:rsidRPr="00036AAA">
        <w:rPr>
          <w:b/>
          <w:bCs/>
        </w:rPr>
        <w:t>niekoľkých položkách.</w:t>
      </w:r>
      <w:r>
        <w:t xml:space="preserve"> Na strane technických výnosov došlo </w:t>
      </w:r>
      <w:r w:rsidR="0068581E">
        <w:t>k </w:t>
      </w:r>
      <w:r>
        <w:t>medziročnému poklesu čistého predpísaného poistného</w:t>
      </w:r>
      <w:r w:rsidR="00973892">
        <w:t xml:space="preserve"> </w:t>
      </w:r>
      <w:r>
        <w:t>a  provízií od zaisťovateľov</w:t>
      </w:r>
      <w:r w:rsidR="00A64B0D">
        <w:t>,</w:t>
      </w:r>
      <w:r>
        <w:t xml:space="preserve"> a to napriek miernemu nárastu podielu zaisťovateľov na predpísanom poistnom. Pokles nastal aj </w:t>
      </w:r>
      <w:r w:rsidR="0068581E">
        <w:t>v </w:t>
      </w:r>
      <w:r>
        <w:t xml:space="preserve">technických nákladoch, najmä </w:t>
      </w:r>
      <w:r w:rsidR="0068581E">
        <w:t>v </w:t>
      </w:r>
      <w:r>
        <w:t xml:space="preserve">nákladoch na poistné plnenia a nákladoch na tvorbu rezerv. Posledný menovaný vplyv možno </w:t>
      </w:r>
      <w:r w:rsidR="0068581E">
        <w:t>z </w:t>
      </w:r>
      <w:r>
        <w:t xml:space="preserve">veľkej časti označiť za kompenzáciu účtovného poklesu </w:t>
      </w:r>
      <w:r w:rsidR="0068581E">
        <w:t>z </w:t>
      </w:r>
      <w:r>
        <w:t xml:space="preserve">roku 2019 spomínaného vyššie. </w:t>
      </w:r>
      <w:r w:rsidR="0068581E">
        <w:t>K </w:t>
      </w:r>
      <w:r>
        <w:t xml:space="preserve">významnejším pohybom došlo aj </w:t>
      </w:r>
      <w:r w:rsidR="0068581E">
        <w:t>v </w:t>
      </w:r>
      <w:r>
        <w:t xml:space="preserve">kategóriách tzv. ostatných technických výnosov a nákladov, týkali sa však iba malej skupiny poisťovní a navzájom sa do veľkej miery kompenzovali. </w:t>
      </w:r>
      <w:r w:rsidRPr="00AB0355">
        <w:t xml:space="preserve">Technický výsledok </w:t>
      </w:r>
      <w:r w:rsidR="0068581E">
        <w:t>v </w:t>
      </w:r>
      <w:r w:rsidRPr="00AB0355">
        <w:t xml:space="preserve">životnom poistení (očistený </w:t>
      </w:r>
      <w:r w:rsidR="0068581E">
        <w:t>o </w:t>
      </w:r>
      <w:r w:rsidRPr="00AB0355">
        <w:t xml:space="preserve">investičný výnos </w:t>
      </w:r>
      <w:r w:rsidR="0068581E">
        <w:t>z </w:t>
      </w:r>
      <w:r w:rsidRPr="00AB0355">
        <w:t xml:space="preserve">IŽP) medziročne </w:t>
      </w:r>
      <w:r>
        <w:t xml:space="preserve">vo výsledku </w:t>
      </w:r>
      <w:r w:rsidRPr="00AB0355">
        <w:t xml:space="preserve">vzrástol </w:t>
      </w:r>
      <w:r w:rsidR="0068581E">
        <w:t>z </w:t>
      </w:r>
      <w:r w:rsidRPr="00AB0355">
        <w:t>takmer nulovej hodnoty na 2</w:t>
      </w:r>
      <w:r w:rsidR="0068581E">
        <w:t>5 mil. €</w:t>
      </w:r>
      <w:r>
        <w:t xml:space="preserve">. Finančný výsledok </w:t>
      </w:r>
      <w:r w:rsidR="0068581E">
        <w:t>v </w:t>
      </w:r>
      <w:r>
        <w:t>klasickom životnom poistení</w:t>
      </w:r>
      <w:r w:rsidRPr="00AB0355">
        <w:t xml:space="preserve"> </w:t>
      </w:r>
      <w:r>
        <w:t>naopak zaznamenal medziročný pokles (-</w:t>
      </w:r>
      <w:r w:rsidRPr="00AB0355">
        <w:t>1</w:t>
      </w:r>
      <w:r w:rsidR="0068581E">
        <w:t>8 %</w:t>
      </w:r>
      <w:r>
        <w:t>, -1</w:t>
      </w:r>
      <w:r w:rsidR="0068581E">
        <w:t>0 mil. €</w:t>
      </w:r>
      <w:r>
        <w:t xml:space="preserve">). </w:t>
      </w:r>
    </w:p>
    <w:p w14:paraId="73F732E7" w14:textId="05A19721" w:rsidR="00297A5B" w:rsidRPr="00AB0355" w:rsidRDefault="00297A5B" w:rsidP="00297A5B">
      <w:r w:rsidRPr="00D2041A">
        <w:rPr>
          <w:b/>
          <w:bCs/>
        </w:rPr>
        <w:lastRenderedPageBreak/>
        <w:t xml:space="preserve">Technický výsledok </w:t>
      </w:r>
      <w:r w:rsidR="0068581E">
        <w:rPr>
          <w:b/>
          <w:bCs/>
        </w:rPr>
        <w:t>v </w:t>
      </w:r>
      <w:r w:rsidRPr="00D2041A">
        <w:rPr>
          <w:b/>
          <w:bCs/>
        </w:rPr>
        <w:t>neživotnom poistení sa medziročne takmer strojnásobil na hodnotu 4</w:t>
      </w:r>
      <w:r w:rsidR="0068581E">
        <w:rPr>
          <w:b/>
          <w:bCs/>
        </w:rPr>
        <w:t>8 mil. €</w:t>
      </w:r>
      <w:r w:rsidRPr="00D2041A">
        <w:rPr>
          <w:b/>
          <w:bCs/>
        </w:rPr>
        <w:t>.</w:t>
      </w:r>
      <w:r w:rsidRPr="00AB0355">
        <w:t xml:space="preserve"> Prvý polrok </w:t>
      </w:r>
      <w:r>
        <w:t xml:space="preserve">znamenal rast tak </w:t>
      </w:r>
      <w:r w:rsidR="0068581E">
        <w:t>v </w:t>
      </w:r>
      <w:r w:rsidRPr="00AB0355">
        <w:t>hrubo</w:t>
      </w:r>
      <w:r>
        <w:t>m</w:t>
      </w:r>
      <w:r w:rsidRPr="00AB0355">
        <w:t xml:space="preserve"> predpísano</w:t>
      </w:r>
      <w:r>
        <w:t>m</w:t>
      </w:r>
      <w:r w:rsidRPr="00AB0355">
        <w:t xml:space="preserve"> poistno</w:t>
      </w:r>
      <w:r>
        <w:t>m</w:t>
      </w:r>
      <w:r w:rsidRPr="00AB0355">
        <w:t xml:space="preserve">, ako aj </w:t>
      </w:r>
      <w:r w:rsidR="0068581E">
        <w:t>v </w:t>
      </w:r>
      <w:r w:rsidRPr="00AB0355">
        <w:t xml:space="preserve">poklese nákladov na poistné plnenia. </w:t>
      </w:r>
      <w:r>
        <w:t xml:space="preserve">Finančný výsledok </w:t>
      </w:r>
      <w:r w:rsidR="0068581E">
        <w:t>v </w:t>
      </w:r>
      <w:r>
        <w:t>neživotnom poistení zaznamenal pokles (</w:t>
      </w:r>
      <w:r>
        <w:noBreakHyphen/>
        <w:t>4</w:t>
      </w:r>
      <w:r w:rsidR="0068581E">
        <w:t>2 %</w:t>
      </w:r>
      <w:r>
        <w:t xml:space="preserve">, </w:t>
      </w:r>
      <w:r>
        <w:noBreakHyphen/>
      </w:r>
      <w:r w:rsidR="0068581E">
        <w:t>5 mil. €</w:t>
      </w:r>
      <w:r>
        <w:t>).</w:t>
      </w:r>
    </w:p>
    <w:p w14:paraId="6D68C040" w14:textId="0DF78A19" w:rsidR="00297A5B" w:rsidRDefault="00297A5B" w:rsidP="00297A5B">
      <w:r w:rsidRPr="00D2041A">
        <w:rPr>
          <w:b/>
          <w:bCs/>
        </w:rPr>
        <w:t xml:space="preserve">Negatívny príspevok </w:t>
      </w:r>
      <w:r w:rsidR="0068581E">
        <w:rPr>
          <w:b/>
          <w:bCs/>
        </w:rPr>
        <w:t>k </w:t>
      </w:r>
      <w:r w:rsidRPr="00D2041A">
        <w:rPr>
          <w:b/>
          <w:bCs/>
        </w:rPr>
        <w:t xml:space="preserve">zisku mal aj finančný výsledok </w:t>
      </w:r>
      <w:r w:rsidR="0068581E">
        <w:rPr>
          <w:b/>
          <w:bCs/>
        </w:rPr>
        <w:t>z </w:t>
      </w:r>
      <w:r w:rsidRPr="00D2041A">
        <w:rPr>
          <w:b/>
          <w:bCs/>
        </w:rPr>
        <w:t>investícií, ktoré nekryjú technické rezervy</w:t>
      </w:r>
      <w:r>
        <w:t xml:space="preserve">, ktorý zaznamenal medziročný pokles </w:t>
      </w:r>
      <w:r w:rsidR="0068581E">
        <w:t>o </w:t>
      </w:r>
      <w:r>
        <w:t>6</w:t>
      </w:r>
      <w:r w:rsidR="0068581E">
        <w:t>0 %</w:t>
      </w:r>
      <w:r>
        <w:t>, resp. </w:t>
      </w:r>
      <w:r>
        <w:noBreakHyphen/>
      </w:r>
      <w:r w:rsidR="0068581E">
        <w:t>7 mil. €</w:t>
      </w:r>
      <w:r>
        <w:t>.</w:t>
      </w:r>
    </w:p>
    <w:p w14:paraId="66A44CA9" w14:textId="73012AAB" w:rsidR="00297A5B" w:rsidRPr="00AB0355" w:rsidRDefault="00297A5B" w:rsidP="00297A5B">
      <w:r w:rsidRPr="00D2041A">
        <w:rPr>
          <w:b/>
          <w:bCs/>
        </w:rPr>
        <w:t xml:space="preserve">Finančný výsledok </w:t>
      </w:r>
      <w:r w:rsidR="0068581E">
        <w:rPr>
          <w:b/>
          <w:bCs/>
        </w:rPr>
        <w:t>v </w:t>
      </w:r>
      <w:r w:rsidRPr="00D2041A">
        <w:rPr>
          <w:b/>
          <w:bCs/>
        </w:rPr>
        <w:t xml:space="preserve">IŽP, ktorý nie je súčasťou hospodárskeho výsledku poisťovní, poklesol </w:t>
      </w:r>
      <w:r w:rsidR="0068581E">
        <w:rPr>
          <w:b/>
          <w:bCs/>
        </w:rPr>
        <w:t>z </w:t>
      </w:r>
      <w:r w:rsidRPr="00D2041A">
        <w:rPr>
          <w:b/>
          <w:bCs/>
        </w:rPr>
        <w:t>hodnoty 8</w:t>
      </w:r>
      <w:r w:rsidR="0068581E">
        <w:rPr>
          <w:b/>
          <w:bCs/>
        </w:rPr>
        <w:t>3 mil. €</w:t>
      </w:r>
      <w:r w:rsidRPr="00D2041A">
        <w:rPr>
          <w:b/>
          <w:bCs/>
        </w:rPr>
        <w:t xml:space="preserve"> </w:t>
      </w:r>
      <w:r w:rsidR="0068581E">
        <w:rPr>
          <w:b/>
          <w:bCs/>
        </w:rPr>
        <w:t>v </w:t>
      </w:r>
      <w:r w:rsidRPr="00D2041A">
        <w:rPr>
          <w:b/>
          <w:bCs/>
        </w:rPr>
        <w:t>júni 2019 na -7</w:t>
      </w:r>
      <w:r w:rsidR="0068581E">
        <w:rPr>
          <w:b/>
          <w:bCs/>
        </w:rPr>
        <w:t>3 mil. €</w:t>
      </w:r>
      <w:r w:rsidRPr="00D2041A">
        <w:rPr>
          <w:b/>
          <w:bCs/>
        </w:rPr>
        <w:t xml:space="preserve"> </w:t>
      </w:r>
      <w:r w:rsidR="0068581E">
        <w:rPr>
          <w:b/>
          <w:bCs/>
        </w:rPr>
        <w:t>v </w:t>
      </w:r>
      <w:r w:rsidRPr="00D2041A">
        <w:rPr>
          <w:b/>
          <w:bCs/>
        </w:rPr>
        <w:t>júni 2020.</w:t>
      </w:r>
      <w:r w:rsidRPr="00AB0355">
        <w:t xml:space="preserve"> Vzhľadom na rizikovejší profil investícií </w:t>
      </w:r>
      <w:r w:rsidR="0068581E">
        <w:t>v </w:t>
      </w:r>
      <w:r w:rsidRPr="00AB0355">
        <w:t>IŽP</w:t>
      </w:r>
      <w:r>
        <w:t xml:space="preserve"> </w:t>
      </w:r>
      <w:r w:rsidR="0068581E">
        <w:t>v </w:t>
      </w:r>
      <w:r>
        <w:t xml:space="preserve">porovnaní </w:t>
      </w:r>
      <w:r w:rsidR="0068581E">
        <w:t>s </w:t>
      </w:r>
      <w:r>
        <w:t>klasickým životným poistením</w:t>
      </w:r>
      <w:r w:rsidRPr="00AB0355">
        <w:t xml:space="preserve"> je však vyššia medzi</w:t>
      </w:r>
      <w:r>
        <w:t>roč</w:t>
      </w:r>
      <w:r w:rsidRPr="00AB0355">
        <w:t xml:space="preserve">ná </w:t>
      </w:r>
      <w:proofErr w:type="spellStart"/>
      <w:r w:rsidRPr="00AB0355">
        <w:t>volatilita</w:t>
      </w:r>
      <w:proofErr w:type="spellEnd"/>
      <w:r w:rsidRPr="00AB0355">
        <w:t xml:space="preserve"> finančného výsledku </w:t>
      </w:r>
      <w:r>
        <w:t>prirodzená</w:t>
      </w:r>
      <w:r w:rsidRPr="00AB0355">
        <w:t>.</w:t>
      </w:r>
      <w:r>
        <w:t xml:space="preserve"> </w:t>
      </w:r>
    </w:p>
    <w:p w14:paraId="481DE183" w14:textId="122A68C6" w:rsidR="00297A5B" w:rsidRDefault="00297A5B" w:rsidP="00297A5B">
      <w:r w:rsidRPr="00D2041A">
        <w:rPr>
          <w:b/>
          <w:bCs/>
        </w:rPr>
        <w:t>Na daniach a odvodoch špecifických pre poisťovníctvo sektor zaplatil 5</w:t>
      </w:r>
      <w:r w:rsidR="0068581E">
        <w:rPr>
          <w:b/>
          <w:bCs/>
        </w:rPr>
        <w:t>2 mil. €</w:t>
      </w:r>
      <w:r w:rsidRPr="00D2041A">
        <w:rPr>
          <w:b/>
          <w:bCs/>
        </w:rPr>
        <w:t>,</w:t>
      </w:r>
      <w:r>
        <w:t xml:space="preserve"> či už ako súčasť agregátneho výkazu ziskov a strát (odvod časti poistného pri PZP: 1</w:t>
      </w:r>
      <w:r w:rsidR="0068581E">
        <w:t>5 mil. €</w:t>
      </w:r>
      <w:r>
        <w:t xml:space="preserve"> a osobitný odvod </w:t>
      </w:r>
      <w:r w:rsidR="0068581E">
        <w:t>z </w:t>
      </w:r>
      <w:r>
        <w:t xml:space="preserve">regulovaných odvetví: </w:t>
      </w:r>
      <w:r w:rsidR="0068581E">
        <w:t>6 mil. €</w:t>
      </w:r>
      <w:r>
        <w:t xml:space="preserve">) alebo mimo neho (daň </w:t>
      </w:r>
      <w:r w:rsidR="0068581E">
        <w:t>z </w:t>
      </w:r>
      <w:r>
        <w:t>neživotného poistenia: 3</w:t>
      </w:r>
      <w:r w:rsidR="0068581E">
        <w:t>0 mil. €</w:t>
      </w:r>
      <w:r>
        <w:t>).</w:t>
      </w:r>
    </w:p>
    <w:p w14:paraId="3D612A91" w14:textId="113C0CFE" w:rsidR="00297A5B" w:rsidRDefault="00297A5B" w:rsidP="00297A5B">
      <w:proofErr w:type="spellStart"/>
      <w:r w:rsidRPr="00D2041A">
        <w:rPr>
          <w:b/>
          <w:bCs/>
        </w:rPr>
        <w:t>Anualizovaný</w:t>
      </w:r>
      <w:proofErr w:type="spellEnd"/>
      <w:r w:rsidRPr="00D2041A">
        <w:rPr>
          <w:b/>
          <w:bCs/>
        </w:rPr>
        <w:t xml:space="preserve"> investičný výnos poistného sektora </w:t>
      </w:r>
      <w:r w:rsidR="0068581E">
        <w:rPr>
          <w:b/>
          <w:bCs/>
        </w:rPr>
        <w:t>v </w:t>
      </w:r>
      <w:r w:rsidRPr="00D2041A">
        <w:rPr>
          <w:b/>
          <w:bCs/>
        </w:rPr>
        <w:t>prvom polroku 2020 poklesol na 2,3</w:t>
      </w:r>
      <w:r w:rsidR="0068581E">
        <w:rPr>
          <w:b/>
          <w:bCs/>
        </w:rPr>
        <w:t>3 %</w:t>
      </w:r>
      <w:r w:rsidRPr="00D2041A">
        <w:rPr>
          <w:b/>
          <w:bCs/>
        </w:rPr>
        <w:t xml:space="preserve">, čo je </w:t>
      </w:r>
      <w:r w:rsidR="0068581E">
        <w:rPr>
          <w:b/>
          <w:bCs/>
        </w:rPr>
        <w:t>o </w:t>
      </w:r>
      <w:r w:rsidRPr="00D2041A">
        <w:rPr>
          <w:b/>
          <w:bCs/>
        </w:rPr>
        <w:t>0,</w:t>
      </w:r>
      <w:r w:rsidR="0068581E">
        <w:rPr>
          <w:b/>
          <w:bCs/>
        </w:rPr>
        <w:t>5 p. b.</w:t>
      </w:r>
      <w:r w:rsidRPr="00D2041A">
        <w:rPr>
          <w:b/>
          <w:bCs/>
        </w:rPr>
        <w:t xml:space="preserve"> menej než </w:t>
      </w:r>
      <w:r w:rsidR="0068581E">
        <w:rPr>
          <w:b/>
          <w:bCs/>
        </w:rPr>
        <w:t>v </w:t>
      </w:r>
      <w:r w:rsidRPr="00D2041A">
        <w:rPr>
          <w:b/>
          <w:bCs/>
        </w:rPr>
        <w:t>roku 2019.</w:t>
      </w:r>
      <w:r w:rsidRPr="00AB0355">
        <w:t xml:space="preserve"> Najnovší dostupný odhad priemernej garantovanej sadzby </w:t>
      </w:r>
      <w:r w:rsidR="0068581E">
        <w:t>v </w:t>
      </w:r>
      <w:r w:rsidRPr="00AB0355">
        <w:t xml:space="preserve">životnom poistení </w:t>
      </w:r>
      <w:r w:rsidR="0068581E">
        <w:t>k </w:t>
      </w:r>
      <w:r w:rsidRPr="00AB0355">
        <w:t>decembru 2019 predstavoval hodnotu 2,0</w:t>
      </w:r>
      <w:r w:rsidR="0068581E">
        <w:t>8 %</w:t>
      </w:r>
      <w:r w:rsidRPr="00AB0355">
        <w:rPr>
          <w:rStyle w:val="FootnoteReference"/>
        </w:rPr>
        <w:footnoteReference w:id="28"/>
      </w:r>
      <w:r w:rsidRPr="00AB0355">
        <w:t>.</w:t>
      </w:r>
      <w:r>
        <w:t xml:space="preserve"> </w:t>
      </w:r>
    </w:p>
    <w:p w14:paraId="4D3CD39A" w14:textId="77777777" w:rsidR="00EC2B89" w:rsidRPr="00D254C4" w:rsidRDefault="00EC2B89" w:rsidP="00EC2B89">
      <w:pPr>
        <w:pStyle w:val="Modrnadpis"/>
      </w:pPr>
      <w:r>
        <w:t>Pokles solventnosti sektora</w:t>
      </w:r>
    </w:p>
    <w:p w14:paraId="318E8859" w14:textId="5C698E38" w:rsidR="00EC2B89" w:rsidRDefault="00EC2B89" w:rsidP="00EC2B89">
      <w:r w:rsidRPr="007934CA">
        <w:rPr>
          <w:b/>
          <w:bCs/>
        </w:rPr>
        <w:t>Ukazovateľ SCR poklesol na 17</w:t>
      </w:r>
      <w:r w:rsidR="0068581E">
        <w:rPr>
          <w:b/>
          <w:bCs/>
        </w:rPr>
        <w:t>7 %</w:t>
      </w:r>
      <w:r w:rsidRPr="007934CA">
        <w:rPr>
          <w:b/>
          <w:bCs/>
        </w:rPr>
        <w:t xml:space="preserve">, čo je </w:t>
      </w:r>
      <w:r w:rsidR="0068581E">
        <w:rPr>
          <w:b/>
          <w:bCs/>
        </w:rPr>
        <w:t>o </w:t>
      </w:r>
      <w:r w:rsidRPr="007934CA">
        <w:rPr>
          <w:b/>
          <w:bCs/>
        </w:rPr>
        <w:t>1</w:t>
      </w:r>
      <w:r w:rsidR="0068581E">
        <w:rPr>
          <w:b/>
          <w:bCs/>
        </w:rPr>
        <w:t>8 p. b.</w:t>
      </w:r>
      <w:r w:rsidRPr="007934CA">
        <w:rPr>
          <w:b/>
          <w:bCs/>
        </w:rPr>
        <w:t xml:space="preserve"> menej než na konci roka 2019. </w:t>
      </w:r>
      <w:r w:rsidRPr="00EE1C2B">
        <w:t xml:space="preserve">Išlo </w:t>
      </w:r>
      <w:r w:rsidR="0068581E">
        <w:t>o </w:t>
      </w:r>
      <w:r w:rsidRPr="00EE1C2B">
        <w:t xml:space="preserve">dôsledok tak nárastu kapitálovej požiadavky na solventnosť, ako aj poklesu objemu použiteľných vlastných zdrojov. </w:t>
      </w:r>
      <w:r w:rsidR="0068581E">
        <w:t>K </w:t>
      </w:r>
      <w:r w:rsidRPr="00EE1C2B">
        <w:t xml:space="preserve">poklesu došlo takmer vo všetkých poisťovniach. </w:t>
      </w:r>
      <w:r>
        <w:t xml:space="preserve">Výsledný interval ukazovateľov SCR </w:t>
      </w:r>
      <w:r w:rsidR="0068581E">
        <w:t>v </w:t>
      </w:r>
      <w:r>
        <w:t xml:space="preserve">jednotlivých </w:t>
      </w:r>
      <w:r w:rsidR="001E6315">
        <w:t xml:space="preserve">poisťovniach </w:t>
      </w:r>
      <w:r>
        <w:t>predstavoval rozmedzie od 13</w:t>
      </w:r>
      <w:r w:rsidR="0068581E">
        <w:t>1 %</w:t>
      </w:r>
      <w:r>
        <w:t xml:space="preserve"> do 29</w:t>
      </w:r>
      <w:r w:rsidR="0068581E">
        <w:t>2 %</w:t>
      </w:r>
      <w:r>
        <w:t xml:space="preserve">. Podiel očakávaných ziskov </w:t>
      </w:r>
      <w:r w:rsidR="0068581E">
        <w:t>z </w:t>
      </w:r>
      <w:r>
        <w:t>budúceho poistného (tzv. EPIFP) vzrástol počas prvého polroka 2019 zo 4</w:t>
      </w:r>
      <w:r w:rsidR="0068581E">
        <w:t>9 %</w:t>
      </w:r>
      <w:r>
        <w:t xml:space="preserve"> na 5</w:t>
      </w:r>
      <w:r w:rsidR="0068581E">
        <w:t>9 %</w:t>
      </w:r>
      <w:r>
        <w:t xml:space="preserve">. </w:t>
      </w:r>
      <w:r w:rsidR="0068581E">
        <w:t>V </w:t>
      </w:r>
      <w:r>
        <w:t xml:space="preserve">prípade preradenia EPIFP do </w:t>
      </w:r>
      <w:proofErr w:type="spellStart"/>
      <w:r>
        <w:t>Tier</w:t>
      </w:r>
      <w:proofErr w:type="spellEnd"/>
      <w:r>
        <w:t xml:space="preserve"> 3, kam svojou povahou náležia, by sektorový ukazovateľ SCR dosahoval iba 8</w:t>
      </w:r>
      <w:r w:rsidR="0068581E">
        <w:t>8 %</w:t>
      </w:r>
      <w:r>
        <w:t xml:space="preserve">. Zvýšil sa tiež počet poisťovní, ktoré by </w:t>
      </w:r>
      <w:r w:rsidR="0068581E">
        <w:t>v </w:t>
      </w:r>
      <w:r>
        <w:t xml:space="preserve">takom prípade boli pod </w:t>
      </w:r>
      <w:proofErr w:type="spellStart"/>
      <w:r>
        <w:t>regulatórnou</w:t>
      </w:r>
      <w:proofErr w:type="spellEnd"/>
      <w:r>
        <w:t xml:space="preserve"> hranicou ukazovateľa SCR 10</w:t>
      </w:r>
      <w:r w:rsidR="0068581E">
        <w:t>0 %</w:t>
      </w:r>
      <w:r>
        <w:t xml:space="preserve">, a to zo 4 na 5. Niektoré </w:t>
      </w:r>
      <w:r w:rsidR="0068581E">
        <w:t>z </w:t>
      </w:r>
      <w:r>
        <w:t xml:space="preserve">nich by </w:t>
      </w:r>
      <w:proofErr w:type="spellStart"/>
      <w:r>
        <w:t>regulatórne</w:t>
      </w:r>
      <w:proofErr w:type="spellEnd"/>
      <w:r>
        <w:t xml:space="preserve"> minimum napĺňali len asi na 3</w:t>
      </w:r>
      <w:r w:rsidR="0068581E">
        <w:t>0 %</w:t>
      </w:r>
      <w:r>
        <w:t xml:space="preserve"> až 4</w:t>
      </w:r>
      <w:r w:rsidR="0068581E">
        <w:t>0 %</w:t>
      </w:r>
      <w:r>
        <w:t>.</w:t>
      </w:r>
    </w:p>
    <w:p w14:paraId="44118A29" w14:textId="27735A34" w:rsidR="00EC2B89" w:rsidRDefault="00EC2B89" w:rsidP="00EC2B89">
      <w:r>
        <w:t xml:space="preserve">Ukazovateľ MCR poklesol </w:t>
      </w:r>
      <w:r w:rsidR="0068581E">
        <w:t>v </w:t>
      </w:r>
      <w:r>
        <w:t xml:space="preserve">sledovanom období </w:t>
      </w:r>
      <w:r w:rsidR="0068581E">
        <w:t>z </w:t>
      </w:r>
      <w:r>
        <w:t>51</w:t>
      </w:r>
      <w:r w:rsidR="0068581E">
        <w:t>3 %</w:t>
      </w:r>
      <w:r>
        <w:t xml:space="preserve"> na 48</w:t>
      </w:r>
      <w:r w:rsidR="0068581E">
        <w:t>9 %</w:t>
      </w:r>
      <w:r>
        <w:t xml:space="preserve">, </w:t>
      </w:r>
      <w:r w:rsidR="0068581E">
        <w:t>v </w:t>
      </w:r>
      <w:r>
        <w:t>tomto prípade sa požiadavka prakticky nemenila.</w:t>
      </w:r>
    </w:p>
    <w:p w14:paraId="160C2CF0" w14:textId="6495E78C" w:rsidR="00297A5B" w:rsidRDefault="0068581E" w:rsidP="00297A5B">
      <w:pPr>
        <w:spacing w:after="0"/>
        <w:rPr>
          <w:szCs w:val="20"/>
        </w:rPr>
      </w:pPr>
      <w:r>
        <w:t>V </w:t>
      </w:r>
      <w:r w:rsidR="00297A5B">
        <w:t xml:space="preserve">záujme posilnenia odolnosti sektora poisťovní NBS vydala odporúčanie </w:t>
      </w:r>
      <w:r>
        <w:t>č. </w:t>
      </w:r>
      <w:r w:rsidR="00297A5B">
        <w:t xml:space="preserve">1/2020, ktorým odporúča nielen bankám, ale aj najväčším poisťovniam nevyplácať dividendy do konca roka 2020. Zníženie objemu vlastných zdrojov </w:t>
      </w:r>
      <w:r>
        <w:t>v </w:t>
      </w:r>
      <w:r w:rsidR="00297A5B">
        <w:t xml:space="preserve">sektore nastalo ešte pred vydaním odporúčania. </w:t>
      </w:r>
    </w:p>
    <w:p w14:paraId="6FEE19D6" w14:textId="77777777" w:rsidR="00EC2B89" w:rsidRDefault="00EC2B89" w:rsidP="00EC2B89">
      <w:pPr>
        <w:pStyle w:val="Modrnadpis"/>
      </w:pPr>
      <w:r>
        <w:lastRenderedPageBreak/>
        <w:t>Pokles predpísaného poistného životného poistenia</w:t>
      </w:r>
    </w:p>
    <w:p w14:paraId="1C6229DF" w14:textId="0B5EF697" w:rsidR="00EC2B89" w:rsidRDefault="00EC2B89" w:rsidP="00EC2B89">
      <w:r w:rsidRPr="007F24B3">
        <w:rPr>
          <w:b/>
          <w:bCs/>
        </w:rPr>
        <w:t xml:space="preserve">Hrubé predpísané poistné </w:t>
      </w:r>
      <w:r w:rsidR="0068581E">
        <w:rPr>
          <w:b/>
          <w:bCs/>
        </w:rPr>
        <w:t>v </w:t>
      </w:r>
      <w:r w:rsidRPr="007F24B3">
        <w:rPr>
          <w:b/>
          <w:bCs/>
        </w:rPr>
        <w:t>klasickom životnom poistení</w:t>
      </w:r>
      <w:r>
        <w:rPr>
          <w:b/>
          <w:bCs/>
        </w:rPr>
        <w:t xml:space="preserve"> medziročne pokleslo </w:t>
      </w:r>
      <w:r w:rsidR="0068581E">
        <w:rPr>
          <w:b/>
          <w:bCs/>
        </w:rPr>
        <w:t>o </w:t>
      </w:r>
      <w:r>
        <w:rPr>
          <w:b/>
          <w:bCs/>
        </w:rPr>
        <w:t>9,</w:t>
      </w:r>
      <w:r w:rsidR="0068581E">
        <w:rPr>
          <w:b/>
          <w:bCs/>
        </w:rPr>
        <w:t>5 %</w:t>
      </w:r>
      <w:r>
        <w:rPr>
          <w:b/>
          <w:bCs/>
        </w:rPr>
        <w:t xml:space="preserve">. </w:t>
      </w:r>
      <w:r>
        <w:t>Podobný pokles (8,</w:t>
      </w:r>
      <w:r w:rsidR="0068581E">
        <w:t>9 %</w:t>
      </w:r>
      <w:r>
        <w:t xml:space="preserve">) nastal naposledy </w:t>
      </w:r>
      <w:r w:rsidR="0068581E">
        <w:t>v </w:t>
      </w:r>
      <w:r>
        <w:t>polovici roka 2018, keď sa rastový trend otočil. Odvtedy malo predpísané poistné miernejšie, no stále klesajúce tendencie. Podiel klasického životného poistenia na životnom poistení celkom poklesol na 6</w:t>
      </w:r>
      <w:r w:rsidR="0068581E">
        <w:t>6 %</w:t>
      </w:r>
      <w:r>
        <w:t>, pričom okolo konca roka 2017 ešte dosahoval 7</w:t>
      </w:r>
      <w:r w:rsidR="0068581E">
        <w:t>5 %</w:t>
      </w:r>
      <w:r>
        <w:t>.</w:t>
      </w:r>
    </w:p>
    <w:p w14:paraId="7CECFEB0" w14:textId="2709E810" w:rsidR="00EC2B89" w:rsidRDefault="00EC2B89" w:rsidP="00EC2B89">
      <w:r w:rsidRPr="00156E2B">
        <w:rPr>
          <w:b/>
          <w:bCs/>
        </w:rPr>
        <w:t>Aj </w:t>
      </w:r>
      <w:r w:rsidR="0068581E">
        <w:rPr>
          <w:b/>
          <w:bCs/>
        </w:rPr>
        <w:t>v </w:t>
      </w:r>
      <w:r w:rsidRPr="00156E2B">
        <w:rPr>
          <w:b/>
          <w:bCs/>
        </w:rPr>
        <w:t xml:space="preserve">investičnom životnom poistení došlo </w:t>
      </w:r>
      <w:r w:rsidR="0068581E">
        <w:rPr>
          <w:b/>
          <w:bCs/>
        </w:rPr>
        <w:t>k </w:t>
      </w:r>
      <w:r w:rsidRPr="00156E2B">
        <w:rPr>
          <w:b/>
          <w:bCs/>
        </w:rPr>
        <w:t>obdobnému medziročnému poklesu hrubého predpísaného poistného</w:t>
      </w:r>
      <w:r>
        <w:t xml:space="preserve"> (-9,</w:t>
      </w:r>
      <w:r w:rsidR="0068581E">
        <w:t>9 %</w:t>
      </w:r>
      <w:r>
        <w:t xml:space="preserve">). Postupné spomaľovanie tempa rastu bolo prítomné už od roku 2018, no do záporných čísel sa preklopilo až </w:t>
      </w:r>
      <w:r w:rsidR="0068581E">
        <w:t>v </w:t>
      </w:r>
      <w:r>
        <w:t>marci 2020. Podiel IŽP na životnom poistení mierne klesol na 2</w:t>
      </w:r>
      <w:r w:rsidR="0068581E">
        <w:t>4 %</w:t>
      </w:r>
      <w:r>
        <w:t>.</w:t>
      </w:r>
    </w:p>
    <w:p w14:paraId="2AF3AC5C" w14:textId="48663A9F" w:rsidR="00EC2B89" w:rsidRDefault="00EC2B89" w:rsidP="00EC2B89">
      <w:r w:rsidRPr="00156E2B">
        <w:rPr>
          <w:b/>
          <w:bCs/>
        </w:rPr>
        <w:t xml:space="preserve">Ostatné odvetvia životného poistenia, zastúpené </w:t>
      </w:r>
      <w:r w:rsidR="0068581E">
        <w:rPr>
          <w:b/>
          <w:bCs/>
        </w:rPr>
        <w:t>v </w:t>
      </w:r>
      <w:r w:rsidRPr="00156E2B">
        <w:rPr>
          <w:b/>
          <w:bCs/>
        </w:rPr>
        <w:t>prevažnej miere zdravotným poistením, zaznamenali medziročný rast 2</w:t>
      </w:r>
      <w:r w:rsidR="0068581E">
        <w:rPr>
          <w:b/>
          <w:bCs/>
        </w:rPr>
        <w:t>7 %</w:t>
      </w:r>
      <w:r>
        <w:t>, ich podiel na životnom poistení stúpol na 1</w:t>
      </w:r>
      <w:r w:rsidR="0068581E">
        <w:t>0 %</w:t>
      </w:r>
      <w:r>
        <w:t xml:space="preserve">. Podiel zaistenia životného poistenia vzrástol na </w:t>
      </w:r>
      <w:r w:rsidR="0068581E">
        <w:t>6 %</w:t>
      </w:r>
      <w:r>
        <w:t xml:space="preserve">. Údaje </w:t>
      </w:r>
      <w:r w:rsidR="0068581E">
        <w:t>o </w:t>
      </w:r>
      <w:proofErr w:type="spellStart"/>
      <w:r>
        <w:t>odkupoch</w:t>
      </w:r>
      <w:proofErr w:type="spellEnd"/>
      <w:r>
        <w:t xml:space="preserve"> za sledované obdobie neboli </w:t>
      </w:r>
      <w:r w:rsidR="0068581E">
        <w:t>v </w:t>
      </w:r>
      <w:r>
        <w:t xml:space="preserve">čase prípravy správy </w:t>
      </w:r>
      <w:r w:rsidR="0068581E">
        <w:t>k </w:t>
      </w:r>
      <w:r>
        <w:t>dispozíci</w:t>
      </w:r>
      <w:r w:rsidR="00153F33">
        <w:t>i</w:t>
      </w:r>
      <w:r>
        <w:t>.</w:t>
      </w:r>
    </w:p>
    <w:p w14:paraId="61281A2A" w14:textId="3CEEF609" w:rsidR="00EC2B89" w:rsidRPr="00A261FB" w:rsidRDefault="00EC2B89" w:rsidP="00EC2B89">
      <w:r w:rsidRPr="00A261FB">
        <w:rPr>
          <w:b/>
          <w:bCs/>
        </w:rPr>
        <w:t>Nižši</w:t>
      </w:r>
      <w:r w:rsidR="00153F33">
        <w:rPr>
          <w:b/>
          <w:bCs/>
        </w:rPr>
        <w:t>u</w:t>
      </w:r>
      <w:r w:rsidRPr="00A261FB">
        <w:rPr>
          <w:b/>
          <w:bCs/>
        </w:rPr>
        <w:t xml:space="preserve"> produkci</w:t>
      </w:r>
      <w:r w:rsidR="00153F33">
        <w:rPr>
          <w:b/>
          <w:bCs/>
        </w:rPr>
        <w:t>u</w:t>
      </w:r>
      <w:r w:rsidRPr="00A261FB">
        <w:rPr>
          <w:b/>
          <w:bCs/>
        </w:rPr>
        <w:t xml:space="preserve"> životného poist</w:t>
      </w:r>
      <w:r>
        <w:rPr>
          <w:b/>
          <w:bCs/>
        </w:rPr>
        <w:t>e</w:t>
      </w:r>
      <w:r w:rsidRPr="00A261FB">
        <w:rPr>
          <w:b/>
          <w:bCs/>
        </w:rPr>
        <w:t xml:space="preserve">nia, či dokonca zvýšený </w:t>
      </w:r>
      <w:proofErr w:type="spellStart"/>
      <w:r w:rsidRPr="00A261FB">
        <w:rPr>
          <w:b/>
          <w:bCs/>
        </w:rPr>
        <w:t>odkup</w:t>
      </w:r>
      <w:proofErr w:type="spellEnd"/>
      <w:r w:rsidRPr="00A261FB">
        <w:rPr>
          <w:b/>
          <w:bCs/>
        </w:rPr>
        <w:t xml:space="preserve"> existujúcich zmlúv, možno považovať za jeden </w:t>
      </w:r>
      <w:r w:rsidR="0068581E">
        <w:rPr>
          <w:b/>
          <w:bCs/>
        </w:rPr>
        <w:t>z </w:t>
      </w:r>
      <w:r w:rsidRPr="00A261FB">
        <w:rPr>
          <w:b/>
          <w:bCs/>
        </w:rPr>
        <w:t>dôsledkov pandémie COVID-19.</w:t>
      </w:r>
      <w:r>
        <w:t xml:space="preserve"> Materializovali sa tak riziká vyplývajúce zo zníženia disponibilného príjmu domácností, ako aj obmedzenia kontaktu predajcov </w:t>
      </w:r>
      <w:r w:rsidR="0068581E">
        <w:t>s </w:t>
      </w:r>
      <w:r>
        <w:t>potenciálnymi klientmi.</w:t>
      </w:r>
    </w:p>
    <w:p w14:paraId="5A80A7CE" w14:textId="597A3C14" w:rsidR="00EC2B89" w:rsidRDefault="00EC2B89" w:rsidP="00EC2B89">
      <w:pPr>
        <w:pStyle w:val="Modrnadpis"/>
      </w:pPr>
      <w:r>
        <w:t xml:space="preserve">Spomalenie rastu a úspora nákladov </w:t>
      </w:r>
      <w:r w:rsidR="0068581E">
        <w:t>v </w:t>
      </w:r>
      <w:r>
        <w:t>neživotnom poistení</w:t>
      </w:r>
      <w:r>
        <w:rPr>
          <w:rStyle w:val="FootnoteReference"/>
        </w:rPr>
        <w:footnoteReference w:id="29"/>
      </w:r>
    </w:p>
    <w:p w14:paraId="14B26EEB" w14:textId="7E8B1C03" w:rsidR="00EC2B89" w:rsidRDefault="00EC2B89" w:rsidP="00EC2B89">
      <w:r w:rsidRPr="009F5F2D">
        <w:rPr>
          <w:b/>
          <w:bCs/>
        </w:rPr>
        <w:t xml:space="preserve">Hrubé predpísané poistné </w:t>
      </w:r>
      <w:r w:rsidR="0068581E">
        <w:rPr>
          <w:b/>
          <w:bCs/>
        </w:rPr>
        <w:t>v </w:t>
      </w:r>
      <w:r>
        <w:rPr>
          <w:b/>
          <w:bCs/>
        </w:rPr>
        <w:t xml:space="preserve">neživotnom poistení naďalej spomaľovalo rast a medziročne tak stúplo len </w:t>
      </w:r>
      <w:r w:rsidR="0068581E">
        <w:rPr>
          <w:b/>
          <w:bCs/>
        </w:rPr>
        <w:t>o </w:t>
      </w:r>
      <w:r>
        <w:rPr>
          <w:b/>
          <w:bCs/>
        </w:rPr>
        <w:t>2,</w:t>
      </w:r>
      <w:r w:rsidR="0068581E">
        <w:rPr>
          <w:b/>
          <w:bCs/>
        </w:rPr>
        <w:t>4 %</w:t>
      </w:r>
      <w:r>
        <w:rPr>
          <w:b/>
          <w:bCs/>
        </w:rPr>
        <w:t xml:space="preserve">. </w:t>
      </w:r>
      <w:r w:rsidRPr="00B70582">
        <w:t>Najvýznamnej</w:t>
      </w:r>
      <w:r>
        <w:t>šie</w:t>
      </w:r>
      <w:r w:rsidRPr="00B70582">
        <w:t xml:space="preserve"> odvetvi</w:t>
      </w:r>
      <w:r w:rsidR="00153F33">
        <w:t>e</w:t>
      </w:r>
      <w:r w:rsidRPr="00B70582">
        <w:t>, t.</w:t>
      </w:r>
      <w:r w:rsidR="00153F33">
        <w:t> </w:t>
      </w:r>
      <w:r w:rsidRPr="00B70582">
        <w:t>j. poistenie áut, pritom dosiahl</w:t>
      </w:r>
      <w:r w:rsidR="00153F33">
        <w:t>o</w:t>
      </w:r>
      <w:r w:rsidRPr="00B70582">
        <w:t xml:space="preserve">  </w:t>
      </w:r>
      <w:r>
        <w:t xml:space="preserve">relatívne dobré výsledky </w:t>
      </w:r>
      <w:r w:rsidR="0068581E">
        <w:t>s </w:t>
      </w:r>
      <w:r>
        <w:t>rastom 2,</w:t>
      </w:r>
      <w:r w:rsidR="0068581E">
        <w:t>9 %</w:t>
      </w:r>
      <w:r>
        <w:t xml:space="preserve"> (PZP), resp. 5,</w:t>
      </w:r>
      <w:r w:rsidR="0068581E">
        <w:t>7 %</w:t>
      </w:r>
      <w:r>
        <w:t xml:space="preserve"> (havarijné poistenie). Naopak, poistenie majetku medziročne stratilo 0,</w:t>
      </w:r>
      <w:r w:rsidR="0068581E">
        <w:t>5 %</w:t>
      </w:r>
      <w:r>
        <w:t>, Najvýraznejšie poklesy zaznamenali malé odvetvia poistenia liečebných nákladov (</w:t>
      </w:r>
      <w:r>
        <w:noBreakHyphen/>
        <w:t>26,</w:t>
      </w:r>
      <w:r w:rsidR="0068581E">
        <w:t>8 %</w:t>
      </w:r>
      <w:r>
        <w:t>), námorného, leteckého a dopravného poistenia (-18,</w:t>
      </w:r>
      <w:r w:rsidR="0068581E">
        <w:t>0 %</w:t>
      </w:r>
      <w:r>
        <w:t>) a asistenčných služieb (-21,</w:t>
      </w:r>
      <w:r w:rsidR="0068581E">
        <w:t>7 %</w:t>
      </w:r>
      <w:r>
        <w:t xml:space="preserve">). Tieto poklesy možno spojiť </w:t>
      </w:r>
      <w:r w:rsidR="0068581E">
        <w:t>s </w:t>
      </w:r>
      <w:r>
        <w:t xml:space="preserve">pandémiou COVID-19, a to najmä cez obmedzenie cestovania </w:t>
      </w:r>
      <w:r w:rsidR="00153F33">
        <w:t>a</w:t>
      </w:r>
      <w:r>
        <w:t> súvisiaci pokles dopytu po cestovnom poistení.</w:t>
      </w:r>
    </w:p>
    <w:p w14:paraId="1C55E220" w14:textId="3A8CECCD" w:rsidR="00EC2B89" w:rsidRDefault="00EC2B89" w:rsidP="00EC2B89">
      <w:r w:rsidRPr="00C2475D">
        <w:rPr>
          <w:b/>
          <w:bCs/>
        </w:rPr>
        <w:t>Kombinované ukazovatele (netto) zaznamenali výnimočne dobré</w:t>
      </w:r>
      <w:r w:rsidR="00716018">
        <w:rPr>
          <w:b/>
          <w:bCs/>
        </w:rPr>
        <w:t>, hoci zrejme jednorazové</w:t>
      </w:r>
      <w:r w:rsidRPr="00C2475D">
        <w:rPr>
          <w:b/>
          <w:bCs/>
        </w:rPr>
        <w:t xml:space="preserve"> obdobie.</w:t>
      </w:r>
      <w:r>
        <w:t xml:space="preserve"> </w:t>
      </w:r>
      <w:r w:rsidR="0068581E">
        <w:t>V </w:t>
      </w:r>
      <w:r>
        <w:t>poistení áut poklesli na 90,</w:t>
      </w:r>
      <w:r w:rsidR="0068581E">
        <w:t>2 %</w:t>
      </w:r>
      <w:r>
        <w:t>, po započítaní odvodu MV SR a príspevku SKP by hodnota stúpla na 94,</w:t>
      </w:r>
      <w:r w:rsidR="0068581E">
        <w:t>1 %</w:t>
      </w:r>
      <w:r>
        <w:t>. Po viacerých rokoch je tak ich hodnota pod úrovňou 10</w:t>
      </w:r>
      <w:r w:rsidR="0068581E">
        <w:t>0 %</w:t>
      </w:r>
      <w:r>
        <w:t xml:space="preserve">. Prispel </w:t>
      </w:r>
      <w:r w:rsidR="0068581E">
        <w:t>k </w:t>
      </w:r>
      <w:r>
        <w:t xml:space="preserve">tomu najmä pokles nákladov na poistné plnenia </w:t>
      </w:r>
      <w:r w:rsidR="0068581E">
        <w:t>v </w:t>
      </w:r>
      <w:r>
        <w:t>druhom štvrťroku, čiže počas zníženej cestovne</w:t>
      </w:r>
      <w:r w:rsidR="00153F33">
        <w:t>j</w:t>
      </w:r>
      <w:r>
        <w:t xml:space="preserve"> aktivity obyvateľstva </w:t>
      </w:r>
      <w:r w:rsidR="0068581E">
        <w:t>v </w:t>
      </w:r>
      <w:r>
        <w:t>celoplošnej karanténe.</w:t>
      </w:r>
      <w:r w:rsidR="00716018">
        <w:t xml:space="preserve"> Ide teda zrejme iba o jednorazovú udalosť.</w:t>
      </w:r>
      <w:r>
        <w:t xml:space="preserve"> </w:t>
      </w:r>
      <w:r>
        <w:lastRenderedPageBreak/>
        <w:t xml:space="preserve">Naopak, </w:t>
      </w:r>
      <w:r w:rsidR="0068581E">
        <w:t>v </w:t>
      </w:r>
      <w:r>
        <w:t xml:space="preserve">poistení majetku kombinovaný ukazovateľ stúpol </w:t>
      </w:r>
      <w:r w:rsidR="0068581E">
        <w:t>z </w:t>
      </w:r>
      <w:r>
        <w:t>8</w:t>
      </w:r>
      <w:r w:rsidR="0068581E">
        <w:t>4 %</w:t>
      </w:r>
      <w:r>
        <w:t xml:space="preserve"> na 8</w:t>
      </w:r>
      <w:r w:rsidR="0068581E">
        <w:t>7 %</w:t>
      </w:r>
      <w:r>
        <w:t xml:space="preserve">, čo je však stále bezpečne </w:t>
      </w:r>
      <w:r w:rsidR="001A399E">
        <w:t>ďaleko od</w:t>
      </w:r>
      <w:r>
        <w:t xml:space="preserve"> hranic</w:t>
      </w:r>
      <w:r w:rsidR="001A399E">
        <w:t>e</w:t>
      </w:r>
      <w:r>
        <w:t xml:space="preserve"> efektívnosti odvetvia. </w:t>
      </w:r>
    </w:p>
    <w:p w14:paraId="25D0944F" w14:textId="290C7AC3" w:rsidR="00EC2B89" w:rsidRDefault="00EC2B89" w:rsidP="007A1EB1">
      <w:pPr>
        <w:pStyle w:val="Nadpisgrafu"/>
      </w:pPr>
      <w:r>
        <w:t xml:space="preserve">Graf </w:t>
      </w:r>
      <w:fldSimple w:instr=" SEQ Graf \* ARABIC ">
        <w:r w:rsidR="00A02A40">
          <w:rPr>
            <w:noProof/>
          </w:rPr>
          <w:t>21</w:t>
        </w:r>
      </w:fldSimple>
      <w:r>
        <w:t xml:space="preserve"> </w:t>
      </w:r>
      <w:proofErr w:type="spellStart"/>
      <w:r>
        <w:t>Škodovosť</w:t>
      </w:r>
      <w:proofErr w:type="spellEnd"/>
      <w:r>
        <w:t>, nákladovosť a kombinovaný ukazovateľ vybraných odvetví neživotného poistenia</w:t>
      </w:r>
    </w:p>
    <w:p w14:paraId="4DD65465" w14:textId="77777777" w:rsidR="00EC2B89" w:rsidRDefault="00EC2B89" w:rsidP="00EC2B89">
      <w:pPr>
        <w:pStyle w:val="Podgrafom"/>
      </w:pPr>
      <w:r>
        <w:rPr>
          <w:noProof/>
        </w:rPr>
        <w:drawing>
          <wp:inline distT="0" distB="0" distL="0" distR="0" wp14:anchorId="47A9E69F" wp14:editId="3F865E4C">
            <wp:extent cx="4679950" cy="2445489"/>
            <wp:effectExtent l="0" t="0" r="6350" b="0"/>
            <wp:docPr id="14" name="Chart 14">
              <a:extLst xmlns:a="http://schemas.openxmlformats.org/drawingml/2006/main">
                <a:ext uri="{FF2B5EF4-FFF2-40B4-BE49-F238E27FC236}">
                  <a16:creationId xmlns:a16="http://schemas.microsoft.com/office/drawing/2014/main" id="{87D1C01A-8E46-4A8A-A8E7-F8B640F87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707B49" w14:textId="77777777" w:rsidR="00EC2B89" w:rsidRDefault="00EC2B89" w:rsidP="00EC2B89">
      <w:pPr>
        <w:pStyle w:val="Podgrafom"/>
      </w:pPr>
      <w:r>
        <w:t>Zdroj: NBS</w:t>
      </w:r>
    </w:p>
    <w:p w14:paraId="20367C22" w14:textId="7A8EAFA8" w:rsidR="00EC2B89" w:rsidRDefault="002F30DB" w:rsidP="00EC2B89">
      <w:pPr>
        <w:pStyle w:val="Podgrafom"/>
      </w:pPr>
      <w:r>
        <w:t>Poznámka: Poistenie áut zahŕňa povinné zmluvné poistenie a havarijné poistenie.</w:t>
      </w:r>
      <w:r w:rsidR="00E21400">
        <w:t xml:space="preserve"> H1</w:t>
      </w:r>
      <w:r w:rsidR="00D91E25">
        <w:t> </w:t>
      </w:r>
      <w:r w:rsidR="00E21400">
        <w:t>–</w:t>
      </w:r>
      <w:r w:rsidR="00D91E25">
        <w:t> </w:t>
      </w:r>
      <w:r w:rsidR="00E21400">
        <w:t>1. polrok.</w:t>
      </w:r>
    </w:p>
    <w:p w14:paraId="11901091" w14:textId="77777777" w:rsidR="002F30DB" w:rsidRDefault="002F30DB" w:rsidP="00EC2B89">
      <w:pPr>
        <w:pStyle w:val="Podgrafom"/>
      </w:pPr>
    </w:p>
    <w:p w14:paraId="12B7433B" w14:textId="4BF0A480" w:rsidR="0034469C" w:rsidRDefault="0068581E" w:rsidP="0034469C">
      <w:r>
        <w:rPr>
          <w:b/>
          <w:bCs/>
        </w:rPr>
        <w:t>Z </w:t>
      </w:r>
      <w:r w:rsidR="0034469C" w:rsidRPr="00D539E1">
        <w:rPr>
          <w:b/>
          <w:bCs/>
        </w:rPr>
        <w:t>menších odvetví bol kombinovaný ukazovateľ dostatočne vzdialený od 10</w:t>
      </w:r>
      <w:r>
        <w:rPr>
          <w:b/>
          <w:bCs/>
        </w:rPr>
        <w:t>0 %</w:t>
      </w:r>
      <w:r w:rsidR="0034469C" w:rsidRPr="00D539E1">
        <w:rPr>
          <w:b/>
          <w:bCs/>
        </w:rPr>
        <w:t xml:space="preserve"> hranice </w:t>
      </w:r>
      <w:r>
        <w:rPr>
          <w:b/>
          <w:bCs/>
        </w:rPr>
        <w:t>v </w:t>
      </w:r>
      <w:r w:rsidR="0034469C" w:rsidRPr="00D539E1">
        <w:rPr>
          <w:b/>
          <w:bCs/>
        </w:rPr>
        <w:t>takmer všetkých prípadoch.</w:t>
      </w:r>
      <w:r w:rsidR="0034469C">
        <w:t xml:space="preserve"> Výnimkou bolo poistenie úveru a kaucie, kde</w:t>
      </w:r>
      <w:r w:rsidR="00153F33">
        <w:t xml:space="preserve"> </w:t>
      </w:r>
      <w:r>
        <w:t>v </w:t>
      </w:r>
      <w:r w:rsidR="0034469C">
        <w:t>druhom štvrťroku vystúpil na 23</w:t>
      </w:r>
      <w:r>
        <w:t>3 %</w:t>
      </w:r>
      <w:r w:rsidR="0034469C">
        <w:t xml:space="preserve">. Aj keď zrejme ide </w:t>
      </w:r>
      <w:r>
        <w:t>o </w:t>
      </w:r>
      <w:r w:rsidR="0034469C">
        <w:t xml:space="preserve">jeden </w:t>
      </w:r>
      <w:r>
        <w:t>z </w:t>
      </w:r>
      <w:r w:rsidR="0034469C">
        <w:t xml:space="preserve">dôsledkov pandémie a zníženia schopnosti splácať úvery, kombinovaný ukazovateľ </w:t>
      </w:r>
      <w:r>
        <w:t>v </w:t>
      </w:r>
      <w:r w:rsidR="0034469C">
        <w:t xml:space="preserve">tomto poistnom odvetví dlhodobo vykazuje vyššiu </w:t>
      </w:r>
      <w:proofErr w:type="spellStart"/>
      <w:r w:rsidR="0034469C">
        <w:t>volatilitu</w:t>
      </w:r>
      <w:proofErr w:type="spellEnd"/>
      <w:r w:rsidR="0034469C">
        <w:t xml:space="preserve">. Ide však </w:t>
      </w:r>
      <w:r>
        <w:t>o </w:t>
      </w:r>
      <w:r w:rsidR="0034469C">
        <w:t xml:space="preserve">okrajové odvetvie, ktorého podiel na technickom výsledku </w:t>
      </w:r>
      <w:r>
        <w:t>z </w:t>
      </w:r>
      <w:r w:rsidR="0034469C">
        <w:t xml:space="preserve">neživotného poistenia </w:t>
      </w:r>
      <w:r>
        <w:t>v </w:t>
      </w:r>
      <w:r w:rsidR="0034469C">
        <w:t xml:space="preserve">roku 2019 bol </w:t>
      </w:r>
      <w:r>
        <w:t>1 %</w:t>
      </w:r>
      <w:r w:rsidR="0034469C">
        <w:t xml:space="preserve">. Otázny je však ďalší vývoj </w:t>
      </w:r>
      <w:r>
        <w:t>v </w:t>
      </w:r>
      <w:r w:rsidR="0034469C">
        <w:t>tomto odvetví, predovšetkým po ukončení odkladu splátok úverov.</w:t>
      </w:r>
    </w:p>
    <w:p w14:paraId="1B9AE00A" w14:textId="34D498A6" w:rsidR="0034469C" w:rsidRDefault="0034469C" w:rsidP="0034469C">
      <w:r>
        <w:t>Na druhej strane, poistenie zabezpečenia príjmu</w:t>
      </w:r>
      <w:r w:rsidR="0071304E">
        <w:t xml:space="preserve"> </w:t>
      </w:r>
      <w:r>
        <w:t>zatiaľ udržalo kombinovaný ukazovateľ približne na úrovni prechádzajúcich rokov na hodnote 6</w:t>
      </w:r>
      <w:r w:rsidR="0068581E">
        <w:t>5 %</w:t>
      </w:r>
      <w:r>
        <w:t xml:space="preserve">. Toto odvetvie má napriek pomerne malému objemu predpísaného poistného výrazný podiel na technickom výsledku </w:t>
      </w:r>
      <w:r w:rsidR="0068581E">
        <w:t>z </w:t>
      </w:r>
      <w:r>
        <w:t>neživotného poistenia (5</w:t>
      </w:r>
      <w:r w:rsidR="0068581E">
        <w:t>7 %</w:t>
      </w:r>
      <w:r>
        <w:t xml:space="preserve"> </w:t>
      </w:r>
      <w:r w:rsidR="0068581E">
        <w:t>v </w:t>
      </w:r>
      <w:r>
        <w:t>roku 2019</w:t>
      </w:r>
      <w:r w:rsidR="0071304E">
        <w:t xml:space="preserve">). Z veľkej časti však ide o zabezpečenie príjmu v prípade úrazu, čiže </w:t>
      </w:r>
      <w:r w:rsidR="004C0F52">
        <w:t>vplyv</w:t>
      </w:r>
      <w:r w:rsidR="0071304E">
        <w:t xml:space="preserve"> ekonomickej krízy na </w:t>
      </w:r>
      <w:proofErr w:type="spellStart"/>
      <w:r w:rsidR="0071304E">
        <w:t>škodovosť</w:t>
      </w:r>
      <w:proofErr w:type="spellEnd"/>
      <w:r w:rsidR="0071304E">
        <w:t xml:space="preserve"> v tomto odvetví bude</w:t>
      </w:r>
      <w:r w:rsidR="00AE5666">
        <w:t xml:space="preserve"> zrejme</w:t>
      </w:r>
      <w:r w:rsidR="0071304E">
        <w:t xml:space="preserve"> limitovaný.</w:t>
      </w:r>
    </w:p>
    <w:p w14:paraId="56E911E6" w14:textId="77777777" w:rsidR="00EC2B89" w:rsidRDefault="00EC2B89" w:rsidP="00EC2B89">
      <w:pPr>
        <w:pStyle w:val="Modrnadpis"/>
      </w:pPr>
      <w:r>
        <w:t>Pokles technických rezerv</w:t>
      </w:r>
    </w:p>
    <w:p w14:paraId="46608776" w14:textId="7344F2AF" w:rsidR="00EC2B89" w:rsidRDefault="00EC2B89" w:rsidP="00EC2B89">
      <w:r>
        <w:rPr>
          <w:b/>
          <w:bCs/>
        </w:rPr>
        <w:t xml:space="preserve">Technické rezervy zaznamenali pokles tak </w:t>
      </w:r>
      <w:r w:rsidR="0068581E">
        <w:rPr>
          <w:b/>
          <w:bCs/>
        </w:rPr>
        <w:t>v </w:t>
      </w:r>
      <w:r>
        <w:rPr>
          <w:b/>
          <w:bCs/>
        </w:rPr>
        <w:t xml:space="preserve">životnom, ako aj </w:t>
      </w:r>
      <w:r w:rsidR="0068581E">
        <w:rPr>
          <w:b/>
          <w:bCs/>
        </w:rPr>
        <w:t>v </w:t>
      </w:r>
      <w:r w:rsidR="00153F33">
        <w:rPr>
          <w:b/>
          <w:bCs/>
        </w:rPr>
        <w:t xml:space="preserve"> </w:t>
      </w:r>
      <w:r>
        <w:rPr>
          <w:b/>
          <w:bCs/>
        </w:rPr>
        <w:t xml:space="preserve">neživotnom poistení. </w:t>
      </w:r>
      <w:r w:rsidRPr="00A43931">
        <w:t xml:space="preserve">Účtovné ohodnotenie technických rezerv </w:t>
      </w:r>
      <w:r w:rsidR="0068581E">
        <w:t>v </w:t>
      </w:r>
      <w:r w:rsidRPr="00A43931">
        <w:t xml:space="preserve">životnom poistení (okrem IŽP) za prvý polrok 2020 pokleslo </w:t>
      </w:r>
      <w:r w:rsidR="0068581E">
        <w:t>o </w:t>
      </w:r>
      <w:r w:rsidRPr="00A43931">
        <w:t>11,</w:t>
      </w:r>
      <w:r w:rsidR="0068581E">
        <w:t>0 %</w:t>
      </w:r>
      <w:r w:rsidRPr="00A43931">
        <w:t xml:space="preserve">, čo súviselo najmä </w:t>
      </w:r>
      <w:r w:rsidR="0068581E">
        <w:t>s </w:t>
      </w:r>
      <w:r w:rsidRPr="00A43931">
        <w:t xml:space="preserve"> poklesom hrubého predpísaného poistného </w:t>
      </w:r>
      <w:r w:rsidR="0068581E">
        <w:t>v </w:t>
      </w:r>
      <w:r w:rsidRPr="00A43931">
        <w:t xml:space="preserve">odvetví. </w:t>
      </w:r>
      <w:r w:rsidR="0068581E">
        <w:t>V </w:t>
      </w:r>
      <w:r w:rsidRPr="00A43931">
        <w:t xml:space="preserve">investičnom životnom poistení poklesli </w:t>
      </w:r>
      <w:r w:rsidR="0068581E">
        <w:t>o </w:t>
      </w:r>
      <w:r w:rsidRPr="00A43931">
        <w:t>26,</w:t>
      </w:r>
      <w:r w:rsidR="0068581E">
        <w:t>2 %</w:t>
      </w:r>
      <w:r w:rsidRPr="00A43931">
        <w:t>, čo bol výsledok kombinácie poklesu produkcie a nepriaznivých investičných výsledkov. Kladné aj záporné zmeny rádo</w:t>
      </w:r>
      <w:r>
        <w:t>vo</w:t>
      </w:r>
      <w:r w:rsidRPr="00A43931">
        <w:t xml:space="preserve"> </w:t>
      </w:r>
      <w:r w:rsidR="0068581E">
        <w:t>v </w:t>
      </w:r>
      <w:r w:rsidRPr="00A43931">
        <w:t xml:space="preserve"> desiatkach percent predstavujú pre toto odvetvie </w:t>
      </w:r>
      <w:r w:rsidR="0068581E">
        <w:t>v </w:t>
      </w:r>
      <w:r w:rsidRPr="00A43931">
        <w:t>posledných rokoch štandardný vývoj.</w:t>
      </w:r>
      <w:r>
        <w:t xml:space="preserve"> Hodnota technických rezerv </w:t>
      </w:r>
      <w:r w:rsidR="0068581E">
        <w:t>v </w:t>
      </w:r>
      <w:r>
        <w:t xml:space="preserve">neživotnom poistení za prvý polrok 2020 poklesla </w:t>
      </w:r>
      <w:r w:rsidR="0068581E">
        <w:t>o </w:t>
      </w:r>
      <w:r>
        <w:t>4,</w:t>
      </w:r>
      <w:r w:rsidR="0068581E">
        <w:t>4 %</w:t>
      </w:r>
      <w:r>
        <w:t xml:space="preserve">, najmä kvôli zníženiu rezervy na poistné plnenia. </w:t>
      </w:r>
    </w:p>
    <w:p w14:paraId="00398AB8" w14:textId="77777777" w:rsidR="00EC2B89" w:rsidRDefault="00EC2B89" w:rsidP="00EC2B89">
      <w:pPr>
        <w:pStyle w:val="Modrnadpis"/>
      </w:pPr>
      <w:r>
        <w:lastRenderedPageBreak/>
        <w:t>Umiestnenie technických rezerv so stálym vývojom</w:t>
      </w:r>
    </w:p>
    <w:p w14:paraId="3A8B67F2" w14:textId="0D40DA91" w:rsidR="00EC2B89" w:rsidRDefault="0068581E" w:rsidP="00EC2B89">
      <w:r>
        <w:rPr>
          <w:b/>
          <w:bCs/>
        </w:rPr>
        <w:t>V </w:t>
      </w:r>
      <w:r w:rsidR="00EC2B89" w:rsidRPr="00AD5D8B">
        <w:rPr>
          <w:b/>
          <w:bCs/>
        </w:rPr>
        <w:t xml:space="preserve">umiestnení technických rezerv </w:t>
      </w:r>
      <w:r>
        <w:rPr>
          <w:b/>
          <w:bCs/>
        </w:rPr>
        <w:t>v </w:t>
      </w:r>
      <w:r w:rsidR="00EC2B89" w:rsidRPr="00AD5D8B">
        <w:rPr>
          <w:b/>
          <w:bCs/>
        </w:rPr>
        <w:t>prvom polroku 2020</w:t>
      </w:r>
      <w:r w:rsidR="00EC2B89">
        <w:rPr>
          <w:rStyle w:val="FootnoteReference"/>
          <w:b/>
          <w:bCs/>
        </w:rPr>
        <w:footnoteReference w:id="30"/>
      </w:r>
      <w:r w:rsidR="00EC2B89" w:rsidRPr="00AD5D8B">
        <w:rPr>
          <w:b/>
          <w:bCs/>
        </w:rPr>
        <w:t xml:space="preserve"> nedošlo </w:t>
      </w:r>
      <w:r>
        <w:rPr>
          <w:b/>
          <w:bCs/>
        </w:rPr>
        <w:t>k </w:t>
      </w:r>
      <w:r w:rsidR="00EC2B89" w:rsidRPr="00AD5D8B">
        <w:rPr>
          <w:b/>
          <w:bCs/>
        </w:rPr>
        <w:t>výraznejším zmenám.</w:t>
      </w:r>
      <w:r w:rsidR="00EC2B89">
        <w:rPr>
          <w:b/>
          <w:bCs/>
        </w:rPr>
        <w:t xml:space="preserve"> </w:t>
      </w:r>
      <w:r w:rsidR="00EC2B89" w:rsidRPr="00A261FB">
        <w:t xml:space="preserve">Prvotné obavy </w:t>
      </w:r>
      <w:r>
        <w:t>z </w:t>
      </w:r>
      <w:r w:rsidR="002B73FD">
        <w:t>vplyvov</w:t>
      </w:r>
      <w:r w:rsidR="00EC2B89" w:rsidRPr="00A261FB">
        <w:t xml:space="preserve"> pandémie na i</w:t>
      </w:r>
      <w:r w:rsidR="00EC2B89">
        <w:t>nv</w:t>
      </w:r>
      <w:r w:rsidR="00EC2B89" w:rsidRPr="00A261FB">
        <w:t xml:space="preserve">estičné portfólio </w:t>
      </w:r>
      <w:r w:rsidR="002F30DB">
        <w:t xml:space="preserve">vo forme zhoršenia ratingov </w:t>
      </w:r>
      <w:r w:rsidR="00EC2B89" w:rsidRPr="00A261FB">
        <w:t>sa tak</w:t>
      </w:r>
      <w:r w:rsidR="00EC2B89">
        <w:t xml:space="preserve"> </w:t>
      </w:r>
      <w:r w:rsidR="00EC2B89" w:rsidRPr="00A261FB">
        <w:t>n</w:t>
      </w:r>
      <w:r w:rsidR="00EC2B89">
        <w:t>ematerializovali</w:t>
      </w:r>
      <w:r w:rsidR="00EC2B89" w:rsidRPr="00A261FB">
        <w:t>.</w:t>
      </w:r>
      <w:r w:rsidR="00EC2B89">
        <w:t xml:space="preserve"> Investície </w:t>
      </w:r>
      <w:r>
        <w:t>v </w:t>
      </w:r>
      <w:r w:rsidR="00EC2B89">
        <w:t>mene poisťovne (t. j. okrem IŽP) boli reprezentované najmä štátnymi dlhopismi (4</w:t>
      </w:r>
      <w:r>
        <w:t>3 %</w:t>
      </w:r>
      <w:r w:rsidR="00EC2B89">
        <w:t>, bez zmeny) a podnikovými dlhopismi (3</w:t>
      </w:r>
      <w:r>
        <w:t>5 %</w:t>
      </w:r>
      <w:r w:rsidR="00EC2B89">
        <w:t xml:space="preserve">, nárast </w:t>
      </w:r>
      <w:r>
        <w:t>z </w:t>
      </w:r>
      <w:r w:rsidR="00EC2B89">
        <w:t>3</w:t>
      </w:r>
      <w:r>
        <w:t>4 %</w:t>
      </w:r>
      <w:r w:rsidR="00EC2B89">
        <w:t xml:space="preserve">). </w:t>
      </w:r>
      <w:r>
        <w:t>V </w:t>
      </w:r>
      <w:r w:rsidR="00EC2B89">
        <w:t>investičnom životnom poistení dominovali naďalej investičné fondy (8</w:t>
      </w:r>
      <w:r>
        <w:t>4 %</w:t>
      </w:r>
      <w:r w:rsidR="00EC2B89">
        <w:t>, bez zmeny) a štruktúrované cenné papiere (</w:t>
      </w:r>
      <w:r>
        <w:t>9 %</w:t>
      </w:r>
      <w:r w:rsidR="00EC2B89">
        <w:t xml:space="preserve">, pokles </w:t>
      </w:r>
      <w:r>
        <w:t>z </w:t>
      </w:r>
      <w:r w:rsidR="00EC2B89">
        <w:t>1</w:t>
      </w:r>
      <w:r>
        <w:t>0 %</w:t>
      </w:r>
      <w:r w:rsidR="00EC2B89">
        <w:t>).</w:t>
      </w:r>
    </w:p>
    <w:p w14:paraId="215215AF" w14:textId="00274EA0" w:rsidR="00297A5B" w:rsidRDefault="00297A5B" w:rsidP="00297A5B">
      <w:r>
        <w:t xml:space="preserve">Investíciám </w:t>
      </w:r>
      <w:r w:rsidR="0068581E">
        <w:t>v </w:t>
      </w:r>
      <w:r>
        <w:t>mene poisťovne dominovali naďalej tie so slovenským domicilom, no ich zastúpenie za prvý polrok 2020 nadviazalo na predchádzajúci trend a</w:t>
      </w:r>
      <w:r w:rsidR="00AE6DB7">
        <w:t> </w:t>
      </w:r>
      <w:r>
        <w:t xml:space="preserve"> pokleslo zo 4</w:t>
      </w:r>
      <w:r w:rsidR="0068581E">
        <w:t>5 %</w:t>
      </w:r>
      <w:r>
        <w:t xml:space="preserve"> na 4</w:t>
      </w:r>
      <w:r w:rsidR="0068581E">
        <w:t>2 %</w:t>
      </w:r>
      <w:r>
        <w:t xml:space="preserve">. Nasledovali investície </w:t>
      </w:r>
      <w:r w:rsidR="0068581E">
        <w:t>s </w:t>
      </w:r>
      <w:r>
        <w:t>luxemb</w:t>
      </w:r>
      <w:r w:rsidR="00AE6DB7">
        <w:t>ur</w:t>
      </w:r>
      <w:r>
        <w:t>ským (7,</w:t>
      </w:r>
      <w:r w:rsidR="0068581E">
        <w:t>3 %</w:t>
      </w:r>
      <w:r>
        <w:t>, nárast zo 6,</w:t>
      </w:r>
      <w:r w:rsidR="0068581E">
        <w:t>7 %</w:t>
      </w:r>
      <w:r>
        <w:t>), francúzskym (5,</w:t>
      </w:r>
      <w:r w:rsidR="0068581E">
        <w:t>2 %</w:t>
      </w:r>
      <w:r>
        <w:t>, nárast zo 4,</w:t>
      </w:r>
      <w:r w:rsidR="0068581E">
        <w:t>9 %</w:t>
      </w:r>
      <w:r>
        <w:t>) a americkým domicilom (5,</w:t>
      </w:r>
      <w:r w:rsidR="0068581E">
        <w:t>1 %</w:t>
      </w:r>
      <w:r>
        <w:t>, nárast zo 4,</w:t>
      </w:r>
      <w:r w:rsidR="0068581E">
        <w:t>7 %</w:t>
      </w:r>
      <w:r>
        <w:t xml:space="preserve">). </w:t>
      </w:r>
      <w:r w:rsidR="0068581E">
        <w:t>V </w:t>
      </w:r>
      <w:r>
        <w:t xml:space="preserve">IŽP sú investície so slovenským domicilom menej významné, no stále prvé </w:t>
      </w:r>
      <w:r w:rsidR="0068581E">
        <w:t>v </w:t>
      </w:r>
      <w:r>
        <w:t>poradí (25,</w:t>
      </w:r>
      <w:r w:rsidR="0068581E">
        <w:t>8 %</w:t>
      </w:r>
      <w:r>
        <w:t xml:space="preserve">, pokles </w:t>
      </w:r>
      <w:r w:rsidR="0068581E">
        <w:t>z </w:t>
      </w:r>
      <w:r>
        <w:t>25,</w:t>
      </w:r>
      <w:r w:rsidR="0068581E">
        <w:t>9 %</w:t>
      </w:r>
      <w:r>
        <w:t xml:space="preserve">), po nich nasledujú tie </w:t>
      </w:r>
      <w:r w:rsidR="0068581E">
        <w:t>s </w:t>
      </w:r>
      <w:r>
        <w:t>holandským (20,</w:t>
      </w:r>
      <w:r w:rsidR="0068581E">
        <w:t>1 %</w:t>
      </w:r>
      <w:r>
        <w:t xml:space="preserve">, nárast </w:t>
      </w:r>
      <w:r w:rsidR="0068581E">
        <w:t>z </w:t>
      </w:r>
      <w:r>
        <w:t>20,</w:t>
      </w:r>
      <w:r w:rsidR="0068581E">
        <w:t>0 %</w:t>
      </w:r>
      <w:r>
        <w:t>), luxemburským (16,</w:t>
      </w:r>
      <w:r w:rsidR="0068581E">
        <w:t>8 %</w:t>
      </w:r>
      <w:r>
        <w:t xml:space="preserve">, nárast </w:t>
      </w:r>
      <w:r w:rsidR="0068581E">
        <w:t>z </w:t>
      </w:r>
      <w:r>
        <w:t>15,1</w:t>
      </w:r>
      <w:r w:rsidR="00AE6DB7">
        <w:t> </w:t>
      </w:r>
      <w:r>
        <w:t xml:space="preserve"> %) a rakúskym </w:t>
      </w:r>
      <w:r w:rsidR="00AE6DB7">
        <w:t xml:space="preserve">domicilom </w:t>
      </w:r>
      <w:r>
        <w:t>(15,</w:t>
      </w:r>
      <w:r w:rsidR="0068581E">
        <w:t>1 %</w:t>
      </w:r>
      <w:r>
        <w:t xml:space="preserve">, bez zmeny). </w:t>
      </w:r>
    </w:p>
    <w:p w14:paraId="011BFC32" w14:textId="5BA17807" w:rsidR="00EC2B89" w:rsidRDefault="00EC2B89" w:rsidP="007A1EB1">
      <w:pPr>
        <w:pStyle w:val="Nadpisgrafu"/>
      </w:pPr>
      <w:r>
        <w:t xml:space="preserve">Graf </w:t>
      </w:r>
      <w:fldSimple w:instr=" SEQ Graf \* ARABIC ">
        <w:r w:rsidR="00A02A40">
          <w:rPr>
            <w:noProof/>
          </w:rPr>
          <w:t>22</w:t>
        </w:r>
      </w:fldSimple>
      <w:r>
        <w:t xml:space="preserve"> Rozdelenie investícií </w:t>
      </w:r>
      <w:r w:rsidR="0068581E">
        <w:t>v </w:t>
      </w:r>
      <w:r>
        <w:t>mene poisťovne podľa ratingu</w:t>
      </w:r>
    </w:p>
    <w:p w14:paraId="29A6AB5C" w14:textId="77777777" w:rsidR="00EC2B89" w:rsidRDefault="00EC2B89" w:rsidP="00EC2B89">
      <w:r>
        <w:rPr>
          <w:noProof/>
        </w:rPr>
        <w:drawing>
          <wp:inline distT="0" distB="0" distL="0" distR="0" wp14:anchorId="3777C7AF" wp14:editId="4A17892B">
            <wp:extent cx="4679950" cy="1531088"/>
            <wp:effectExtent l="0" t="0" r="6350" b="0"/>
            <wp:docPr id="17" name="Chart 17">
              <a:extLst xmlns:a="http://schemas.openxmlformats.org/drawingml/2006/main">
                <a:ext uri="{FF2B5EF4-FFF2-40B4-BE49-F238E27FC236}">
                  <a16:creationId xmlns:a16="http://schemas.microsoft.com/office/drawing/2014/main" id="{CBEB9994-26E3-4A33-96B2-42514FF7CA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08ADCE" w14:textId="77777777" w:rsidR="00EC2B89" w:rsidRDefault="00EC2B89" w:rsidP="00EC2B89">
      <w:pPr>
        <w:pStyle w:val="Podgrafom"/>
      </w:pPr>
      <w:r>
        <w:t>Zdroj: NBS</w:t>
      </w:r>
    </w:p>
    <w:p w14:paraId="3A00A4D2" w14:textId="77777777" w:rsidR="00EC2B89" w:rsidRPr="00457459" w:rsidRDefault="00EC2B89" w:rsidP="00EC2B89">
      <w:pPr>
        <w:pStyle w:val="Podgrafom"/>
      </w:pPr>
    </w:p>
    <w:p w14:paraId="45BFDA97" w14:textId="71976B5B" w:rsidR="00EC2B89" w:rsidRPr="00AB0355" w:rsidRDefault="00EC2B89" w:rsidP="00EC2B89">
      <w:r w:rsidRPr="00AB0355">
        <w:t>Ekonomická neistota sa</w:t>
      </w:r>
      <w:r>
        <w:t xml:space="preserve"> </w:t>
      </w:r>
      <w:r w:rsidRPr="00AB0355">
        <w:t xml:space="preserve">výraznejšie nepodpísala </w:t>
      </w:r>
      <w:r>
        <w:t xml:space="preserve">ani </w:t>
      </w:r>
      <w:r w:rsidRPr="00AB0355">
        <w:t xml:space="preserve">pod zhoršenie kreditného ratingu investícií </w:t>
      </w:r>
      <w:r w:rsidR="0068581E">
        <w:t>v </w:t>
      </w:r>
      <w:r w:rsidRPr="00AB0355">
        <w:t>mene poisťovne. Naďalej dominoval kreditný stupeň 2, zodpovedajúci ratingu A (4</w:t>
      </w:r>
      <w:r w:rsidR="0068581E">
        <w:t>9 %</w:t>
      </w:r>
      <w:r w:rsidRPr="00AB0355">
        <w:t>) a kreditný stupeň 3 (rating BBB, 2</w:t>
      </w:r>
      <w:r w:rsidR="0068581E">
        <w:t>2 %</w:t>
      </w:r>
      <w:r w:rsidRPr="00AB0355">
        <w:t>). Nasledoval kreditný stupeň 1 (rating A, 1</w:t>
      </w:r>
      <w:r w:rsidR="0068581E">
        <w:t>6 %</w:t>
      </w:r>
      <w:r w:rsidRPr="00AB0355">
        <w:t xml:space="preserve">) a stupeň 0 (rating AAA, </w:t>
      </w:r>
      <w:r w:rsidR="0068581E">
        <w:t>6 %</w:t>
      </w:r>
      <w:r w:rsidRPr="00AB0355">
        <w:t xml:space="preserve">). </w:t>
      </w:r>
      <w:r w:rsidR="0068581E">
        <w:t>V </w:t>
      </w:r>
      <w:r w:rsidRPr="00AB0355">
        <w:t xml:space="preserve">špekulatívnom pásme sa nachádzali </w:t>
      </w:r>
      <w:r w:rsidR="0068581E">
        <w:t>2 %</w:t>
      </w:r>
      <w:r w:rsidRPr="00AB0355">
        <w:t xml:space="preserve"> investícií. Posun </w:t>
      </w:r>
      <w:r w:rsidR="0068581E">
        <w:t>k </w:t>
      </w:r>
      <w:r w:rsidRPr="00AB0355">
        <w:t xml:space="preserve">nižším ratingom nastal už </w:t>
      </w:r>
      <w:r w:rsidR="0068581E">
        <w:t>v </w:t>
      </w:r>
      <w:r w:rsidRPr="00AB0355">
        <w:t>druhej polovici roka 2019 a </w:t>
      </w:r>
      <w:r w:rsidR="0068581E">
        <w:t>v </w:t>
      </w:r>
      <w:r w:rsidRPr="00AB0355">
        <w:t xml:space="preserve">sledovanom období </w:t>
      </w:r>
      <w:r>
        <w:t>už bol iba mierny.</w:t>
      </w:r>
    </w:p>
    <w:p w14:paraId="144779F0" w14:textId="56F59051" w:rsidR="005738CD" w:rsidRDefault="0068581E" w:rsidP="00576971">
      <w:r>
        <w:t>V </w:t>
      </w:r>
      <w:r w:rsidR="00EC2B89" w:rsidRPr="00AB0355">
        <w:t>IŽP je prevažná väčšina investícií bez evidovaného ratingu.</w:t>
      </w:r>
      <w:r w:rsidR="00EC2B89">
        <w:t xml:space="preserve"> </w:t>
      </w:r>
    </w:p>
    <w:p w14:paraId="5614D9B3" w14:textId="19E228E4" w:rsidR="00E80C86" w:rsidRPr="00C70E80" w:rsidRDefault="00E80C86" w:rsidP="007A0DCF">
      <w:pPr>
        <w:pStyle w:val="Heading1"/>
      </w:pPr>
      <w:bookmarkStart w:id="41" w:name="_Toc52285635"/>
      <w:r w:rsidRPr="00C70E80">
        <w:lastRenderedPageBreak/>
        <w:t>Dôchodkové sporenie</w:t>
      </w:r>
      <w:bookmarkEnd w:id="39"/>
      <w:bookmarkEnd w:id="41"/>
    </w:p>
    <w:p w14:paraId="665BDF86" w14:textId="10BA0011" w:rsidR="00E80C86" w:rsidRPr="00C70E80" w:rsidRDefault="00E80C86" w:rsidP="007A1EB1">
      <w:pPr>
        <w:pStyle w:val="Heading2"/>
      </w:pPr>
      <w:bookmarkStart w:id="42" w:name="_Toc43204212"/>
      <w:bookmarkStart w:id="43" w:name="_Toc52285636"/>
      <w:r w:rsidRPr="00C70E80">
        <w:t>Starobné dôchodkové sporenie</w:t>
      </w:r>
      <w:bookmarkEnd w:id="42"/>
      <w:bookmarkEnd w:id="43"/>
    </w:p>
    <w:p w14:paraId="6FAE0E54" w14:textId="00F0893A" w:rsidR="005738CD" w:rsidRPr="00C70E80" w:rsidRDefault="00157AAC" w:rsidP="005738CD">
      <w:pPr>
        <w:pStyle w:val="Modrnadpis"/>
      </w:pPr>
      <w:r>
        <w:t>Počet sporiteľov stabilne rástol, ale objem spravovaných aktív zaznamenal výrazné výkyvy pod vplyvom vývoja na finančných trhoch</w:t>
      </w:r>
    </w:p>
    <w:p w14:paraId="477732FC" w14:textId="3E9A5E6C" w:rsidR="00A95D12" w:rsidRDefault="00A95D12" w:rsidP="00A95D12">
      <w:r w:rsidRPr="00A95D12">
        <w:rPr>
          <w:b/>
          <w:bCs/>
        </w:rPr>
        <w:t xml:space="preserve">Vývoj sporiteľskej základne </w:t>
      </w:r>
      <w:r w:rsidR="0068581E">
        <w:rPr>
          <w:b/>
          <w:bCs/>
        </w:rPr>
        <w:t>v </w:t>
      </w:r>
      <w:r w:rsidRPr="00A95D12">
        <w:rPr>
          <w:b/>
          <w:bCs/>
        </w:rPr>
        <w:t xml:space="preserve">druhom pilieri dôchodkového sporenia pokračoval </w:t>
      </w:r>
      <w:r w:rsidR="0068581E">
        <w:rPr>
          <w:b/>
          <w:bCs/>
        </w:rPr>
        <w:t>v </w:t>
      </w:r>
      <w:r w:rsidRPr="00A95D12">
        <w:rPr>
          <w:b/>
          <w:bCs/>
        </w:rPr>
        <w:t>rastovom trende, ktorý pretrváva počas posledných piatich rokov.</w:t>
      </w:r>
      <w:r>
        <w:t xml:space="preserve"> Počet sporiteľov sa za prvý polrok 2020 zvýšil </w:t>
      </w:r>
      <w:r w:rsidR="0068581E">
        <w:t>o </w:t>
      </w:r>
      <w:r>
        <w:t>viac ako 29</w:t>
      </w:r>
      <w:r w:rsidR="00AB78E6">
        <w:t>-</w:t>
      </w:r>
      <w:r>
        <w:t xml:space="preserve">tisíc, čím sa priblížil už tesne </w:t>
      </w:r>
      <w:r w:rsidR="0068581E">
        <w:t>k </w:t>
      </w:r>
      <w:r>
        <w:t xml:space="preserve">hranici 1,6 milióna osôb. Intenzita prílevu nových sporiteľov </w:t>
      </w:r>
      <w:r w:rsidR="0068581E">
        <w:t>v </w:t>
      </w:r>
      <w:r>
        <w:t xml:space="preserve">období január – jún 2020 dosahovala </w:t>
      </w:r>
      <w:r w:rsidR="0068581E">
        <w:t>v </w:t>
      </w:r>
      <w:r>
        <w:t xml:space="preserve">porovnaní </w:t>
      </w:r>
      <w:r w:rsidR="0068581E">
        <w:t>s </w:t>
      </w:r>
      <w:r>
        <w:t xml:space="preserve">dlhodobým priemerom stále vysokú úroveň, avšak po dlhšej dobe neustálej akcelerácie sa trochu zmiernila a zaostala tak za rokom 2019. Opakoval sa aj už tradičný scenár pozvoľného presúvania sporiteľov </w:t>
      </w:r>
      <w:r w:rsidR="0068581E">
        <w:t>z </w:t>
      </w:r>
      <w:r>
        <w:t xml:space="preserve">dlhopisových do indexových dôchodkových fondov. Vyše dve tretiny účastníkov </w:t>
      </w:r>
      <w:r w:rsidR="0068581E">
        <w:t>v </w:t>
      </w:r>
      <w:r>
        <w:t xml:space="preserve">systéme sa však naďalej nachádza </w:t>
      </w:r>
      <w:r w:rsidR="0068581E">
        <w:t>v </w:t>
      </w:r>
      <w:r>
        <w:t xml:space="preserve"> dlhopisových dôchodkových fondoch.</w:t>
      </w:r>
    </w:p>
    <w:p w14:paraId="42EBCF41" w14:textId="2E91FBBA" w:rsidR="00A95D12" w:rsidRDefault="00A95D12" w:rsidP="00A95D12">
      <w:r w:rsidRPr="00A95D12">
        <w:rPr>
          <w:b/>
          <w:bCs/>
        </w:rPr>
        <w:t xml:space="preserve">Čistá hodnota majetku (NAV) zaznamenala najväčšie výkyvy </w:t>
      </w:r>
      <w:r w:rsidR="0068581E">
        <w:rPr>
          <w:b/>
          <w:bCs/>
        </w:rPr>
        <w:t>v </w:t>
      </w:r>
      <w:r w:rsidRPr="00A95D12">
        <w:rPr>
          <w:b/>
          <w:bCs/>
        </w:rPr>
        <w:t>celej histórii pôsobenia sektora starobného dôchodkového sporenia.</w:t>
      </w:r>
      <w:r>
        <w:t xml:space="preserve"> Začiatok roka 2020 odštartoval pozitívne </w:t>
      </w:r>
      <w:r w:rsidR="0068581E">
        <w:t>z </w:t>
      </w:r>
      <w:r>
        <w:t xml:space="preserve">pohľadu kumulácie majetku </w:t>
      </w:r>
      <w:r w:rsidR="0068581E">
        <w:t>v </w:t>
      </w:r>
      <w:r>
        <w:t>dôchodkových fondoch. Silné trhové turbulencie vyvolané prepuknutím pandémie ochoreni</w:t>
      </w:r>
      <w:r w:rsidR="00862B3A">
        <w:t>a</w:t>
      </w:r>
      <w:r>
        <w:t xml:space="preserve"> COVID-19 však </w:t>
      </w:r>
      <w:r w:rsidR="0068581E">
        <w:t>v </w:t>
      </w:r>
      <w:r>
        <w:t xml:space="preserve">krátkom čase od konca februára do konca marca spôsobili sektoru kontrakciu NAV </w:t>
      </w:r>
      <w:r w:rsidR="0068581E">
        <w:t>o </w:t>
      </w:r>
      <w:r>
        <w:t xml:space="preserve">zhruba jednu desatinu. </w:t>
      </w:r>
      <w:r w:rsidR="0068581E">
        <w:t>V </w:t>
      </w:r>
      <w:r>
        <w:t xml:space="preserve">priebehu pár týždňov sa </w:t>
      </w:r>
      <w:r w:rsidR="0068581E">
        <w:t>v </w:t>
      </w:r>
      <w:r>
        <w:t>dôsledku negatívneho preceneni</w:t>
      </w:r>
      <w:r w:rsidR="00862B3A">
        <w:t>a</w:t>
      </w:r>
      <w:r>
        <w:t xml:space="preserve"> aktív </w:t>
      </w:r>
      <w:r w:rsidR="0068581E">
        <w:t>v </w:t>
      </w:r>
      <w:r>
        <w:t xml:space="preserve">portfóliách dôchodkových fondov zmenšila ich sumárna vykazovaná hodnota </w:t>
      </w:r>
      <w:r w:rsidR="0068581E">
        <w:t>o 1 mld. €</w:t>
      </w:r>
      <w:r>
        <w:t xml:space="preserve">. Následné oživenie na finančných trhoch </w:t>
      </w:r>
      <w:r w:rsidR="0068581E">
        <w:t>v </w:t>
      </w:r>
      <w:r>
        <w:t xml:space="preserve">priebehu druhého štvrťroka 2020 eliminovalo orientačne dve tretiny bezprostredne predchádzajúcich strát. </w:t>
      </w:r>
    </w:p>
    <w:p w14:paraId="6B7AC50E" w14:textId="5C8DD158" w:rsidR="00A95D12" w:rsidRDefault="00A95D12" w:rsidP="00A95D12">
      <w:r w:rsidRPr="00A95D12">
        <w:rPr>
          <w:b/>
          <w:bCs/>
        </w:rPr>
        <w:t xml:space="preserve">Napriek negatívnemu príspevku výkonnosti za celé obdobie prvého polroka 2020 sa sektorová NAV zvýšila </w:t>
      </w:r>
      <w:r w:rsidR="0068581E">
        <w:rPr>
          <w:b/>
          <w:bCs/>
        </w:rPr>
        <w:t>o </w:t>
      </w:r>
      <w:r w:rsidRPr="00A95D12">
        <w:rPr>
          <w:b/>
          <w:bCs/>
        </w:rPr>
        <w:t>20</w:t>
      </w:r>
      <w:r w:rsidR="0068581E">
        <w:rPr>
          <w:b/>
          <w:bCs/>
        </w:rPr>
        <w:t>0 mil. €</w:t>
      </w:r>
      <w:r>
        <w:t xml:space="preserve">, a to zásluhou nových príspevkov </w:t>
      </w:r>
      <w:r w:rsidR="0068581E">
        <w:t>v </w:t>
      </w:r>
      <w:r>
        <w:t>objeme približne 40</w:t>
      </w:r>
      <w:r w:rsidR="0068581E">
        <w:t>0 mil. €</w:t>
      </w:r>
      <w:r>
        <w:t xml:space="preserve">. Suma pripísaných príspevkov bola síce </w:t>
      </w:r>
      <w:r w:rsidR="0068581E">
        <w:t>v </w:t>
      </w:r>
      <w:r>
        <w:t xml:space="preserve">medziročnom porovnaní </w:t>
      </w:r>
      <w:r w:rsidR="0068581E">
        <w:t>o </w:t>
      </w:r>
      <w:r>
        <w:t xml:space="preserve">málo vyššia, ale nie </w:t>
      </w:r>
      <w:r w:rsidR="0068581E">
        <w:t>o </w:t>
      </w:r>
      <w:r>
        <w:t xml:space="preserve">toľko ako zodpovedalo trendu predošlých rokov, najmä </w:t>
      </w:r>
      <w:r w:rsidR="0068581E">
        <w:t>s </w:t>
      </w:r>
      <w:r>
        <w:t xml:space="preserve">ohľadom na priebežne sa zvyšujúcu sadzbu na výpočet odvodov do druhého piliera dôchodkového sporenia. </w:t>
      </w:r>
      <w:proofErr w:type="spellStart"/>
      <w:r>
        <w:t>Koronavírusom</w:t>
      </w:r>
      <w:proofErr w:type="spellEnd"/>
      <w:r>
        <w:t xml:space="preserve"> spôsobené problémy na trhu práce mali teda zrejme určitý nepriaznivý vplyv na bázu, ktorá determinuje tok nových príspevkov do systému.</w:t>
      </w:r>
    </w:p>
    <w:p w14:paraId="5FE69F1F" w14:textId="0636AB2E" w:rsidR="00A95D12" w:rsidRDefault="00A95D12" w:rsidP="00A95D12">
      <w:r w:rsidRPr="00A95D12">
        <w:rPr>
          <w:b/>
          <w:bCs/>
        </w:rPr>
        <w:t>Uvedený nárast NAV sa rozdelil na polovicu medzi indexové a dlhopisové dôchodkové fondy.</w:t>
      </w:r>
      <w:r>
        <w:t xml:space="preserve"> Indexové dôchodkové fondy relatívne najvýraznejšie utrpeli </w:t>
      </w:r>
      <w:r w:rsidR="0068581E">
        <w:t>v </w:t>
      </w:r>
      <w:r>
        <w:t>dôsledku vzniknutej situáci</w:t>
      </w:r>
      <w:r w:rsidR="001E4FEA">
        <w:t>e</w:t>
      </w:r>
      <w:r>
        <w:t xml:space="preserve"> na finančných trhoch, ale transfer nasporených súm za niekoľko tisíc účastníkov prestupujúcich do týchto fondov, tak ako sa to </w:t>
      </w:r>
      <w:r w:rsidR="0068581E">
        <w:t>v </w:t>
      </w:r>
      <w:r>
        <w:t xml:space="preserve"> posledných rokoch deje pravidelne, im napriek tomu zabezpečil kladnú bilanciu zmeny objemu aktív za sledované obdobie. </w:t>
      </w:r>
      <w:r w:rsidR="0068581E">
        <w:t>V </w:t>
      </w:r>
      <w:r>
        <w:t xml:space="preserve">akciových a zmiešaných </w:t>
      </w:r>
      <w:r>
        <w:lastRenderedPageBreak/>
        <w:t xml:space="preserve">dôchodkových fondoch boli straty </w:t>
      </w:r>
      <w:r w:rsidR="0068581E">
        <w:t>z </w:t>
      </w:r>
      <w:r>
        <w:t xml:space="preserve">precenenia zhruba vynulované kladnými peňažnými tokmi </w:t>
      </w:r>
      <w:r w:rsidR="0068581E">
        <w:t>z </w:t>
      </w:r>
      <w:r>
        <w:t>príspevkov.</w:t>
      </w:r>
    </w:p>
    <w:p w14:paraId="657B8898" w14:textId="1052F7E3" w:rsidR="00244763" w:rsidRDefault="00A95D12" w:rsidP="00A95D12">
      <w:r w:rsidRPr="00244763">
        <w:rPr>
          <w:rStyle w:val="ModrnadpisChar"/>
        </w:rPr>
        <w:t>Napriek dramatickým momentom na finančných trhoch a</w:t>
      </w:r>
      <w:r w:rsidR="00C43875">
        <w:rPr>
          <w:rStyle w:val="ModrnadpisChar"/>
        </w:rPr>
        <w:t> </w:t>
      </w:r>
      <w:r w:rsidRPr="00244763">
        <w:rPr>
          <w:rStyle w:val="ModrnadpisChar"/>
        </w:rPr>
        <w:t xml:space="preserve"> zvýšenej neistote portfóliá dôchodkových fondov vykazovali prevažne vysokú stabilitu</w:t>
      </w:r>
    </w:p>
    <w:p w14:paraId="2D735DFA" w14:textId="27088F2A" w:rsidR="00A95D12" w:rsidRDefault="00A95D12" w:rsidP="00A95D12">
      <w:r w:rsidRPr="00244763">
        <w:rPr>
          <w:b/>
          <w:bCs/>
        </w:rPr>
        <w:t xml:space="preserve">Zásluhou veľmi dlhého investičného horizontu správcovské spoločnosti nemali problém udržovať strategickú alokáciu aktív a neocitli sa pod tlakom redukovať rizikovejšie vystavenia </w:t>
      </w:r>
      <w:r w:rsidR="0068581E">
        <w:rPr>
          <w:b/>
          <w:bCs/>
        </w:rPr>
        <w:t>v </w:t>
      </w:r>
      <w:r w:rsidRPr="00244763">
        <w:rPr>
          <w:b/>
          <w:bCs/>
        </w:rPr>
        <w:t>svojich dôchodkových fondoch.</w:t>
      </w:r>
      <w:r>
        <w:t xml:space="preserve"> Určitou výnimkou bola objem</w:t>
      </w:r>
      <w:r w:rsidR="00C43875">
        <w:t>om</w:t>
      </w:r>
      <w:r>
        <w:t xml:space="preserve"> aktív aj počtom fondov marginálna skupina zmiešaných dôchodkových fondov, kde nastal mierny odpredaj akciovej zložky. Spolu </w:t>
      </w:r>
      <w:r w:rsidR="0068581E">
        <w:t>s </w:t>
      </w:r>
      <w:r>
        <w:t xml:space="preserve">poklesom hodnoty akciových investícií sa ich podiel </w:t>
      </w:r>
      <w:r w:rsidR="0068581E">
        <w:t>v </w:t>
      </w:r>
      <w:r>
        <w:t xml:space="preserve">tomto type dôchodkových fondov znížil </w:t>
      </w:r>
      <w:r w:rsidR="0068581E">
        <w:t>v </w:t>
      </w:r>
      <w:r>
        <w:t>prvom polroku 2020 zo 4</w:t>
      </w:r>
      <w:r w:rsidR="0068581E">
        <w:t>4 %</w:t>
      </w:r>
      <w:r>
        <w:t xml:space="preserve"> na 3</w:t>
      </w:r>
      <w:r w:rsidR="0068581E">
        <w:t>6 %</w:t>
      </w:r>
      <w:r>
        <w:t xml:space="preserve"> NAV. Zodpovedajúco </w:t>
      </w:r>
      <w:r w:rsidR="0068581E">
        <w:t>k </w:t>
      </w:r>
      <w:r>
        <w:t xml:space="preserve">tomu sa väčšia váha </w:t>
      </w:r>
      <w:r w:rsidR="0068581E">
        <w:t>v </w:t>
      </w:r>
      <w:r>
        <w:t xml:space="preserve">štruktúre majetku presunula na dlhové cenné papiere. Naopak </w:t>
      </w:r>
      <w:r w:rsidR="0068581E">
        <w:t>v </w:t>
      </w:r>
      <w:r>
        <w:t>prípade akciových dôchodkových fondo</w:t>
      </w:r>
      <w:r w:rsidR="00C43875">
        <w:t>v</w:t>
      </w:r>
      <w:r>
        <w:t xml:space="preserve"> bol negatívny cenový efekt pri akciách vykompenzovaný dodatočnými nákupmi, takže zastúpenie akciových investícií ostalo prakticky nezmenené tesne pod úrovňou 7</w:t>
      </w:r>
      <w:r w:rsidR="0068581E">
        <w:t>0 %</w:t>
      </w:r>
      <w:r>
        <w:t xml:space="preserve"> NAV. Dlhopisové fondy znížili likvidnú rezervu </w:t>
      </w:r>
      <w:r w:rsidR="0068581E">
        <w:t>v </w:t>
      </w:r>
      <w:r>
        <w:t xml:space="preserve">podobe vkladov </w:t>
      </w:r>
      <w:r w:rsidR="0068581E">
        <w:t>v </w:t>
      </w:r>
      <w:r>
        <w:t xml:space="preserve">bankách na minimum </w:t>
      </w:r>
      <w:r w:rsidR="0068581E">
        <w:t>v </w:t>
      </w:r>
      <w:r>
        <w:t>celej histórii ich pôsobenia, čo sa na druhej strane prejavilo posilnením podielu dlhových nástrojov až na 9</w:t>
      </w:r>
      <w:r w:rsidR="0068581E">
        <w:t>3 %</w:t>
      </w:r>
      <w:r>
        <w:t>.</w:t>
      </w:r>
    </w:p>
    <w:p w14:paraId="3DE90102" w14:textId="010BB96A" w:rsidR="00A95D12" w:rsidRDefault="00A95D12" w:rsidP="00A95D12">
      <w:r w:rsidRPr="00A95D12">
        <w:rPr>
          <w:b/>
          <w:bCs/>
        </w:rPr>
        <w:t>Skladba dlhopisového portfólia podľa sektoru emitenta bola na začiatku a</w:t>
      </w:r>
      <w:r w:rsidR="00C43875">
        <w:rPr>
          <w:b/>
          <w:bCs/>
        </w:rPr>
        <w:t> </w:t>
      </w:r>
      <w:r w:rsidRPr="00A95D12">
        <w:rPr>
          <w:b/>
          <w:bCs/>
        </w:rPr>
        <w:t>na konci sledovaného obdobia takmer totožná.</w:t>
      </w:r>
      <w:r>
        <w:t xml:space="preserve"> Medzitým však došlo od februára do apríla </w:t>
      </w:r>
      <w:r w:rsidR="0068581E">
        <w:t>k </w:t>
      </w:r>
      <w:r>
        <w:t xml:space="preserve">pozastaveniu nákupov podnikových dlhopisov, čo spolu </w:t>
      </w:r>
      <w:r w:rsidR="0068581E">
        <w:t>s </w:t>
      </w:r>
      <w:r>
        <w:t xml:space="preserve"> relatívne väčším poklesom ich ceny </w:t>
      </w:r>
      <w:r w:rsidR="0068581E">
        <w:t>v </w:t>
      </w:r>
      <w:r>
        <w:t xml:space="preserve">porovnaní </w:t>
      </w:r>
      <w:r w:rsidR="0068581E">
        <w:t>s </w:t>
      </w:r>
      <w:r>
        <w:t>ostatnými dlhopismi spôsobilo dočasný pokles ich podielu. Následným presmerovaním nákupov práve na podnikové dlhopisy počas mája a júna sa však tento výkyv anuloval. Posledné dva mesiace sledovaného obdobia zároveň sprevádzal</w:t>
      </w:r>
      <w:r w:rsidR="00C43875">
        <w:t>a</w:t>
      </w:r>
      <w:r>
        <w:t xml:space="preserve"> celkovo vyššia transakčná aktivita </w:t>
      </w:r>
      <w:r w:rsidR="0068581E">
        <w:t>v </w:t>
      </w:r>
      <w:r>
        <w:t xml:space="preserve">dlhopisovej zložke majetku dôchodkových fondov. </w:t>
      </w:r>
    </w:p>
    <w:p w14:paraId="2ED8849E" w14:textId="0FF8179E" w:rsidR="00A95D12" w:rsidRDefault="00A95D12" w:rsidP="00A95D12">
      <w:r w:rsidRPr="00A95D12">
        <w:rPr>
          <w:b/>
          <w:bCs/>
        </w:rPr>
        <w:t xml:space="preserve">Predaje boli najvýraznejšie pri dlhopisoch, kde bol emitent pôvodom </w:t>
      </w:r>
      <w:r w:rsidR="0068581E">
        <w:rPr>
          <w:b/>
          <w:bCs/>
        </w:rPr>
        <w:t>z </w:t>
      </w:r>
      <w:r w:rsidRPr="00A95D12">
        <w:rPr>
          <w:b/>
          <w:bCs/>
        </w:rPr>
        <w:t xml:space="preserve"> Českej republiky, či už zo súkromnej alebo verejnej sféry.</w:t>
      </w:r>
      <w:r>
        <w:t xml:space="preserve"> Okrem toho sa </w:t>
      </w:r>
      <w:r w:rsidR="0068581E">
        <w:t>v </w:t>
      </w:r>
      <w:r>
        <w:t xml:space="preserve"> dôchodkových fondoch znižovalo aj vystavenie voči štátnym dlhopisom Španielska, Portugalska, Írska, či Rumunska. Nahrádzali ich najmä štátnymi dlhopismi Čile a Belgicka, prípadne talianskymi a rakúskymi podnikovými dlhovými cennými papiermi. </w:t>
      </w:r>
    </w:p>
    <w:p w14:paraId="4364618A" w14:textId="22C4C506" w:rsidR="00A95D12" w:rsidRDefault="00A95D12" w:rsidP="00A95D12">
      <w:r w:rsidRPr="00A95D12">
        <w:rPr>
          <w:b/>
          <w:bCs/>
        </w:rPr>
        <w:t xml:space="preserve">Objemovo vážená priemerná zostatková splatnosť dlhopisov nadviazala na návrat </w:t>
      </w:r>
      <w:r w:rsidR="0068581E">
        <w:rPr>
          <w:b/>
          <w:bCs/>
        </w:rPr>
        <w:t>k </w:t>
      </w:r>
      <w:r w:rsidRPr="00A95D12">
        <w:rPr>
          <w:b/>
          <w:bCs/>
        </w:rPr>
        <w:t xml:space="preserve">rastovému trendu </w:t>
      </w:r>
      <w:r w:rsidR="0068581E">
        <w:rPr>
          <w:b/>
          <w:bCs/>
        </w:rPr>
        <w:t>z </w:t>
      </w:r>
      <w:r w:rsidRPr="00A95D12">
        <w:rPr>
          <w:b/>
          <w:bCs/>
        </w:rPr>
        <w:t>druhej polovice roka 2019.</w:t>
      </w:r>
      <w:r>
        <w:t xml:space="preserve"> Za prvých šesť mesiacov roka 2020 sa hodnota tohto ukazovateľa zvýšila približne </w:t>
      </w:r>
      <w:r w:rsidR="0068581E">
        <w:t>o </w:t>
      </w:r>
      <w:r>
        <w:t>pol roka a</w:t>
      </w:r>
      <w:r w:rsidR="003154B8">
        <w:t> </w:t>
      </w:r>
      <w:r>
        <w:t xml:space="preserve"> opäť tak dosiahla historické maximum blížiace sa už </w:t>
      </w:r>
      <w:r w:rsidR="0068581E">
        <w:t>k </w:t>
      </w:r>
      <w:r>
        <w:t xml:space="preserve">7 rokom. Čiastočne sa zmenšil rozptyl zostatkovej splatnosti medzi dôchodkovými fondmi, keď nárast ťahali najmä tie </w:t>
      </w:r>
      <w:r w:rsidR="0068581E">
        <w:t>s </w:t>
      </w:r>
      <w:r>
        <w:t xml:space="preserve">relatívne nižšou úrovňou daného parametra a dôchodkové fondy vyznačujúce sa </w:t>
      </w:r>
      <w:r w:rsidR="0068581E">
        <w:t>v </w:t>
      </w:r>
      <w:r>
        <w:t>minulosti vyššími hodnotami vykázali pokles. Predlžovanie zostatkovej splatnosti</w:t>
      </w:r>
      <w:r w:rsidR="003154B8">
        <w:t>,</w:t>
      </w:r>
      <w:r>
        <w:t xml:space="preserve"> a </w:t>
      </w:r>
      <w:r w:rsidR="0068581E">
        <w:t>s </w:t>
      </w:r>
      <w:r>
        <w:t xml:space="preserve">tým súvisiacej </w:t>
      </w:r>
      <w:proofErr w:type="spellStart"/>
      <w:r>
        <w:t>durácie</w:t>
      </w:r>
      <w:proofErr w:type="spellEnd"/>
      <w:r w:rsidR="003154B8">
        <w:t>,</w:t>
      </w:r>
      <w:r>
        <w:t xml:space="preserve"> je zrejme odrazom návratu centrálnych bánk do módu uvoľňovania menovej politiky.</w:t>
      </w:r>
    </w:p>
    <w:p w14:paraId="226390CE" w14:textId="5A24E70E" w:rsidR="005738CD" w:rsidRDefault="00A95D12" w:rsidP="002C4D65">
      <w:r w:rsidRPr="00A95D12">
        <w:rPr>
          <w:b/>
          <w:bCs/>
        </w:rPr>
        <w:lastRenderedPageBreak/>
        <w:t xml:space="preserve">Vývoj aktuálnej hodnoty dôchodkovej jednotky (AHDJ) </w:t>
      </w:r>
      <w:r w:rsidR="0068581E">
        <w:rPr>
          <w:b/>
          <w:bCs/>
        </w:rPr>
        <w:t>v </w:t>
      </w:r>
      <w:r w:rsidRPr="00A95D12">
        <w:rPr>
          <w:b/>
          <w:bCs/>
        </w:rPr>
        <w:t xml:space="preserve">dôchodkových fondoch bol počas prvej polovice roka 2020 mimoriadne </w:t>
      </w:r>
      <w:proofErr w:type="spellStart"/>
      <w:r w:rsidRPr="00A95D12">
        <w:rPr>
          <w:b/>
          <w:bCs/>
        </w:rPr>
        <w:t>volatilný</w:t>
      </w:r>
      <w:proofErr w:type="spellEnd"/>
      <w:r w:rsidRPr="00A95D12">
        <w:rPr>
          <w:b/>
          <w:bCs/>
        </w:rPr>
        <w:t>.</w:t>
      </w:r>
      <w:r>
        <w:t xml:space="preserve"> Výsledkom prudkého prepadu </w:t>
      </w:r>
      <w:r w:rsidR="0068581E">
        <w:t>z </w:t>
      </w:r>
      <w:r>
        <w:t xml:space="preserve">februára a marca a následného postupného nárastu smerom </w:t>
      </w:r>
      <w:r w:rsidR="0068581E">
        <w:t>k </w:t>
      </w:r>
      <w:r>
        <w:t xml:space="preserve">pôvodným hladinám AHDJ je </w:t>
      </w:r>
      <w:r w:rsidR="0068581E">
        <w:t>v </w:t>
      </w:r>
      <w:r>
        <w:t>konečnom dôsledku mierna priemerná strata na úrovni celého sektora vo výške -</w:t>
      </w:r>
      <w:r w:rsidR="0068581E">
        <w:t>2 %</w:t>
      </w:r>
      <w:r>
        <w:t xml:space="preserve">.  Najlepšia bola situácia </w:t>
      </w:r>
      <w:r w:rsidR="0068581E">
        <w:t>v </w:t>
      </w:r>
      <w:r>
        <w:t xml:space="preserve">dlhopisových dôchodkových fondoch, ktoré skončili za prvý polrok iba tesne </w:t>
      </w:r>
      <w:r w:rsidR="0068581E">
        <w:t>v </w:t>
      </w:r>
      <w:r>
        <w:t xml:space="preserve"> mínuse na úrovni 0,</w:t>
      </w:r>
      <w:r w:rsidR="0068581E">
        <w:t>1 %</w:t>
      </w:r>
      <w:r>
        <w:t>. Na druhom konci spektra boli so zápornou výkonnosťou -8,</w:t>
      </w:r>
      <w:r w:rsidR="0068581E">
        <w:t>4 %</w:t>
      </w:r>
      <w:r>
        <w:t xml:space="preserve"> indexové dôchodkové fondy. Akciové a zmiešané dôchodkové fondy zaznamenali podobné priemerné nominálne znehodnotenie aktív tesne presahujúce -</w:t>
      </w:r>
      <w:r w:rsidR="0068581E">
        <w:t>5 %</w:t>
      </w:r>
      <w:r>
        <w:t>.</w:t>
      </w:r>
      <w:bookmarkStart w:id="44" w:name="_Toc43204213"/>
    </w:p>
    <w:p w14:paraId="34E8AE55" w14:textId="7CCEBE32" w:rsidR="00C94193" w:rsidRPr="00C70E80" w:rsidRDefault="00C94193" w:rsidP="007A1EB1">
      <w:pPr>
        <w:pStyle w:val="Heading2"/>
      </w:pPr>
      <w:bookmarkStart w:id="45" w:name="_Toc52285637"/>
      <w:r w:rsidRPr="00C70E80">
        <w:t>Doplnkové dôchodkové sporenie</w:t>
      </w:r>
      <w:bookmarkEnd w:id="44"/>
      <w:bookmarkEnd w:id="45"/>
    </w:p>
    <w:p w14:paraId="60B7066D" w14:textId="56A12817" w:rsidR="005738CD" w:rsidRPr="00C70E80" w:rsidRDefault="00713670" w:rsidP="005738CD">
      <w:pPr>
        <w:pStyle w:val="Modrnadpis"/>
      </w:pPr>
      <w:r>
        <w:t>Rast objemu aktív výrazne spomalil napriek rekordnému prílevu nových prostriedkov</w:t>
      </w:r>
    </w:p>
    <w:p w14:paraId="6EF8F83D" w14:textId="49D8E9C5" w:rsidR="00132D36" w:rsidRDefault="00132D36" w:rsidP="00132D36">
      <w:r w:rsidRPr="00132D36">
        <w:rPr>
          <w:b/>
          <w:bCs/>
        </w:rPr>
        <w:t>Počet účastníkov (</w:t>
      </w:r>
      <w:r w:rsidR="0068581E">
        <w:rPr>
          <w:b/>
          <w:bCs/>
        </w:rPr>
        <w:t>s </w:t>
      </w:r>
      <w:r w:rsidRPr="00132D36">
        <w:rPr>
          <w:b/>
          <w:bCs/>
        </w:rPr>
        <w:t xml:space="preserve">nenulovou zmluvou) </w:t>
      </w:r>
      <w:r w:rsidR="0068581E">
        <w:rPr>
          <w:b/>
          <w:bCs/>
        </w:rPr>
        <w:t>v </w:t>
      </w:r>
      <w:r w:rsidRPr="00132D36">
        <w:rPr>
          <w:b/>
          <w:bCs/>
        </w:rPr>
        <w:t xml:space="preserve">doplnkovom dôchodkovom sporení vzrástol </w:t>
      </w:r>
      <w:r w:rsidR="0068581E">
        <w:rPr>
          <w:b/>
          <w:bCs/>
        </w:rPr>
        <w:t>v </w:t>
      </w:r>
      <w:r w:rsidRPr="00132D36">
        <w:rPr>
          <w:b/>
          <w:bCs/>
        </w:rPr>
        <w:t xml:space="preserve">prvom polroku 2020 </w:t>
      </w:r>
      <w:r w:rsidR="0068581E">
        <w:rPr>
          <w:b/>
          <w:bCs/>
        </w:rPr>
        <w:t>o </w:t>
      </w:r>
      <w:r w:rsidRPr="00132D36">
        <w:rPr>
          <w:b/>
          <w:bCs/>
        </w:rPr>
        <w:t>necelých 13</w:t>
      </w:r>
      <w:r w:rsidR="007163A4">
        <w:rPr>
          <w:b/>
          <w:bCs/>
        </w:rPr>
        <w:t>-</w:t>
      </w:r>
      <w:r w:rsidRPr="00132D36">
        <w:rPr>
          <w:b/>
          <w:bCs/>
        </w:rPr>
        <w:t>tisíc,</w:t>
      </w:r>
      <w:r>
        <w:t xml:space="preserve"> čím sa ich stav na jeho konci dostal na úroveň 846</w:t>
      </w:r>
      <w:r w:rsidR="007163A4">
        <w:t>-</w:t>
      </w:r>
      <w:r>
        <w:t xml:space="preserve">tisíc. Zväčšovanie účastníckej základne medziročne spomalilo zhruba </w:t>
      </w:r>
      <w:r w:rsidR="0068581E">
        <w:t>o </w:t>
      </w:r>
      <w:r>
        <w:t>tretinu a oproti prvému polroku 2018 dokonca dosiahlo len polovičné tempo.</w:t>
      </w:r>
    </w:p>
    <w:p w14:paraId="60583684" w14:textId="50F3854D" w:rsidR="00132D36" w:rsidRDefault="00132D36" w:rsidP="00132D36">
      <w:r w:rsidRPr="00132D36">
        <w:rPr>
          <w:b/>
          <w:bCs/>
        </w:rPr>
        <w:t xml:space="preserve">Čistá hodnota aktív sa </w:t>
      </w:r>
      <w:r w:rsidR="0068581E">
        <w:rPr>
          <w:b/>
          <w:bCs/>
        </w:rPr>
        <w:t>v </w:t>
      </w:r>
      <w:r w:rsidRPr="00132D36">
        <w:rPr>
          <w:b/>
          <w:bCs/>
        </w:rPr>
        <w:t xml:space="preserve">sledovanom období nominálne rozrástla </w:t>
      </w:r>
      <w:r w:rsidR="0068581E">
        <w:rPr>
          <w:b/>
          <w:bCs/>
        </w:rPr>
        <w:t>o </w:t>
      </w:r>
      <w:r w:rsidRPr="00132D36">
        <w:rPr>
          <w:b/>
          <w:bCs/>
        </w:rPr>
        <w:t>36</w:t>
      </w:r>
      <w:r w:rsidR="00E411F5">
        <w:rPr>
          <w:b/>
          <w:bCs/>
        </w:rPr>
        <w:t> </w:t>
      </w:r>
      <w:r w:rsidRPr="00132D36">
        <w:rPr>
          <w:b/>
          <w:bCs/>
        </w:rPr>
        <w:t xml:space="preserve"> mil.</w:t>
      </w:r>
      <w:r w:rsidR="00E411F5">
        <w:rPr>
          <w:b/>
          <w:bCs/>
        </w:rPr>
        <w:t> </w:t>
      </w:r>
      <w:r w:rsidRPr="00132D36">
        <w:rPr>
          <w:b/>
          <w:bCs/>
        </w:rPr>
        <w:t xml:space="preserve"> </w:t>
      </w:r>
      <w:r w:rsidR="00E411F5">
        <w:rPr>
          <w:b/>
          <w:bCs/>
        </w:rPr>
        <w:t>€</w:t>
      </w:r>
      <w:r w:rsidRPr="00132D36">
        <w:rPr>
          <w:b/>
          <w:bCs/>
        </w:rPr>
        <w:t xml:space="preserve">, resp. </w:t>
      </w:r>
      <w:r w:rsidR="0068581E">
        <w:rPr>
          <w:b/>
          <w:bCs/>
        </w:rPr>
        <w:t>v </w:t>
      </w:r>
      <w:r w:rsidRPr="00132D36">
        <w:rPr>
          <w:b/>
          <w:bCs/>
        </w:rPr>
        <w:t xml:space="preserve">relatívnom vyjadrení </w:t>
      </w:r>
      <w:r w:rsidR="0068581E">
        <w:rPr>
          <w:b/>
          <w:bCs/>
        </w:rPr>
        <w:t>o </w:t>
      </w:r>
      <w:r w:rsidRPr="00132D36">
        <w:rPr>
          <w:b/>
          <w:bCs/>
        </w:rPr>
        <w:t>1,</w:t>
      </w:r>
      <w:r w:rsidR="0068581E">
        <w:rPr>
          <w:b/>
          <w:bCs/>
        </w:rPr>
        <w:t>5 %</w:t>
      </w:r>
      <w:r w:rsidRPr="00132D36">
        <w:rPr>
          <w:b/>
          <w:bCs/>
        </w:rPr>
        <w:t>.</w:t>
      </w:r>
      <w:r>
        <w:t xml:space="preserve"> Podľa obidvoch mier išlo </w:t>
      </w:r>
      <w:r w:rsidR="0068581E">
        <w:t>o </w:t>
      </w:r>
      <w:r>
        <w:t xml:space="preserve">jeden </w:t>
      </w:r>
      <w:r w:rsidR="0068581E">
        <w:t>z </w:t>
      </w:r>
      <w:r>
        <w:t xml:space="preserve">najpomalších prírastkov </w:t>
      </w:r>
      <w:r w:rsidR="0068581E">
        <w:t>v </w:t>
      </w:r>
      <w:r>
        <w:t>celej histórii pôsobeni</w:t>
      </w:r>
      <w:r w:rsidR="00600A2B">
        <w:t>a</w:t>
      </w:r>
      <w:r>
        <w:t xml:space="preserve"> systému. A to </w:t>
      </w:r>
      <w:r w:rsidR="0068581E">
        <w:t>v </w:t>
      </w:r>
      <w:r>
        <w:t xml:space="preserve"> situácii, keď objem príspevkov od účastníkov dosiahol opäť novú rekordnú hodnotu 15</w:t>
      </w:r>
      <w:r w:rsidR="0068581E">
        <w:t>9 mil. €</w:t>
      </w:r>
      <w:r>
        <w:t>, čo po odpočítaní vyplatených dávok potiahlo na historické maximum 10</w:t>
      </w:r>
      <w:r w:rsidR="0068581E">
        <w:t>7 mil. €</w:t>
      </w:r>
      <w:r w:rsidR="00E411F5">
        <w:t xml:space="preserve"> </w:t>
      </w:r>
      <w:r>
        <w:t xml:space="preserve">aj čistú bilanciu finančných tokov. Približne dve tretiny </w:t>
      </w:r>
      <w:r w:rsidR="0068581E">
        <w:t>z </w:t>
      </w:r>
      <w:r>
        <w:t xml:space="preserve">tohto objemu kompenzovali straty, ku ktorým došlo </w:t>
      </w:r>
      <w:r w:rsidR="0068581E">
        <w:t>v </w:t>
      </w:r>
      <w:r>
        <w:t xml:space="preserve"> doplnkových dôchodkových fondoch </w:t>
      </w:r>
      <w:r w:rsidR="0068581E">
        <w:t>v </w:t>
      </w:r>
      <w:r>
        <w:t xml:space="preserve">dôsledku nepriaznivej situácie na finančných trhoch. </w:t>
      </w:r>
    </w:p>
    <w:p w14:paraId="3330579F" w14:textId="1BA9D55B" w:rsidR="00132D36" w:rsidRDefault="00132D36" w:rsidP="00132D36">
      <w:r w:rsidRPr="00132D36">
        <w:rPr>
          <w:b/>
          <w:bCs/>
        </w:rPr>
        <w:t xml:space="preserve">Takmer celý sektorový nárast NAV bol koncentrovaný </w:t>
      </w:r>
      <w:r w:rsidR="0068581E">
        <w:rPr>
          <w:b/>
          <w:bCs/>
        </w:rPr>
        <w:t>v </w:t>
      </w:r>
      <w:r w:rsidRPr="00132D36">
        <w:rPr>
          <w:b/>
          <w:bCs/>
        </w:rPr>
        <w:t>doplnkových dôchodkových fondoch rastového typu.</w:t>
      </w:r>
      <w:r>
        <w:t xml:space="preserve"> Skupina veľkých vyvážených doplnkových dôchodkových fondov ukončila prvý polrok </w:t>
      </w:r>
      <w:r w:rsidR="0068581E">
        <w:t>s </w:t>
      </w:r>
      <w:r>
        <w:t xml:space="preserve">miernym úbytkom objemu aktív. Rastové fondy síce utrpeli </w:t>
      </w:r>
      <w:r w:rsidR="0068581E">
        <w:t>v </w:t>
      </w:r>
      <w:r>
        <w:t xml:space="preserve">percentuálnom vyjadrení výraznejšie vplyvom poklesov cien aktív na finančných trhoch, ale </w:t>
      </w:r>
      <w:r w:rsidR="0068581E">
        <w:t>v </w:t>
      </w:r>
      <w:r>
        <w:t>absolútnych objemoch to pre n</w:t>
      </w:r>
      <w:r w:rsidR="00476DE0">
        <w:t>ic</w:t>
      </w:r>
      <w:r w:rsidR="0026164B">
        <w:t>h</w:t>
      </w:r>
      <w:r>
        <w:t xml:space="preserve"> znamenalo menšie úbytky </w:t>
      </w:r>
      <w:r w:rsidR="0068581E">
        <w:t>v </w:t>
      </w:r>
      <w:r>
        <w:t>porovnaní so zmiešanými fondmi. Zo zmiešaných doplnkových dôchodkových fondov sa navyše ako obvykle presúval určitý objem prostriedkov do výplatných fondov.</w:t>
      </w:r>
    </w:p>
    <w:p w14:paraId="333889C0" w14:textId="0418F0D3" w:rsidR="00713670" w:rsidRDefault="00132D36" w:rsidP="00132D36">
      <w:r w:rsidRPr="00713670">
        <w:rPr>
          <w:rStyle w:val="ModrnadpisChar"/>
        </w:rPr>
        <w:t>Štruktúra aktív doplnkových dôchodkových fondov prešla počas prvej polovice roka niektorými nezanedbateľnými zmenami</w:t>
      </w:r>
    </w:p>
    <w:p w14:paraId="609E374A" w14:textId="239CAEFC" w:rsidR="00132D36" w:rsidRDefault="0068581E" w:rsidP="00132D36">
      <w:r>
        <w:rPr>
          <w:b/>
          <w:bCs/>
        </w:rPr>
        <w:t>V </w:t>
      </w:r>
      <w:r w:rsidR="00132D36" w:rsidRPr="00713670">
        <w:rPr>
          <w:b/>
          <w:bCs/>
        </w:rPr>
        <w:t xml:space="preserve">objemovo najväčšej skupine vyvážených doplnkových dôchodkových fondov sa podiel akciových investícií znížil </w:t>
      </w:r>
      <w:r>
        <w:rPr>
          <w:b/>
          <w:bCs/>
        </w:rPr>
        <w:t>z </w:t>
      </w:r>
      <w:r w:rsidR="00132D36" w:rsidRPr="00713670">
        <w:rPr>
          <w:b/>
          <w:bCs/>
        </w:rPr>
        <w:t>2</w:t>
      </w:r>
      <w:r>
        <w:rPr>
          <w:b/>
          <w:bCs/>
        </w:rPr>
        <w:t>3 %</w:t>
      </w:r>
      <w:r w:rsidR="00132D36" w:rsidRPr="00713670">
        <w:rPr>
          <w:b/>
          <w:bCs/>
        </w:rPr>
        <w:t xml:space="preserve"> na 18,</w:t>
      </w:r>
      <w:r>
        <w:rPr>
          <w:b/>
          <w:bCs/>
        </w:rPr>
        <w:t>5 %</w:t>
      </w:r>
      <w:r w:rsidR="00132D36" w:rsidRPr="00713670">
        <w:rPr>
          <w:b/>
          <w:bCs/>
        </w:rPr>
        <w:t xml:space="preserve"> NAV.</w:t>
      </w:r>
      <w:r w:rsidR="00132D36">
        <w:t xml:space="preserve"> Nešlo pri tom len </w:t>
      </w:r>
      <w:r>
        <w:t>o </w:t>
      </w:r>
      <w:r w:rsidR="00132D36">
        <w:t xml:space="preserve">cenový efekt vplyvom poklesu akciových indexov, ale aj </w:t>
      </w:r>
      <w:r>
        <w:t>o </w:t>
      </w:r>
      <w:r w:rsidR="00132D36">
        <w:t xml:space="preserve">odpredaje týchto nástrojov realizované </w:t>
      </w:r>
      <w:r>
        <w:t>v </w:t>
      </w:r>
      <w:r w:rsidR="00132D36">
        <w:t xml:space="preserve">mesiacoch január až apríl. Zameranie týchto </w:t>
      </w:r>
      <w:r w:rsidR="00132D36">
        <w:lastRenderedPageBreak/>
        <w:t xml:space="preserve">fondov sa presunulo smerom </w:t>
      </w:r>
      <w:r>
        <w:t>k </w:t>
      </w:r>
      <w:r w:rsidR="00132D36">
        <w:t xml:space="preserve">dlhovým cenným papierom, ktorých zastúpenie stúplo </w:t>
      </w:r>
      <w:r>
        <w:t>o </w:t>
      </w:r>
      <w:r w:rsidR="00132D36">
        <w:t xml:space="preserve">8 percentuálnych bodov a </w:t>
      </w:r>
      <w:r>
        <w:t>k </w:t>
      </w:r>
      <w:r w:rsidR="00132D36">
        <w:t>30.</w:t>
      </w:r>
      <w:r w:rsidR="0020259A">
        <w:t> </w:t>
      </w:r>
      <w:r w:rsidR="00132D36">
        <w:t>6.</w:t>
      </w:r>
      <w:r w:rsidR="0020259A">
        <w:t> </w:t>
      </w:r>
      <w:r w:rsidR="00132D36">
        <w:t>2020 dosahovalo 6</w:t>
      </w:r>
      <w:r>
        <w:t>2 %</w:t>
      </w:r>
      <w:r w:rsidR="00132D36">
        <w:t xml:space="preserve"> NAV. Do dlhových cenných papierov bola presunutá aj časť prostriedkov </w:t>
      </w:r>
      <w:r>
        <w:t>z </w:t>
      </w:r>
      <w:r w:rsidR="00132D36">
        <w:t>bankových vkladov.</w:t>
      </w:r>
    </w:p>
    <w:p w14:paraId="30BC0B7E" w14:textId="73924DC9" w:rsidR="00132D36" w:rsidRDefault="00132D36" w:rsidP="00132D36">
      <w:r w:rsidRPr="00132D36">
        <w:rPr>
          <w:b/>
          <w:bCs/>
        </w:rPr>
        <w:t xml:space="preserve">Obdobná situácia ako vo vyvážených doplnkových dôchodkových fondoch nastala aj </w:t>
      </w:r>
      <w:r w:rsidR="0068581E">
        <w:rPr>
          <w:b/>
          <w:bCs/>
        </w:rPr>
        <w:t>v </w:t>
      </w:r>
      <w:r w:rsidRPr="00132D36">
        <w:rPr>
          <w:b/>
          <w:bCs/>
        </w:rPr>
        <w:t>rastových</w:t>
      </w:r>
      <w:r w:rsidR="0020259A">
        <w:rPr>
          <w:b/>
          <w:bCs/>
        </w:rPr>
        <w:t xml:space="preserve"> fondoch</w:t>
      </w:r>
      <w:r w:rsidRPr="00132D36">
        <w:rPr>
          <w:b/>
          <w:bCs/>
        </w:rPr>
        <w:t>.</w:t>
      </w:r>
      <w:r>
        <w:t xml:space="preserve"> Váha akciovej zložky </w:t>
      </w:r>
      <w:r w:rsidR="0068581E">
        <w:t>v </w:t>
      </w:r>
      <w:r>
        <w:t>nich sa ku koncu sledovaného obdobia zredukovala na 4</w:t>
      </w:r>
      <w:r w:rsidR="0068581E">
        <w:t>6 %</w:t>
      </w:r>
      <w:r>
        <w:t xml:space="preserve"> NAV, teda </w:t>
      </w:r>
      <w:r w:rsidR="0068581E">
        <w:t>o 5 p. b.</w:t>
      </w:r>
      <w:r>
        <w:t xml:space="preserve"> menej ako na jeho začiatku. </w:t>
      </w:r>
      <w:r w:rsidR="0068581E">
        <w:t>V </w:t>
      </w:r>
      <w:r>
        <w:t xml:space="preserve">prípade rastových fondov bola táto zmena výsledkom negatívneho precenenia a utlmenia nákupov akcií, </w:t>
      </w:r>
      <w:r w:rsidR="0068581E">
        <w:t>k </w:t>
      </w:r>
      <w:r>
        <w:t xml:space="preserve">odpredajom </w:t>
      </w:r>
      <w:r w:rsidR="0068581E">
        <w:t>v </w:t>
      </w:r>
      <w:r>
        <w:t>sumár</w:t>
      </w:r>
      <w:r w:rsidR="00C94DD0">
        <w:t>i</w:t>
      </w:r>
      <w:r>
        <w:t xml:space="preserve"> celého polroka nedošlo. Podiel dlhových expozícií sa vďaka tomu </w:t>
      </w:r>
      <w:r w:rsidR="0068581E">
        <w:t>v </w:t>
      </w:r>
      <w:r>
        <w:t xml:space="preserve">období január až jún 2020 zvýšil </w:t>
      </w:r>
      <w:r w:rsidR="0068581E">
        <w:t>z </w:t>
      </w:r>
      <w:r>
        <w:t>24,</w:t>
      </w:r>
      <w:r w:rsidR="0068581E">
        <w:t>5 %</w:t>
      </w:r>
      <w:r>
        <w:t xml:space="preserve"> na 3</w:t>
      </w:r>
      <w:r w:rsidR="0068581E">
        <w:t>1 %</w:t>
      </w:r>
      <w:r>
        <w:t xml:space="preserve"> NAV. Za pozornosť stojí, že </w:t>
      </w:r>
      <w:r w:rsidR="0068581E">
        <w:t>v </w:t>
      </w:r>
      <w:r>
        <w:t xml:space="preserve">januári </w:t>
      </w:r>
      <w:r w:rsidR="0068581E">
        <w:t>v </w:t>
      </w:r>
      <w:r>
        <w:t xml:space="preserve">rastových doplnkových dôchodkových fondoch skokovo </w:t>
      </w:r>
      <w:r w:rsidR="00C94DD0">
        <w:t xml:space="preserve">vzrástol </w:t>
      </w:r>
      <w:r>
        <w:t xml:space="preserve">objem investícií do nástrojov orientovaných na komoditné trhy. </w:t>
      </w:r>
      <w:r w:rsidR="0068581E">
        <w:t>V </w:t>
      </w:r>
      <w:r>
        <w:t xml:space="preserve">pomere </w:t>
      </w:r>
      <w:r w:rsidR="0068581E">
        <w:t>k </w:t>
      </w:r>
      <w:r>
        <w:t xml:space="preserve">NAV týchto fondov sa tak komoditné investície posunuli na úroveň okolo </w:t>
      </w:r>
      <w:r w:rsidR="0068581E">
        <w:t>5 %</w:t>
      </w:r>
      <w:r>
        <w:t>.</w:t>
      </w:r>
    </w:p>
    <w:p w14:paraId="3911B30C" w14:textId="114DF445" w:rsidR="00132D36" w:rsidRDefault="0068581E" w:rsidP="00132D36">
      <w:r>
        <w:rPr>
          <w:b/>
          <w:bCs/>
        </w:rPr>
        <w:t>K </w:t>
      </w:r>
      <w:r w:rsidR="00132D36" w:rsidRPr="00132D36">
        <w:rPr>
          <w:b/>
          <w:bCs/>
        </w:rPr>
        <w:t xml:space="preserve">výraznejšiemu </w:t>
      </w:r>
      <w:proofErr w:type="spellStart"/>
      <w:r w:rsidR="00132D36" w:rsidRPr="00132D36">
        <w:rPr>
          <w:b/>
          <w:bCs/>
        </w:rPr>
        <w:t>rebalansovaniu</w:t>
      </w:r>
      <w:proofErr w:type="spellEnd"/>
      <w:r w:rsidR="00132D36" w:rsidRPr="00132D36">
        <w:rPr>
          <w:b/>
          <w:bCs/>
        </w:rPr>
        <w:t xml:space="preserve"> investičného mixu došlo aj vo výplatných doplnkových dôchodkových fondoch.</w:t>
      </w:r>
      <w:r w:rsidR="00132D36">
        <w:t xml:space="preserve"> Aj </w:t>
      </w:r>
      <w:r>
        <w:t>v </w:t>
      </w:r>
      <w:r w:rsidR="00132D36">
        <w:t xml:space="preserve">tomto prípade to bolo </w:t>
      </w:r>
      <w:r>
        <w:t>v </w:t>
      </w:r>
      <w:r w:rsidR="00132D36">
        <w:t>prospech dlhových cenných papierov. Na začiatku roka 2020 predstavovali dlhopisy zhruba dve tretiny celkových aktív výplatných doplnkových dôchodkových fondov, do konca júna sa ich dominantné postavenie posilnilo až na 8</w:t>
      </w:r>
      <w:r>
        <w:t>5 %</w:t>
      </w:r>
      <w:r w:rsidR="00132D36">
        <w:t xml:space="preserve">. Podiel prostriedkov uložených vo vkladoch </w:t>
      </w:r>
      <w:r>
        <w:t>v </w:t>
      </w:r>
      <w:r w:rsidR="00132D36">
        <w:t xml:space="preserve">bankách sa prepadol </w:t>
      </w:r>
      <w:r>
        <w:t>o </w:t>
      </w:r>
      <w:r w:rsidR="00132D36">
        <w:t>polovicu na 1</w:t>
      </w:r>
      <w:r>
        <w:t>6 %</w:t>
      </w:r>
      <w:r w:rsidR="00132D36">
        <w:t xml:space="preserve"> NAV </w:t>
      </w:r>
      <w:r>
        <w:t>v </w:t>
      </w:r>
      <w:r w:rsidR="00132D36">
        <w:t xml:space="preserve">závere sledovaného obdobia, čo je historicky najnižší výskyt vkladovej zložky portfólia </w:t>
      </w:r>
      <w:r>
        <w:t>v </w:t>
      </w:r>
      <w:r w:rsidR="00132D36">
        <w:t>tomto type doplnkových dôchodkových fondov.</w:t>
      </w:r>
    </w:p>
    <w:p w14:paraId="770E97C4" w14:textId="41E8EF98" w:rsidR="00132D36" w:rsidRDefault="0068581E" w:rsidP="00132D36">
      <w:r>
        <w:rPr>
          <w:b/>
          <w:bCs/>
        </w:rPr>
        <w:t>K </w:t>
      </w:r>
      <w:r w:rsidR="00132D36" w:rsidRPr="00132D36">
        <w:rPr>
          <w:b/>
          <w:bCs/>
        </w:rPr>
        <w:t xml:space="preserve">plošnému zvyšovaniu zastúpenia dlhopisov prispeli nákupy emisií </w:t>
      </w:r>
      <w:r>
        <w:rPr>
          <w:b/>
          <w:bCs/>
        </w:rPr>
        <w:t>z </w:t>
      </w:r>
      <w:r w:rsidR="00132D36" w:rsidRPr="00132D36">
        <w:rPr>
          <w:b/>
          <w:bCs/>
        </w:rPr>
        <w:t xml:space="preserve"> verejnej aj súkromnej sféry.</w:t>
      </w:r>
      <w:r w:rsidR="00132D36">
        <w:t xml:space="preserve"> </w:t>
      </w:r>
      <w:r>
        <w:t>V </w:t>
      </w:r>
      <w:r w:rsidR="00132D36">
        <w:t xml:space="preserve">rámci dlhopisového portfólia pokračovalo podobne ako </w:t>
      </w:r>
      <w:r>
        <w:t>v </w:t>
      </w:r>
      <w:r w:rsidR="00132D36">
        <w:t xml:space="preserve">roku 2019 preskupovanie od štátnych dlhových cenných papierov </w:t>
      </w:r>
      <w:r>
        <w:t>k </w:t>
      </w:r>
      <w:r w:rsidR="00132D36">
        <w:t xml:space="preserve">nástrojom </w:t>
      </w:r>
      <w:r>
        <w:t>z </w:t>
      </w:r>
      <w:r w:rsidR="00132D36">
        <w:t xml:space="preserve">podnikového a finančného sektora. Štátne dlhopisy ostali aj tak </w:t>
      </w:r>
      <w:r>
        <w:t>s </w:t>
      </w:r>
      <w:r w:rsidR="00132D36">
        <w:t xml:space="preserve">rezervou najvýznamnejším komponentom </w:t>
      </w:r>
      <w:r>
        <w:t>v </w:t>
      </w:r>
      <w:r w:rsidR="00132D36">
        <w:t xml:space="preserve">rámci balíka dlhopisových investícií tretieho piliera dôchodkového sporenia, ale ich podiel </w:t>
      </w:r>
      <w:r>
        <w:t>v </w:t>
      </w:r>
      <w:r w:rsidR="00132D36">
        <w:t xml:space="preserve">priebehu prvého polroka 2020 klesol </w:t>
      </w:r>
      <w:r>
        <w:t>z </w:t>
      </w:r>
      <w:r w:rsidR="00132D36">
        <w:t>5</w:t>
      </w:r>
      <w:r>
        <w:t>5 %</w:t>
      </w:r>
      <w:r w:rsidR="00132D36">
        <w:t xml:space="preserve"> na 5</w:t>
      </w:r>
      <w:r>
        <w:t>1 %</w:t>
      </w:r>
      <w:r w:rsidR="00132D36">
        <w:t>.</w:t>
      </w:r>
    </w:p>
    <w:p w14:paraId="05E13431" w14:textId="1ECFD774" w:rsidR="00132D36" w:rsidRDefault="00132D36" w:rsidP="00132D36">
      <w:r w:rsidRPr="00132D36">
        <w:rPr>
          <w:b/>
          <w:bCs/>
        </w:rPr>
        <w:t xml:space="preserve">Doplnkové dôchodkové spoločnosti nakupovali vo zvýšenej miere do svojich fondov dlhopisové emisie zo Slovenska, Talianska, či Spojených štátov. </w:t>
      </w:r>
      <w:r w:rsidR="0068581E">
        <w:t>V </w:t>
      </w:r>
      <w:r>
        <w:t>prípade Talianska to boli prevažne štátne dlhopisy. Na druhej strane vystavenie voči vládam Španielska, Írska a Portugalska a dvoch pobaltských krajín (Litva</w:t>
      </w:r>
      <w:r w:rsidR="00B54903">
        <w:t xml:space="preserve"> a</w:t>
      </w:r>
      <w:r>
        <w:t xml:space="preserve"> Lotyšsko) sa znižovalo. </w:t>
      </w:r>
    </w:p>
    <w:p w14:paraId="2B9BE430" w14:textId="10C194BA" w:rsidR="00132D36" w:rsidRDefault="0068581E" w:rsidP="00132D36">
      <w:r>
        <w:rPr>
          <w:b/>
          <w:bCs/>
        </w:rPr>
        <w:t>V </w:t>
      </w:r>
      <w:r w:rsidR="00132D36" w:rsidRPr="00132D36">
        <w:rPr>
          <w:b/>
          <w:bCs/>
        </w:rPr>
        <w:t xml:space="preserve">priebehu marca až mája 2020 sa sektorový vážený priemer zostatkovej splatnosti dlhových cenných papierov znížil </w:t>
      </w:r>
      <w:r>
        <w:rPr>
          <w:b/>
          <w:bCs/>
        </w:rPr>
        <w:t>o </w:t>
      </w:r>
      <w:r w:rsidR="00132D36" w:rsidRPr="00132D36">
        <w:rPr>
          <w:b/>
          <w:bCs/>
        </w:rPr>
        <w:t>viac ako rok, čím vymazal celý nárast zaznamenaný za rok 2019.</w:t>
      </w:r>
      <w:r w:rsidR="00132D36">
        <w:t xml:space="preserve"> </w:t>
      </w:r>
      <w:r>
        <w:t>K </w:t>
      </w:r>
      <w:r w:rsidR="00132D36">
        <w:t xml:space="preserve">poslednému dňu júna sa nachádzal tento ukazovateľ na hodnote tesne presahujúcej 6 rokov. Treba však dodať, že smerovanie priemeru za sektor bolo </w:t>
      </w:r>
      <w:r>
        <w:t>v </w:t>
      </w:r>
      <w:r w:rsidR="00132D36">
        <w:t xml:space="preserve">aktuálnom sledovanom období aj </w:t>
      </w:r>
      <w:r>
        <w:t>v </w:t>
      </w:r>
      <w:r w:rsidR="00132D36">
        <w:t xml:space="preserve">minulom roku výrazne ovplyvnené dvoma doplnkovými dôchodkovými fondmi pod správou jednej doplnkovej dôchodkovej spoločnosti. </w:t>
      </w:r>
      <w:proofErr w:type="spellStart"/>
      <w:r w:rsidR="00132D36">
        <w:t>Mediánová</w:t>
      </w:r>
      <w:proofErr w:type="spellEnd"/>
      <w:r w:rsidR="00132D36">
        <w:t xml:space="preserve"> hodnota klesla tiež, ale iba podstatne miernejšie.</w:t>
      </w:r>
    </w:p>
    <w:p w14:paraId="6B4EDEDD" w14:textId="7E2CAA07" w:rsidR="00576971" w:rsidRDefault="00132D36" w:rsidP="00576971">
      <w:r w:rsidRPr="00132D36">
        <w:rPr>
          <w:b/>
          <w:bCs/>
        </w:rPr>
        <w:lastRenderedPageBreak/>
        <w:t xml:space="preserve">Prvý polrok 2020 nebol pre doplnkové dôchodkové fondy priaznivý </w:t>
      </w:r>
      <w:r w:rsidR="0068581E">
        <w:rPr>
          <w:b/>
          <w:bCs/>
        </w:rPr>
        <w:t>z </w:t>
      </w:r>
      <w:r w:rsidRPr="00132D36">
        <w:rPr>
          <w:b/>
          <w:bCs/>
        </w:rPr>
        <w:t xml:space="preserve"> hľadiska výkonnosti.</w:t>
      </w:r>
      <w:r>
        <w:t xml:space="preserve"> Sektor ako celok vykázal </w:t>
      </w:r>
      <w:r w:rsidR="0068581E">
        <w:t>v </w:t>
      </w:r>
      <w:r>
        <w:t>priemere nominálne znehodnotenie aktív vo výške -</w:t>
      </w:r>
      <w:r w:rsidR="0068581E">
        <w:t>3 %</w:t>
      </w:r>
      <w:r>
        <w:t>. Najväčší pokles hodnoty dôchodkovej jednotky na úrovni -5,</w:t>
      </w:r>
      <w:r w:rsidR="0068581E">
        <w:t>4 %</w:t>
      </w:r>
      <w:r>
        <w:t xml:space="preserve"> postihol rastovo orientované doplnkové dôchodkové fondy. </w:t>
      </w:r>
      <w:r w:rsidR="0068581E">
        <w:t>V </w:t>
      </w:r>
      <w:r>
        <w:t xml:space="preserve">doplnkových dôchodkových fondoch vyváženého typu bol priemerný záporný výnos </w:t>
      </w:r>
      <w:r w:rsidR="0068581E">
        <w:t>o </w:t>
      </w:r>
      <w:r>
        <w:t>polovicu nižší, teda -2,</w:t>
      </w:r>
      <w:r w:rsidR="0068581E">
        <w:t>7 %</w:t>
      </w:r>
      <w:r>
        <w:t xml:space="preserve">. Napriek konzervatívne nastavenému portfóliu výplatných doplnkových fondov, aj ich výkonnosť skončila za prvý polrok 2020 </w:t>
      </w:r>
      <w:r w:rsidR="0068581E">
        <w:t>v </w:t>
      </w:r>
      <w:r>
        <w:t>miernom mínuse (-0,</w:t>
      </w:r>
      <w:r w:rsidR="0068581E">
        <w:t>7 %</w:t>
      </w:r>
      <w:r>
        <w:t>)</w:t>
      </w:r>
      <w:r w:rsidR="00576971">
        <w:t>.</w:t>
      </w:r>
    </w:p>
    <w:p w14:paraId="6F19C018" w14:textId="4BC8C589" w:rsidR="00576971" w:rsidRPr="00576971" w:rsidRDefault="00576971" w:rsidP="00576971"/>
    <w:p w14:paraId="188C2150" w14:textId="77777777" w:rsidR="00030E96" w:rsidRDefault="00030E96">
      <w:pPr>
        <w:spacing w:before="0" w:line="0" w:lineRule="auto"/>
        <w:jc w:val="left"/>
        <w:rPr>
          <w:rFonts w:ascii="Verdana" w:eastAsiaTheme="majorEastAsia" w:hAnsi="Verdana" w:cstheme="majorBidi"/>
          <w:color w:val="0067AC" w:themeColor="accent1"/>
          <w:sz w:val="54"/>
          <w:szCs w:val="32"/>
        </w:rPr>
      </w:pPr>
      <w:bookmarkStart w:id="46" w:name="_Toc43204214"/>
      <w:r>
        <w:br w:type="page"/>
      </w:r>
    </w:p>
    <w:p w14:paraId="6AE4D66C" w14:textId="1D030965" w:rsidR="007A0DCF" w:rsidRPr="00C70E80" w:rsidRDefault="00E80C86" w:rsidP="007A0DCF">
      <w:pPr>
        <w:pStyle w:val="Heading1"/>
      </w:pPr>
      <w:bookmarkStart w:id="47" w:name="_Toc52285638"/>
      <w:r w:rsidRPr="00C70E80">
        <w:lastRenderedPageBreak/>
        <w:t>Kolektívne investovanie</w:t>
      </w:r>
      <w:bookmarkEnd w:id="46"/>
      <w:bookmarkEnd w:id="47"/>
    </w:p>
    <w:p w14:paraId="27C831F9" w14:textId="13D6B550" w:rsidR="005738CD" w:rsidRPr="00C70E80" w:rsidRDefault="00AE7836" w:rsidP="005738CD">
      <w:pPr>
        <w:pStyle w:val="Modrnadpis"/>
      </w:pPr>
      <w:r>
        <w:t>Aj keď hodnota aktív</w:t>
      </w:r>
      <w:r w:rsidR="007E6890">
        <w:t>,</w:t>
      </w:r>
      <w:r>
        <w:t xml:space="preserve"> a teda výkonnosť podielových fondov vplyvom trhových síl výraznejšie poklesla</w:t>
      </w:r>
      <w:r w:rsidR="007E6890">
        <w:t>,</w:t>
      </w:r>
      <w:r>
        <w:t xml:space="preserve"> sektor nemusel čeliť hromadným </w:t>
      </w:r>
      <w:proofErr w:type="spellStart"/>
      <w:r>
        <w:t>redemáciám</w:t>
      </w:r>
      <w:proofErr w:type="spellEnd"/>
    </w:p>
    <w:p w14:paraId="5A4C5EED" w14:textId="5E6DB68E" w:rsidR="00476DE0" w:rsidRDefault="00476DE0" w:rsidP="00476DE0">
      <w:r w:rsidRPr="00476DE0">
        <w:rPr>
          <w:b/>
          <w:bCs/>
        </w:rPr>
        <w:t xml:space="preserve">Po roku 2019, ktorý priniesol kolektívnemu investovaniu na Slovensku rekordný nárast aktív, sa niesla prvá polovica roka 2020 </w:t>
      </w:r>
      <w:r w:rsidR="0068581E">
        <w:rPr>
          <w:b/>
          <w:bCs/>
        </w:rPr>
        <w:t>v </w:t>
      </w:r>
      <w:r w:rsidRPr="00476DE0">
        <w:rPr>
          <w:b/>
          <w:bCs/>
        </w:rPr>
        <w:t>znamení miernej redukcie veľkosti sektora.</w:t>
      </w:r>
      <w:r>
        <w:t xml:space="preserve"> Čistá hodnota aktív sektora sa znížila </w:t>
      </w:r>
      <w:r w:rsidR="0068581E">
        <w:t>o </w:t>
      </w:r>
      <w:r>
        <w:t>17</w:t>
      </w:r>
      <w:r w:rsidR="0068581E">
        <w:t>0 mil. €</w:t>
      </w:r>
      <w:r w:rsidR="007E6890">
        <w:t xml:space="preserve"> </w:t>
      </w:r>
      <w:r>
        <w:t>na 9,</w:t>
      </w:r>
      <w:r w:rsidR="0068581E">
        <w:t>4 mld. €</w:t>
      </w:r>
      <w:r w:rsidR="007E6890">
        <w:t xml:space="preserve"> </w:t>
      </w:r>
      <w:r w:rsidR="0068581E">
        <w:t>k </w:t>
      </w:r>
      <w:r>
        <w:t>30.</w:t>
      </w:r>
      <w:r w:rsidR="007E6890">
        <w:t> </w:t>
      </w:r>
      <w:r>
        <w:t>6.</w:t>
      </w:r>
      <w:r w:rsidR="007E6890">
        <w:t> </w:t>
      </w:r>
      <w:r>
        <w:t xml:space="preserve">2020. </w:t>
      </w:r>
      <w:r w:rsidR="0068581E">
        <w:t>Z </w:t>
      </w:r>
      <w:r>
        <w:t xml:space="preserve">uvedenej čiastky poklesu pripadala väčšina </w:t>
      </w:r>
      <w:r w:rsidR="0068581E">
        <w:t>v </w:t>
      </w:r>
      <w:r>
        <w:t>objeme 11</w:t>
      </w:r>
      <w:r w:rsidR="0068581E">
        <w:t>5 mil. €</w:t>
      </w:r>
      <w:r w:rsidR="007E6890">
        <w:t xml:space="preserve"> </w:t>
      </w:r>
      <w:r>
        <w:t xml:space="preserve">na tuzemské podielové fondy. Zahraničné podielové fondy distribuované na Slovensku si však pripísali </w:t>
      </w:r>
      <w:r w:rsidR="0068581E">
        <w:t>o </w:t>
      </w:r>
      <w:r>
        <w:t>niečo väčší pokles (-2</w:t>
      </w:r>
      <w:r w:rsidR="007E6890">
        <w:t>,</w:t>
      </w:r>
      <w:r w:rsidR="0068581E">
        <w:t>5 %</w:t>
      </w:r>
      <w:r>
        <w:t xml:space="preserve">) </w:t>
      </w:r>
      <w:r w:rsidR="0068581E">
        <w:t>v </w:t>
      </w:r>
      <w:r>
        <w:t xml:space="preserve">pomere </w:t>
      </w:r>
      <w:r w:rsidR="0068581E">
        <w:t>k </w:t>
      </w:r>
      <w:r>
        <w:t>NAV zo začiatku sledovaného obdobia ako tuzemské (-1,</w:t>
      </w:r>
      <w:r w:rsidR="0068581E">
        <w:t>5 %</w:t>
      </w:r>
      <w:r>
        <w:t xml:space="preserve">). </w:t>
      </w:r>
    </w:p>
    <w:p w14:paraId="3EE28C8E" w14:textId="459C9E7D" w:rsidR="00476DE0" w:rsidRDefault="00476DE0" w:rsidP="00476DE0">
      <w:r w:rsidRPr="00476DE0">
        <w:rPr>
          <w:b/>
          <w:bCs/>
        </w:rPr>
        <w:t xml:space="preserve">Negatívna zmena objemu spravovaných aktív </w:t>
      </w:r>
      <w:r w:rsidR="0068581E">
        <w:rPr>
          <w:b/>
          <w:bCs/>
        </w:rPr>
        <w:t>v </w:t>
      </w:r>
      <w:r w:rsidRPr="00476DE0">
        <w:rPr>
          <w:b/>
          <w:bCs/>
        </w:rPr>
        <w:t>kolektívnom investovaní je odrazom strát, ktoré sa prevalili finančnými trhmi po vypuknutí globálnej pandémie COVID-19.</w:t>
      </w:r>
      <w:r>
        <w:t xml:space="preserve"> Výsledný pokles NAV za celý prvý polrok 2020 je len zlomkom toho, ako sa hodnota aktív podielových fondo</w:t>
      </w:r>
      <w:r w:rsidR="007E6890">
        <w:t>v</w:t>
      </w:r>
      <w:r>
        <w:t xml:space="preserve"> dočasne prepadla na vrchole stresovej situácie na finančných trhoch ku koncu marca. </w:t>
      </w:r>
      <w:r w:rsidR="0068581E">
        <w:t>V </w:t>
      </w:r>
      <w:r>
        <w:t xml:space="preserve"> tom čase len samotné tuzemské podielové fondy zaznamenali redukciu NAV oproti začiatku roka 2020 vyše pol miliardy eur, plus výpadok rádovo 30</w:t>
      </w:r>
      <w:r w:rsidR="0068581E">
        <w:t>0 mil. €</w:t>
      </w:r>
      <w:r w:rsidR="007E6890">
        <w:t xml:space="preserve"> </w:t>
      </w:r>
      <w:r>
        <w:t xml:space="preserve">sa odohral pri zahraničných podielových fondoch. Do konca júna však ocenenie aktív </w:t>
      </w:r>
      <w:r w:rsidR="0068581E">
        <w:t>v </w:t>
      </w:r>
      <w:r>
        <w:t>podielových fondoch vymazalo väčšiu časť predošlého poklesu.</w:t>
      </w:r>
    </w:p>
    <w:p w14:paraId="5D2F53FC" w14:textId="31D48062" w:rsidR="00476DE0" w:rsidRDefault="00476DE0" w:rsidP="00476DE0">
      <w:pPr>
        <w:pStyle w:val="Nadpisgrafu"/>
      </w:pPr>
      <w:r>
        <w:t xml:space="preserve">Graf </w:t>
      </w:r>
      <w:fldSimple w:instr=" SEQ Graf \* ARABIC ">
        <w:r w:rsidR="00A02A40">
          <w:rPr>
            <w:noProof/>
          </w:rPr>
          <w:t>23</w:t>
        </w:r>
      </w:fldSimple>
      <w:r>
        <w:t xml:space="preserve"> </w:t>
      </w:r>
      <w:r w:rsidRPr="00476DE0">
        <w:t xml:space="preserve">Vývoj čistých predajov po mesiacoch </w:t>
      </w:r>
      <w:r w:rsidR="0068581E">
        <w:t>v </w:t>
      </w:r>
      <w:r w:rsidRPr="00476DE0">
        <w:t>tuzemských podielových fondoch (mil. EUR)</w:t>
      </w:r>
    </w:p>
    <w:p w14:paraId="7BB5DDDC" w14:textId="6F701E2E" w:rsidR="00476DE0" w:rsidRDefault="00030E96" w:rsidP="00DD7D07">
      <w:pPr>
        <w:pStyle w:val="Podgrafom"/>
      </w:pPr>
      <w:r w:rsidRPr="00030E96">
        <w:rPr>
          <w:noProof/>
        </w:rPr>
        <w:drawing>
          <wp:inline distT="0" distB="0" distL="0" distR="0" wp14:anchorId="3B42AC1E" wp14:editId="6D967A78">
            <wp:extent cx="4572000" cy="2210938"/>
            <wp:effectExtent l="0" t="0" r="0" b="0"/>
            <wp:docPr id="18" name="Chart 18">
              <a:extLst xmlns:a="http://schemas.openxmlformats.org/drawingml/2006/main">
                <a:ext uri="{FF2B5EF4-FFF2-40B4-BE49-F238E27FC236}">
                  <a16:creationId xmlns:a16="http://schemas.microsoft.com/office/drawing/2014/main" id="{FE481AE9-A903-4D2C-9A9F-B31923BAC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0D2FAB" w14:textId="7BAB2E40" w:rsidR="00476DE0" w:rsidRDefault="00476DE0" w:rsidP="00476DE0">
      <w:pPr>
        <w:pStyle w:val="Podgrafom"/>
      </w:pPr>
      <w:r>
        <w:t>Zdroj: NBS</w:t>
      </w:r>
    </w:p>
    <w:p w14:paraId="5F7B13BC" w14:textId="77777777" w:rsidR="00576971" w:rsidRDefault="00576971" w:rsidP="00476DE0">
      <w:pPr>
        <w:pStyle w:val="Podgrafom"/>
      </w:pPr>
    </w:p>
    <w:p w14:paraId="0A985513" w14:textId="2977BC14" w:rsidR="00476DE0" w:rsidRDefault="00476DE0" w:rsidP="00476DE0">
      <w:r w:rsidRPr="005A7A69">
        <w:rPr>
          <w:b/>
          <w:bCs/>
        </w:rPr>
        <w:t xml:space="preserve">Napriek všeobecnej panike na finančných trhoch a pomerne dramatickému </w:t>
      </w:r>
      <w:r w:rsidR="00133962">
        <w:rPr>
          <w:b/>
          <w:bCs/>
        </w:rPr>
        <w:t>vplyvu</w:t>
      </w:r>
      <w:r w:rsidRPr="005A7A69">
        <w:rPr>
          <w:b/>
          <w:bCs/>
        </w:rPr>
        <w:t xml:space="preserve"> takéhoto vývoja na hodnotu podielov vo fondoch kolektívneho investovania nemusel tunajší sektor čeliť návalu </w:t>
      </w:r>
      <w:proofErr w:type="spellStart"/>
      <w:r w:rsidRPr="005A7A69">
        <w:rPr>
          <w:b/>
          <w:bCs/>
        </w:rPr>
        <w:t>redemácií</w:t>
      </w:r>
      <w:proofErr w:type="spellEnd"/>
      <w:r w:rsidR="00EE7D00">
        <w:rPr>
          <w:b/>
          <w:bCs/>
        </w:rPr>
        <w:t>,</w:t>
      </w:r>
      <w:r w:rsidRPr="005A7A69">
        <w:rPr>
          <w:b/>
          <w:bCs/>
        </w:rPr>
        <w:t xml:space="preserve"> ako to </w:t>
      </w:r>
      <w:r w:rsidR="0068581E">
        <w:rPr>
          <w:b/>
          <w:bCs/>
        </w:rPr>
        <w:t>v </w:t>
      </w:r>
      <w:r w:rsidRPr="005A7A69">
        <w:rPr>
          <w:b/>
          <w:bCs/>
        </w:rPr>
        <w:t xml:space="preserve"> minulosti bývalo zvykom </w:t>
      </w:r>
      <w:r w:rsidR="0068581E">
        <w:rPr>
          <w:b/>
          <w:bCs/>
        </w:rPr>
        <w:t>v </w:t>
      </w:r>
      <w:r w:rsidRPr="005A7A69">
        <w:rPr>
          <w:b/>
          <w:bCs/>
        </w:rPr>
        <w:t>obdobných situáciách.</w:t>
      </w:r>
      <w:r>
        <w:t xml:space="preserve"> Prevládajúca snaha </w:t>
      </w:r>
      <w:r w:rsidR="0068581E">
        <w:t>o </w:t>
      </w:r>
      <w:r>
        <w:t xml:space="preserve"> zbavovanie sa podielových listov sa objavila, ale pretrvala len niekoľko týždňov. </w:t>
      </w:r>
      <w:r w:rsidR="0068581E">
        <w:t>V </w:t>
      </w:r>
      <w:r>
        <w:t xml:space="preserve">marci týmto spôsobom </w:t>
      </w:r>
      <w:r w:rsidR="00C94DD0">
        <w:t xml:space="preserve">ubudlo </w:t>
      </w:r>
      <w:r w:rsidR="0068581E">
        <w:t>z </w:t>
      </w:r>
      <w:r>
        <w:t>tuzemských podielových fondov 12</w:t>
      </w:r>
      <w:r w:rsidR="0068581E">
        <w:t>1 mil. €</w:t>
      </w:r>
      <w:r>
        <w:t xml:space="preserve">, ale </w:t>
      </w:r>
      <w:r w:rsidR="0068581E">
        <w:t>v </w:t>
      </w:r>
      <w:r>
        <w:t xml:space="preserve">ďalších troch mesiacoch sa už čisté predaje preklopili opäť do </w:t>
      </w:r>
      <w:r>
        <w:lastRenderedPageBreak/>
        <w:t xml:space="preserve">kladných čísel. Spolu </w:t>
      </w:r>
      <w:r w:rsidR="0068581E">
        <w:t>s </w:t>
      </w:r>
      <w:r>
        <w:t xml:space="preserve">dobrým vstupom do začiatku roka 2020 tak celková bilancia čistých predajov </w:t>
      </w:r>
      <w:r w:rsidR="0068581E">
        <w:t>v </w:t>
      </w:r>
      <w:r>
        <w:t>sledovanom období predstavovala plus 8</w:t>
      </w:r>
      <w:r w:rsidR="0068581E">
        <w:t>1 mil. €</w:t>
      </w:r>
      <w:r>
        <w:t xml:space="preserve">. Tento výsledok pozitívne kontrastuje </w:t>
      </w:r>
      <w:r w:rsidR="0068581E">
        <w:t>s </w:t>
      </w:r>
      <w:r>
        <w:t xml:space="preserve">dianím počas veľkej finančnej krízy, keď klienti zo sektora </w:t>
      </w:r>
      <w:r w:rsidR="0068581E">
        <w:t>v </w:t>
      </w:r>
      <w:r>
        <w:t>krátkom čase stiahli takmer tretinu úspor, ktoré tu mali na</w:t>
      </w:r>
      <w:r w:rsidR="00EE7D00">
        <w:t>a</w:t>
      </w:r>
      <w:r>
        <w:t xml:space="preserve">kumulované. </w:t>
      </w:r>
    </w:p>
    <w:p w14:paraId="11046870" w14:textId="6A5A6855" w:rsidR="00476DE0" w:rsidRDefault="00476DE0" w:rsidP="00476DE0">
      <w:proofErr w:type="spellStart"/>
      <w:r w:rsidRPr="005A7A69">
        <w:rPr>
          <w:b/>
          <w:bCs/>
        </w:rPr>
        <w:t>Redemácie</w:t>
      </w:r>
      <w:proofErr w:type="spellEnd"/>
      <w:r w:rsidRPr="005A7A69">
        <w:rPr>
          <w:b/>
          <w:bCs/>
        </w:rPr>
        <w:t xml:space="preserve"> neboli destabilizujúce ani na úrovni individuálnych podielových fondov. </w:t>
      </w:r>
      <w:r>
        <w:t xml:space="preserve">Najviac, zhruba jednu pätinu NAV, vybrali podielnici </w:t>
      </w:r>
      <w:r w:rsidR="0068581E">
        <w:t>v </w:t>
      </w:r>
      <w:r>
        <w:t xml:space="preserve"> marci 2020 </w:t>
      </w:r>
      <w:r w:rsidR="0068581E">
        <w:t>z </w:t>
      </w:r>
      <w:r>
        <w:t xml:space="preserve">jedného objemom aktív málo významného podielového fondu. Za ním nasledovala už </w:t>
      </w:r>
      <w:r w:rsidR="0068581E">
        <w:t>s </w:t>
      </w:r>
      <w:r>
        <w:t xml:space="preserve">odstupom skupina desiatich tuzemských podielových fondov, ktorých záporné čisté predaje </w:t>
      </w:r>
      <w:r w:rsidR="0068581E">
        <w:t>v </w:t>
      </w:r>
      <w:r>
        <w:t xml:space="preserve">tomto kritickom mesiaci boli </w:t>
      </w:r>
      <w:r w:rsidR="0068581E">
        <w:t>v </w:t>
      </w:r>
      <w:r>
        <w:t>rozsahu  od -1</w:t>
      </w:r>
      <w:r w:rsidR="0068581E">
        <w:t>1 %</w:t>
      </w:r>
      <w:r>
        <w:t xml:space="preserve"> do -</w:t>
      </w:r>
      <w:r w:rsidR="0068581E">
        <w:t>6 %</w:t>
      </w:r>
      <w:r>
        <w:t xml:space="preserve"> NAV. Vo zvyšku sektora marcové odpredaje podielových listov nepresiahli </w:t>
      </w:r>
      <w:r w:rsidR="0068581E">
        <w:t>4 %</w:t>
      </w:r>
      <w:r>
        <w:t xml:space="preserve"> NAV jednotlivých podielových fondov.</w:t>
      </w:r>
    </w:p>
    <w:p w14:paraId="71275370" w14:textId="13E1D1C8" w:rsidR="00476DE0" w:rsidRDefault="00476DE0" w:rsidP="00476DE0">
      <w:r w:rsidRPr="005A7A69">
        <w:rPr>
          <w:b/>
          <w:bCs/>
        </w:rPr>
        <w:t>Tuzemské podielové fondy zároveň disponovali dostatkom likvidných aktív na pokrytie tých výberov, ktoré nastali.</w:t>
      </w:r>
      <w:r>
        <w:t xml:space="preserve"> Len podiel najlikvidnejšej zložky portfólia </w:t>
      </w:r>
      <w:r w:rsidR="0068581E">
        <w:t>v </w:t>
      </w:r>
      <w:r>
        <w:t xml:space="preserve">podobe vkladov </w:t>
      </w:r>
      <w:r w:rsidR="0068581E">
        <w:t>v </w:t>
      </w:r>
      <w:r>
        <w:t xml:space="preserve">bankách sa </w:t>
      </w:r>
      <w:r w:rsidR="0068581E">
        <w:t>s </w:t>
      </w:r>
      <w:r>
        <w:t xml:space="preserve">výnimkou akciových podielových fondov nachádzal </w:t>
      </w:r>
      <w:r w:rsidR="0068581E">
        <w:t>v </w:t>
      </w:r>
      <w:r>
        <w:t>ostatných kategóriách na úrovni 1</w:t>
      </w:r>
      <w:r w:rsidR="0068581E">
        <w:t>5 %</w:t>
      </w:r>
      <w:r>
        <w:t xml:space="preserve"> a viac. </w:t>
      </w:r>
      <w:r w:rsidR="0068581E">
        <w:t>V </w:t>
      </w:r>
      <w:r>
        <w:t xml:space="preserve">dlhopisových podielových fondoch síce nastal nezanedbateľný pokles zastúpenia bankových vkladov, ale aj po tejto zmene predstavovali stále viac ako jednu štvrtinu objemu aktív. Akciové podielové fondy, ktoré však neboli predmetom </w:t>
      </w:r>
      <w:proofErr w:type="spellStart"/>
      <w:r>
        <w:t>redemácií</w:t>
      </w:r>
      <w:proofErr w:type="spellEnd"/>
      <w:r>
        <w:t xml:space="preserve">, mierne posilnili likvidnú rezervu držanú </w:t>
      </w:r>
      <w:r w:rsidR="0068581E">
        <w:t>v </w:t>
      </w:r>
      <w:r>
        <w:t>bankách na úroveň 1</w:t>
      </w:r>
      <w:r w:rsidR="0068581E">
        <w:t>0 %</w:t>
      </w:r>
      <w:r>
        <w:t xml:space="preserve"> ich NAV.</w:t>
      </w:r>
    </w:p>
    <w:p w14:paraId="3AE50E70" w14:textId="1E6FB6D6" w:rsidR="005F7FCE" w:rsidRDefault="005F7FCE" w:rsidP="005F7FCE">
      <w:pPr>
        <w:pStyle w:val="Modrnadpis"/>
      </w:pPr>
      <w:r>
        <w:t xml:space="preserve">Predajnosť podielových listov potiahli najmä akciové podielové fondy, pokračoval pokles záujmu </w:t>
      </w:r>
      <w:r w:rsidR="0068581E">
        <w:t>o </w:t>
      </w:r>
      <w:r>
        <w:t>podielové fondy dlhopisového zamerania</w:t>
      </w:r>
    </w:p>
    <w:p w14:paraId="0CB8DA94" w14:textId="2828A12C" w:rsidR="00476DE0" w:rsidRDefault="00476DE0" w:rsidP="00476DE0">
      <w:r w:rsidRPr="005A7A69">
        <w:rPr>
          <w:b/>
          <w:bCs/>
        </w:rPr>
        <w:t>Najväčším dielom, čo do absolútnej výšky (-14</w:t>
      </w:r>
      <w:r w:rsidR="0068581E">
        <w:rPr>
          <w:b/>
          <w:bCs/>
        </w:rPr>
        <w:t>0 mil. €</w:t>
      </w:r>
      <w:r w:rsidRPr="005A7A69">
        <w:rPr>
          <w:b/>
          <w:bCs/>
        </w:rPr>
        <w:t xml:space="preserve">), </w:t>
      </w:r>
      <w:r w:rsidR="0068581E">
        <w:rPr>
          <w:b/>
          <w:bCs/>
        </w:rPr>
        <w:t>k </w:t>
      </w:r>
      <w:r w:rsidRPr="005A7A69">
        <w:rPr>
          <w:b/>
          <w:bCs/>
        </w:rPr>
        <w:t>celkovému poklesu NAV tuzemských podielových fondov</w:t>
      </w:r>
      <w:r w:rsidR="00E356D3">
        <w:rPr>
          <w:b/>
          <w:bCs/>
        </w:rPr>
        <w:t>,</w:t>
      </w:r>
      <w:r w:rsidRPr="005A7A69">
        <w:rPr>
          <w:b/>
          <w:bCs/>
        </w:rPr>
        <w:t xml:space="preserve"> prispeli zmiešané podielové fondy.</w:t>
      </w:r>
      <w:r>
        <w:t xml:space="preserve"> Ich čisté predaje za prvý polrok 2020 síce skončili tesne </w:t>
      </w:r>
      <w:r w:rsidR="0068581E">
        <w:t>v </w:t>
      </w:r>
      <w:r>
        <w:t xml:space="preserve">kladných číslach, ale to nepostačovalo na pokrytie výpadku NAV </w:t>
      </w:r>
      <w:r w:rsidR="0068581E">
        <w:t>v </w:t>
      </w:r>
      <w:r>
        <w:t xml:space="preserve">dôsledku negatívnej výkonnosti. </w:t>
      </w:r>
    </w:p>
    <w:p w14:paraId="218803AA" w14:textId="377EBD8F" w:rsidR="00476DE0" w:rsidRDefault="00476DE0" w:rsidP="00476DE0">
      <w:r w:rsidRPr="005A7A69">
        <w:rPr>
          <w:b/>
          <w:bCs/>
        </w:rPr>
        <w:t>Druhou kategóriou, ktorá zaznamenala zníženie objemu aktív, vo výške</w:t>
      </w:r>
      <w:r w:rsidR="005E3F91">
        <w:rPr>
          <w:b/>
          <w:bCs/>
        </w:rPr>
        <w:t xml:space="preserve"> </w:t>
      </w:r>
      <w:r w:rsidR="00C94DD0">
        <w:rPr>
          <w:b/>
          <w:bCs/>
        </w:rPr>
        <w:noBreakHyphen/>
      </w:r>
      <w:r w:rsidRPr="005A7A69">
        <w:rPr>
          <w:b/>
          <w:bCs/>
        </w:rPr>
        <w:t>10</w:t>
      </w:r>
      <w:r w:rsidR="0068581E">
        <w:rPr>
          <w:b/>
          <w:bCs/>
        </w:rPr>
        <w:t>0 mil. €</w:t>
      </w:r>
      <w:r w:rsidRPr="005A7A69">
        <w:rPr>
          <w:b/>
          <w:bCs/>
        </w:rPr>
        <w:t>, boli dlhopisové podielové fondy.</w:t>
      </w:r>
      <w:r>
        <w:t xml:space="preserve"> </w:t>
      </w:r>
      <w:r w:rsidR="0068581E">
        <w:t>V </w:t>
      </w:r>
      <w:r>
        <w:t xml:space="preserve">prípade týchto fondov naopak až tri štvrtiny </w:t>
      </w:r>
      <w:r w:rsidR="0068581E">
        <w:t>z </w:t>
      </w:r>
      <w:r>
        <w:t xml:space="preserve">tohto poklesu idú na vrub </w:t>
      </w:r>
      <w:proofErr w:type="spellStart"/>
      <w:r>
        <w:t>redemácií</w:t>
      </w:r>
      <w:proofErr w:type="spellEnd"/>
      <w:r>
        <w:t xml:space="preserve">. Nedá sa však povedať, že by išlo zo strany klientov </w:t>
      </w:r>
      <w:r w:rsidR="0068581E">
        <w:t>o </w:t>
      </w:r>
      <w:r>
        <w:t xml:space="preserve">reakciu na </w:t>
      </w:r>
      <w:proofErr w:type="spellStart"/>
      <w:r>
        <w:t>koronakrízu</w:t>
      </w:r>
      <w:proofErr w:type="spellEnd"/>
      <w:r>
        <w:t xml:space="preserve"> a turbulencie na finančných trhoch. Dlhopisové podielové fondy sa na Slovensku už dlhodobo stretávajú </w:t>
      </w:r>
      <w:r w:rsidR="0068581E">
        <w:t>s </w:t>
      </w:r>
      <w:r>
        <w:t xml:space="preserve">klesajúcim záujmom. Tempo odlevu prostriedkov </w:t>
      </w:r>
      <w:r w:rsidR="0068581E">
        <w:t>z </w:t>
      </w:r>
      <w:r>
        <w:t>dlhopisových podielových fondo</w:t>
      </w:r>
      <w:r w:rsidR="00B96BB3">
        <w:t>v</w:t>
      </w:r>
      <w:r>
        <w:t xml:space="preserve"> bolo </w:t>
      </w:r>
      <w:r w:rsidR="0068581E">
        <w:t>v </w:t>
      </w:r>
      <w:r>
        <w:t xml:space="preserve">priebehu sledovaného obdobia </w:t>
      </w:r>
      <w:r w:rsidR="0068581E">
        <w:t>o </w:t>
      </w:r>
      <w:r>
        <w:t xml:space="preserve">niečo vyššie ako </w:t>
      </w:r>
      <w:r w:rsidR="0068581E">
        <w:t>v </w:t>
      </w:r>
      <w:r>
        <w:t xml:space="preserve">roku 2019, ale </w:t>
      </w:r>
      <w:r w:rsidR="0068581E">
        <w:t>v </w:t>
      </w:r>
      <w:r>
        <w:t xml:space="preserve">porovnaní </w:t>
      </w:r>
      <w:r w:rsidR="0068581E">
        <w:t>s </w:t>
      </w:r>
      <w:r>
        <w:t>ďalšími štyrmi predošlými rokmi dokonca pod ich priemerom.</w:t>
      </w:r>
    </w:p>
    <w:p w14:paraId="4603EE7F" w14:textId="02DBC8B1" w:rsidR="00DD7D07" w:rsidRDefault="00DD7D07" w:rsidP="00DD7D07">
      <w:pPr>
        <w:pStyle w:val="Nadpisgrafu"/>
      </w:pPr>
      <w:r>
        <w:lastRenderedPageBreak/>
        <w:t xml:space="preserve">Graf </w:t>
      </w:r>
      <w:fldSimple w:instr=" SEQ Graf \* ARABIC ">
        <w:r w:rsidR="00A02A40">
          <w:rPr>
            <w:noProof/>
          </w:rPr>
          <w:t>24</w:t>
        </w:r>
      </w:fldSimple>
      <w:r>
        <w:t xml:space="preserve"> </w:t>
      </w:r>
      <w:r w:rsidRPr="005A7A69">
        <w:t xml:space="preserve">Čisté predaje a zmena NAV </w:t>
      </w:r>
      <w:r>
        <w:t>v </w:t>
      </w:r>
      <w:r w:rsidRPr="005A7A69">
        <w:t>jednotlivých kategóriách tuzemských podielových fondov (mil. EUR)</w:t>
      </w:r>
    </w:p>
    <w:p w14:paraId="1FE165EA" w14:textId="77777777" w:rsidR="00DD7D07" w:rsidRDefault="00DD7D07" w:rsidP="00DD7D07">
      <w:pPr>
        <w:pStyle w:val="Podgrafom"/>
      </w:pPr>
      <w:r>
        <w:rPr>
          <w:noProof/>
        </w:rPr>
        <w:drawing>
          <wp:inline distT="0" distB="0" distL="0" distR="0" wp14:anchorId="606521D3" wp14:editId="0C8C379F">
            <wp:extent cx="4694830" cy="2292350"/>
            <wp:effectExtent l="0" t="0" r="0" b="0"/>
            <wp:docPr id="228" name="Chart 228">
              <a:extLst xmlns:a="http://schemas.openxmlformats.org/drawingml/2006/main">
                <a:ext uri="{FF2B5EF4-FFF2-40B4-BE49-F238E27FC236}">
                  <a16:creationId xmlns:a16="http://schemas.microsoft.com/office/drawing/2014/main" id="{00C15F34-B6BC-42A4-8DDC-FC5F0DDF4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0F8B71" w14:textId="0ECF3270" w:rsidR="00DD7D07" w:rsidRDefault="00DD7D07" w:rsidP="00DD7D07">
      <w:pPr>
        <w:pStyle w:val="Podgrafom"/>
      </w:pPr>
      <w:r>
        <w:t>Zdroj: NBS</w:t>
      </w:r>
    </w:p>
    <w:p w14:paraId="3DCE9C0C" w14:textId="77777777" w:rsidR="00DD7D07" w:rsidRDefault="00DD7D07" w:rsidP="00DD7D07">
      <w:pPr>
        <w:pStyle w:val="Podgrafom"/>
      </w:pPr>
    </w:p>
    <w:p w14:paraId="7A016340" w14:textId="14BB0FF3" w:rsidR="00476DE0" w:rsidRDefault="00476DE0" w:rsidP="00476DE0">
      <w:r w:rsidRPr="005A7A69">
        <w:rPr>
          <w:b/>
          <w:bCs/>
        </w:rPr>
        <w:t xml:space="preserve">Ťahúňom čistých predajov </w:t>
      </w:r>
      <w:r w:rsidR="0068581E">
        <w:rPr>
          <w:b/>
          <w:bCs/>
        </w:rPr>
        <w:t>v </w:t>
      </w:r>
      <w:r w:rsidRPr="005A7A69">
        <w:rPr>
          <w:b/>
          <w:bCs/>
        </w:rPr>
        <w:t>prvom polroku 2020 boli pri objeme 10</w:t>
      </w:r>
      <w:r w:rsidR="0068581E">
        <w:rPr>
          <w:b/>
          <w:bCs/>
        </w:rPr>
        <w:t>2 mil. €</w:t>
      </w:r>
      <w:r w:rsidR="00B96BB3" w:rsidRPr="005A7A69">
        <w:rPr>
          <w:b/>
          <w:bCs/>
        </w:rPr>
        <w:t xml:space="preserve"> </w:t>
      </w:r>
      <w:r w:rsidRPr="005A7A69">
        <w:rPr>
          <w:b/>
          <w:bCs/>
        </w:rPr>
        <w:t xml:space="preserve">jednoznačne, a </w:t>
      </w:r>
      <w:r w:rsidR="0068581E">
        <w:rPr>
          <w:b/>
          <w:bCs/>
        </w:rPr>
        <w:t>z </w:t>
      </w:r>
      <w:r w:rsidRPr="005A7A69">
        <w:rPr>
          <w:b/>
          <w:bCs/>
        </w:rPr>
        <w:t>historickej perspektívy netradične, akciové podielové fondy.</w:t>
      </w:r>
      <w:r>
        <w:t xml:space="preserve"> Dopyt klientov </w:t>
      </w:r>
      <w:r w:rsidR="0068581E">
        <w:t>v </w:t>
      </w:r>
      <w:r>
        <w:t>tejto kategórii bol nepretržitý a pomerne rovnomerne rozložený počas šiestich mesiacov sledovaného obdobia. Za pozornosť stojí, že predajnosť týchto fondov, na rozdiel od všetkých ostatných kategórií, nebola negatívne ovplyvnená ani počas marca, keď sa práve akciové trhy</w:t>
      </w:r>
      <w:r w:rsidR="00B96BB3">
        <w:t>,</w:t>
      </w:r>
      <w:r>
        <w:t xml:space="preserve"> a teda aj hodnota podkladových investícií akciových podielových fondov</w:t>
      </w:r>
      <w:r w:rsidR="00B96BB3">
        <w:t>,</w:t>
      </w:r>
      <w:r>
        <w:t xml:space="preserve"> prudko prepadali. </w:t>
      </w:r>
    </w:p>
    <w:p w14:paraId="22498DEE" w14:textId="660EAAAB" w:rsidR="00476DE0" w:rsidRDefault="00476DE0" w:rsidP="00476DE0">
      <w:r w:rsidRPr="005A7A69">
        <w:rPr>
          <w:b/>
          <w:bCs/>
        </w:rPr>
        <w:t>Tak ako po minulé roky podielnici aj počas prvých šiestich mesiacov roka 2020 prehlbovali svoje vystavenie voči realitným podielovým fondom.</w:t>
      </w:r>
      <w:r>
        <w:t xml:space="preserve"> Čistý prítok nových prostriedkov </w:t>
      </w:r>
      <w:r w:rsidR="0068581E">
        <w:t>v </w:t>
      </w:r>
      <w:r>
        <w:t>objeme 3</w:t>
      </w:r>
      <w:r w:rsidR="0068581E">
        <w:t>9 mil. €</w:t>
      </w:r>
      <w:r w:rsidR="00B96BB3">
        <w:t xml:space="preserve"> </w:t>
      </w:r>
      <w:r>
        <w:t xml:space="preserve">však predstavoval spomalenie tohto trendu. Aj to však postačovalo na to, aby realitné podielové fondy predstihli </w:t>
      </w:r>
      <w:r w:rsidR="0068581E">
        <w:t>v </w:t>
      </w:r>
      <w:r>
        <w:t xml:space="preserve">ukazovateli NAV dlhopisové podielové fondy a prepracovali sa tak na pozíciu druhej najvýznamnejšej kategórie </w:t>
      </w:r>
      <w:r w:rsidR="0068581E">
        <w:t>v </w:t>
      </w:r>
      <w:r>
        <w:t>tuzemskom segmente.</w:t>
      </w:r>
    </w:p>
    <w:p w14:paraId="7AD6AAB7" w14:textId="7B7FE302" w:rsidR="00476DE0" w:rsidRDefault="00476DE0" w:rsidP="00476DE0">
      <w:r w:rsidRPr="005A7A69">
        <w:rPr>
          <w:b/>
          <w:bCs/>
        </w:rPr>
        <w:t>Na strane zahraničných subjektov kolektívneho investovani</w:t>
      </w:r>
      <w:r w:rsidR="00B96BB3">
        <w:rPr>
          <w:b/>
          <w:bCs/>
        </w:rPr>
        <w:t>a</w:t>
      </w:r>
      <w:r w:rsidRPr="005A7A69">
        <w:rPr>
          <w:b/>
          <w:bCs/>
        </w:rPr>
        <w:t xml:space="preserve"> predávaných </w:t>
      </w:r>
      <w:r w:rsidR="0068581E">
        <w:rPr>
          <w:b/>
          <w:bCs/>
        </w:rPr>
        <w:t>v </w:t>
      </w:r>
      <w:r w:rsidRPr="005A7A69">
        <w:rPr>
          <w:b/>
          <w:bCs/>
        </w:rPr>
        <w:t>SR menšie prírastky NAV zaznamenali zmiešané a realitné podielové fondy.</w:t>
      </w:r>
      <w:r>
        <w:t xml:space="preserve"> Čisté predaje mali najvyššie akciové podielové fondy, ale po sčítaní </w:t>
      </w:r>
      <w:r w:rsidR="0068581E">
        <w:t>s </w:t>
      </w:r>
      <w:r>
        <w:t>ich zápornou výkonnosťou bola výsledná zmena NAV prakticky nulová. Podobne ako pri tuzemských</w:t>
      </w:r>
      <w:r w:rsidR="00B96BB3">
        <w:t xml:space="preserve"> podielových fondoch,</w:t>
      </w:r>
      <w:r>
        <w:t xml:space="preserve"> pod najväčším tlakom odpredajov boli dlhopisové podielové fondy. </w:t>
      </w:r>
    </w:p>
    <w:p w14:paraId="4631EC82" w14:textId="3032153A" w:rsidR="005738CD" w:rsidRPr="00C70E80" w:rsidRDefault="00476DE0" w:rsidP="00476DE0">
      <w:r w:rsidRPr="00604A07">
        <w:rPr>
          <w:b/>
          <w:bCs/>
        </w:rPr>
        <w:t xml:space="preserve">Priemerná vážená výkonnosť všetkých tuzemských aj zahraničných podielových fondov </w:t>
      </w:r>
      <w:r w:rsidR="0068581E">
        <w:rPr>
          <w:b/>
          <w:bCs/>
        </w:rPr>
        <w:t>v </w:t>
      </w:r>
      <w:r w:rsidRPr="00604A07">
        <w:rPr>
          <w:b/>
          <w:bCs/>
        </w:rPr>
        <w:t>období od 31.</w:t>
      </w:r>
      <w:r w:rsidR="00B96BB3">
        <w:rPr>
          <w:b/>
          <w:bCs/>
        </w:rPr>
        <w:t> </w:t>
      </w:r>
      <w:r w:rsidRPr="00604A07">
        <w:rPr>
          <w:b/>
          <w:bCs/>
        </w:rPr>
        <w:t>12.</w:t>
      </w:r>
      <w:r w:rsidR="00B96BB3">
        <w:rPr>
          <w:b/>
          <w:bCs/>
        </w:rPr>
        <w:t> </w:t>
      </w:r>
      <w:r w:rsidRPr="00604A07">
        <w:rPr>
          <w:b/>
          <w:bCs/>
        </w:rPr>
        <w:t>2019 do 30.</w:t>
      </w:r>
      <w:r w:rsidR="00B96BB3">
        <w:rPr>
          <w:b/>
          <w:bCs/>
        </w:rPr>
        <w:t> </w:t>
      </w:r>
      <w:r w:rsidRPr="00604A07">
        <w:rPr>
          <w:b/>
          <w:bCs/>
        </w:rPr>
        <w:t>6.</w:t>
      </w:r>
      <w:r w:rsidR="00B96BB3">
        <w:rPr>
          <w:b/>
          <w:bCs/>
        </w:rPr>
        <w:t> </w:t>
      </w:r>
      <w:r w:rsidRPr="00604A07">
        <w:rPr>
          <w:b/>
          <w:bCs/>
        </w:rPr>
        <w:t>2020 dosiahla -</w:t>
      </w:r>
      <w:r w:rsidR="0068581E">
        <w:rPr>
          <w:b/>
          <w:bCs/>
        </w:rPr>
        <w:t>3 %</w:t>
      </w:r>
      <w:r w:rsidRPr="00604A07">
        <w:rPr>
          <w:b/>
          <w:bCs/>
        </w:rPr>
        <w:t>.</w:t>
      </w:r>
      <w:r>
        <w:t xml:space="preserve"> Na celkovom zápornom výsledku sa najväčšmi podpísali akciové podielové fondy </w:t>
      </w:r>
      <w:r w:rsidR="0068581E">
        <w:t>s </w:t>
      </w:r>
      <w:r>
        <w:t>priemerným výnosom -</w:t>
      </w:r>
      <w:r w:rsidR="0068581E">
        <w:t>7 %</w:t>
      </w:r>
      <w:r>
        <w:t xml:space="preserve">, nasledované zmiešanými podielovými fondmi, ktoré sa nominálne znehodnotili </w:t>
      </w:r>
      <w:r w:rsidR="0068581E">
        <w:t>o </w:t>
      </w:r>
      <w:r>
        <w:t>-</w:t>
      </w:r>
      <w:r w:rsidR="0068581E">
        <w:t>4 %</w:t>
      </w:r>
      <w:r>
        <w:t xml:space="preserve">. Síce </w:t>
      </w:r>
      <w:r w:rsidR="0068581E">
        <w:t>v </w:t>
      </w:r>
      <w:r>
        <w:t>menšej miere, ale predsa, zakončili prvý polrok 2020 so stratou -1,</w:t>
      </w:r>
      <w:r w:rsidR="0068581E">
        <w:t>5 %</w:t>
      </w:r>
      <w:r>
        <w:t xml:space="preserve"> aj podielové fondy </w:t>
      </w:r>
      <w:r w:rsidR="0068581E">
        <w:t>z </w:t>
      </w:r>
      <w:r>
        <w:t xml:space="preserve">kategórie dlhopisových. Realitné podielové fondy, tak ako </w:t>
      </w:r>
      <w:r w:rsidR="0068581E">
        <w:t>v </w:t>
      </w:r>
      <w:r>
        <w:t>minulosti preukázali minimálnu koreláciu so širším vývojom na finančných trhoch</w:t>
      </w:r>
      <w:r w:rsidR="00B96BB3">
        <w:t>,</w:t>
      </w:r>
      <w:r>
        <w:t xml:space="preserve"> ako jediné vykázali kladnú výkonnosť vo výške 1,</w:t>
      </w:r>
      <w:r w:rsidR="0068581E">
        <w:t>2 %</w:t>
      </w:r>
      <w:r>
        <w:t>.</w:t>
      </w:r>
    </w:p>
    <w:p w14:paraId="3825EC99" w14:textId="7CAC8B8D" w:rsidR="003E54A6" w:rsidRPr="00C70E80" w:rsidRDefault="003E54A6" w:rsidP="00CD783D">
      <w:pPr>
        <w:spacing w:before="0" w:line="0" w:lineRule="auto"/>
        <w:jc w:val="left"/>
        <w:rPr>
          <w:rFonts w:ascii="Verdana" w:eastAsiaTheme="majorEastAsia" w:hAnsi="Verdana" w:cstheme="majorBidi"/>
          <w:color w:val="004C80" w:themeColor="accent1" w:themeShade="BF"/>
          <w:sz w:val="54"/>
          <w:szCs w:val="32"/>
        </w:rPr>
      </w:pPr>
    </w:p>
    <w:p w14:paraId="15B1C7E1" w14:textId="7094F1E4" w:rsidR="00335462" w:rsidRPr="00C70E80" w:rsidRDefault="008F6339" w:rsidP="00BC62B2">
      <w:pPr>
        <w:pStyle w:val="Heading1bezsla"/>
      </w:pPr>
      <w:bookmarkStart w:id="48" w:name="_Toc43204216"/>
      <w:bookmarkStart w:id="49" w:name="_Toc52285639"/>
      <w:r>
        <w:lastRenderedPageBreak/>
        <w:t>S</w:t>
      </w:r>
      <w:r w:rsidR="008E44FF" w:rsidRPr="00C70E80">
        <w:t>kratky</w:t>
      </w:r>
      <w:bookmarkEnd w:id="48"/>
      <w:bookmarkEnd w:id="49"/>
    </w:p>
    <w:p w14:paraId="1EE3FDCA" w14:textId="454F165B" w:rsidR="00271366" w:rsidRPr="005E3F91" w:rsidRDefault="00271366" w:rsidP="006E34DD">
      <w:pPr>
        <w:pStyle w:val="Modrnadpis"/>
      </w:pPr>
      <w:bookmarkStart w:id="50" w:name="_Hlk51233896"/>
    </w:p>
    <w:tbl>
      <w:tblPr>
        <w:tblW w:w="0" w:type="auto"/>
        <w:tblCellMar>
          <w:left w:w="0" w:type="dxa"/>
          <w:right w:w="0" w:type="dxa"/>
        </w:tblCellMar>
        <w:tblLook w:val="04A0" w:firstRow="1" w:lastRow="0" w:firstColumn="1" w:lastColumn="0" w:noHBand="0" w:noVBand="1"/>
      </w:tblPr>
      <w:tblGrid>
        <w:gridCol w:w="1271"/>
        <w:gridCol w:w="6089"/>
      </w:tblGrid>
      <w:tr w:rsidR="00D06559" w:rsidRPr="00D82A4E" w14:paraId="046145E7" w14:textId="77777777" w:rsidTr="00D06559">
        <w:tc>
          <w:tcPr>
            <w:tcW w:w="1271" w:type="dxa"/>
          </w:tcPr>
          <w:p w14:paraId="0BB0C518" w14:textId="6C5E0EBE" w:rsidR="00D06559" w:rsidRPr="005E3F91" w:rsidRDefault="00D06559" w:rsidP="00F02020">
            <w:pPr>
              <w:spacing w:before="0" w:after="40" w:line="278" w:lineRule="auto"/>
              <w:rPr>
                <w:b/>
              </w:rPr>
            </w:pPr>
            <w:r w:rsidRPr="005E3F91">
              <w:rPr>
                <w:b/>
              </w:rPr>
              <w:t>AHDJ</w:t>
            </w:r>
          </w:p>
        </w:tc>
        <w:tc>
          <w:tcPr>
            <w:tcW w:w="6089" w:type="dxa"/>
          </w:tcPr>
          <w:p w14:paraId="1785D5A1" w14:textId="003666EE" w:rsidR="00D06559" w:rsidRPr="005E3F91" w:rsidRDefault="00D06559" w:rsidP="00F02020">
            <w:pPr>
              <w:spacing w:before="0" w:after="40" w:line="278" w:lineRule="auto"/>
            </w:pPr>
            <w:r w:rsidRPr="005E3F91">
              <w:t>aktuálna hodnota dôchodkovej jednotky</w:t>
            </w:r>
          </w:p>
        </w:tc>
      </w:tr>
      <w:tr w:rsidR="00BD1F14" w:rsidRPr="004950F5" w14:paraId="0F311F5C" w14:textId="77777777" w:rsidTr="00D06559">
        <w:tc>
          <w:tcPr>
            <w:tcW w:w="1271" w:type="dxa"/>
          </w:tcPr>
          <w:p w14:paraId="34BA413B" w14:textId="3A6C7D45" w:rsidR="00BD1F14" w:rsidRPr="005E3F91" w:rsidRDefault="0068581E" w:rsidP="00F02020">
            <w:pPr>
              <w:spacing w:before="0" w:after="40" w:line="278" w:lineRule="auto"/>
              <w:rPr>
                <w:b/>
              </w:rPr>
            </w:pPr>
            <w:r>
              <w:rPr>
                <w:b/>
              </w:rPr>
              <w:t>b. b.</w:t>
            </w:r>
          </w:p>
        </w:tc>
        <w:tc>
          <w:tcPr>
            <w:tcW w:w="6089" w:type="dxa"/>
          </w:tcPr>
          <w:p w14:paraId="68653F0F" w14:textId="2EA75BBE" w:rsidR="00BD1F14" w:rsidRPr="005E3F91" w:rsidRDefault="00BD1F14" w:rsidP="00F02020">
            <w:pPr>
              <w:spacing w:before="0" w:after="40" w:line="278" w:lineRule="auto"/>
            </w:pPr>
            <w:r w:rsidRPr="005E3F91">
              <w:t>bázický bod</w:t>
            </w:r>
          </w:p>
        </w:tc>
      </w:tr>
      <w:tr w:rsidR="004950F5" w:rsidRPr="004950F5" w14:paraId="4D369B8D" w14:textId="77777777" w:rsidTr="003E150E">
        <w:tc>
          <w:tcPr>
            <w:tcW w:w="1271" w:type="dxa"/>
          </w:tcPr>
          <w:p w14:paraId="792B6AE6" w14:textId="77777777" w:rsidR="00D82A4E" w:rsidRPr="005E3F91" w:rsidRDefault="00D82A4E" w:rsidP="003E150E">
            <w:pPr>
              <w:spacing w:before="0" w:after="40" w:line="278" w:lineRule="auto"/>
              <w:rPr>
                <w:b/>
              </w:rPr>
            </w:pPr>
            <w:proofErr w:type="spellStart"/>
            <w:r w:rsidRPr="005E3F91">
              <w:rPr>
                <w:b/>
              </w:rPr>
              <w:t>Bisnode</w:t>
            </w:r>
            <w:proofErr w:type="spellEnd"/>
          </w:p>
        </w:tc>
        <w:tc>
          <w:tcPr>
            <w:tcW w:w="6089" w:type="dxa"/>
          </w:tcPr>
          <w:p w14:paraId="11B0F869" w14:textId="03653457" w:rsidR="00D82A4E" w:rsidRPr="005E3F91" w:rsidRDefault="00D82A4E" w:rsidP="003E150E">
            <w:pPr>
              <w:spacing w:before="0" w:after="40" w:line="278" w:lineRule="auto"/>
            </w:pPr>
            <w:r w:rsidRPr="005E3F91">
              <w:t xml:space="preserve">európsky poskytovateľ ekonomických informácií </w:t>
            </w:r>
            <w:r w:rsidR="0068581E">
              <w:t>o </w:t>
            </w:r>
            <w:r w:rsidRPr="005E3F91">
              <w:t>spoločnostiach a podnikateľoch</w:t>
            </w:r>
          </w:p>
        </w:tc>
      </w:tr>
      <w:tr w:rsidR="004950F5" w:rsidRPr="004950F5" w14:paraId="7A14609E" w14:textId="77777777" w:rsidTr="003E150E">
        <w:tc>
          <w:tcPr>
            <w:tcW w:w="1271" w:type="dxa"/>
          </w:tcPr>
          <w:p w14:paraId="25E119CB" w14:textId="77777777" w:rsidR="00D82A4E" w:rsidRPr="005E3F91" w:rsidRDefault="00D82A4E" w:rsidP="003E150E">
            <w:pPr>
              <w:spacing w:before="0" w:after="40" w:line="278" w:lineRule="auto"/>
              <w:rPr>
                <w:b/>
              </w:rPr>
            </w:pPr>
            <w:r w:rsidRPr="005E3F91">
              <w:rPr>
                <w:b/>
              </w:rPr>
              <w:t>CAR</w:t>
            </w:r>
          </w:p>
        </w:tc>
        <w:tc>
          <w:tcPr>
            <w:tcW w:w="6089" w:type="dxa"/>
          </w:tcPr>
          <w:p w14:paraId="47A75929" w14:textId="77777777" w:rsidR="00D82A4E" w:rsidRPr="005E3F91" w:rsidRDefault="00D82A4E" w:rsidP="003E150E">
            <w:pPr>
              <w:spacing w:before="0" w:after="40" w:line="278" w:lineRule="auto"/>
            </w:pPr>
            <w:r w:rsidRPr="005E3F91">
              <w:t>primeranosť vlastných zdrojov (</w:t>
            </w:r>
            <w:proofErr w:type="spellStart"/>
            <w:r w:rsidRPr="005E3F91">
              <w:t>Capital</w:t>
            </w:r>
            <w:proofErr w:type="spellEnd"/>
            <w:r w:rsidRPr="005E3F91">
              <w:t xml:space="preserve"> </w:t>
            </w:r>
            <w:proofErr w:type="spellStart"/>
            <w:r w:rsidRPr="005E3F91">
              <w:t>Adequacy</w:t>
            </w:r>
            <w:proofErr w:type="spellEnd"/>
            <w:r w:rsidRPr="005E3F91">
              <w:t xml:space="preserve"> </w:t>
            </w:r>
            <w:proofErr w:type="spellStart"/>
            <w:r w:rsidRPr="005E3F91">
              <w:t>Ratio</w:t>
            </w:r>
            <w:proofErr w:type="spellEnd"/>
            <w:r w:rsidRPr="005E3F91">
              <w:t>)</w:t>
            </w:r>
          </w:p>
        </w:tc>
      </w:tr>
      <w:tr w:rsidR="004950F5" w:rsidRPr="004950F5" w14:paraId="5F710D78" w14:textId="77777777" w:rsidTr="003E150E">
        <w:tc>
          <w:tcPr>
            <w:tcW w:w="1271" w:type="dxa"/>
          </w:tcPr>
          <w:p w14:paraId="1D497901" w14:textId="77777777" w:rsidR="00D82A4E" w:rsidRPr="005E3F91" w:rsidRDefault="00D82A4E" w:rsidP="003E150E">
            <w:pPr>
              <w:spacing w:before="0" w:after="40" w:line="278" w:lineRule="auto"/>
              <w:rPr>
                <w:b/>
              </w:rPr>
            </w:pPr>
            <w:r w:rsidRPr="005E3F91">
              <w:rPr>
                <w:b/>
              </w:rPr>
              <w:t>CEE</w:t>
            </w:r>
          </w:p>
        </w:tc>
        <w:tc>
          <w:tcPr>
            <w:tcW w:w="6089" w:type="dxa"/>
          </w:tcPr>
          <w:p w14:paraId="26B3EBFD" w14:textId="77777777" w:rsidR="00D82A4E" w:rsidRPr="005E3F91" w:rsidRDefault="00D82A4E" w:rsidP="003E150E">
            <w:pPr>
              <w:spacing w:before="0" w:after="40" w:line="278" w:lineRule="auto"/>
            </w:pPr>
            <w:r w:rsidRPr="005E3F91">
              <w:t>krajiny strednej a východnej časti EÚ</w:t>
            </w:r>
          </w:p>
        </w:tc>
      </w:tr>
      <w:tr w:rsidR="00D06559" w:rsidRPr="00D82A4E" w14:paraId="59029CA4" w14:textId="77777777" w:rsidTr="00D06559">
        <w:tc>
          <w:tcPr>
            <w:tcW w:w="1271" w:type="dxa"/>
          </w:tcPr>
          <w:p w14:paraId="34A64583" w14:textId="423B47D0" w:rsidR="00D06559" w:rsidRPr="005E3F91" w:rsidRDefault="00D06559" w:rsidP="00F02020">
            <w:pPr>
              <w:spacing w:before="0" w:after="40" w:line="278" w:lineRule="auto"/>
              <w:rPr>
                <w:b/>
              </w:rPr>
            </w:pPr>
            <w:r w:rsidRPr="005E3F91">
              <w:rPr>
                <w:b/>
              </w:rPr>
              <w:t>COVID-19</w:t>
            </w:r>
          </w:p>
        </w:tc>
        <w:tc>
          <w:tcPr>
            <w:tcW w:w="6089" w:type="dxa"/>
          </w:tcPr>
          <w:p w14:paraId="69C5816A" w14:textId="7AF3B10A" w:rsidR="00D06559" w:rsidRPr="005E3F91" w:rsidRDefault="00D06559" w:rsidP="00F02020">
            <w:pPr>
              <w:spacing w:before="0" w:after="40" w:line="278" w:lineRule="auto"/>
            </w:pPr>
            <w:proofErr w:type="spellStart"/>
            <w:r w:rsidRPr="005E3F91">
              <w:t>koronavírusové</w:t>
            </w:r>
            <w:proofErr w:type="spellEnd"/>
            <w:r w:rsidRPr="005E3F91">
              <w:t xml:space="preserve"> ochorenie</w:t>
            </w:r>
          </w:p>
        </w:tc>
      </w:tr>
      <w:tr w:rsidR="004950F5" w:rsidRPr="004950F5" w14:paraId="3FC7851C" w14:textId="77777777" w:rsidTr="003E150E">
        <w:tc>
          <w:tcPr>
            <w:tcW w:w="1271" w:type="dxa"/>
          </w:tcPr>
          <w:p w14:paraId="479B731C" w14:textId="77777777" w:rsidR="00D82A4E" w:rsidRPr="005E3F91" w:rsidRDefault="00D82A4E" w:rsidP="003E150E">
            <w:pPr>
              <w:spacing w:before="0" w:after="40" w:line="278" w:lineRule="auto"/>
              <w:rPr>
                <w:b/>
              </w:rPr>
            </w:pPr>
            <w:r w:rsidRPr="005E3F91">
              <w:rPr>
                <w:b/>
              </w:rPr>
              <w:t>ČNB</w:t>
            </w:r>
          </w:p>
        </w:tc>
        <w:tc>
          <w:tcPr>
            <w:tcW w:w="6089" w:type="dxa"/>
          </w:tcPr>
          <w:p w14:paraId="319BC453" w14:textId="77777777" w:rsidR="00D82A4E" w:rsidRPr="005E3F91" w:rsidRDefault="00D82A4E" w:rsidP="003E150E">
            <w:pPr>
              <w:spacing w:before="0" w:after="40" w:line="278" w:lineRule="auto"/>
            </w:pPr>
            <w:r w:rsidRPr="005E3F91">
              <w:t>Česká národní banka</w:t>
            </w:r>
          </w:p>
        </w:tc>
      </w:tr>
      <w:tr w:rsidR="00CC7BEC" w:rsidRPr="00D82A4E" w14:paraId="23AE8520" w14:textId="77777777" w:rsidTr="00D06559">
        <w:tc>
          <w:tcPr>
            <w:tcW w:w="1271" w:type="dxa"/>
          </w:tcPr>
          <w:p w14:paraId="0C37A439" w14:textId="6D5E8C01" w:rsidR="00CC7BEC" w:rsidRPr="005E3F91" w:rsidRDefault="00CC7BEC" w:rsidP="00F02020">
            <w:pPr>
              <w:spacing w:before="0" w:after="40" w:line="278" w:lineRule="auto"/>
              <w:rPr>
                <w:b/>
              </w:rPr>
            </w:pPr>
            <w:r w:rsidRPr="005E3F91">
              <w:rPr>
                <w:b/>
              </w:rPr>
              <w:t>DDS</w:t>
            </w:r>
          </w:p>
        </w:tc>
        <w:tc>
          <w:tcPr>
            <w:tcW w:w="6089" w:type="dxa"/>
          </w:tcPr>
          <w:p w14:paraId="4DA3E5AA" w14:textId="15BF4B4A" w:rsidR="00CC7BEC" w:rsidRPr="005E3F91" w:rsidRDefault="00CC7BEC" w:rsidP="00F02020">
            <w:pPr>
              <w:spacing w:before="0" w:after="40" w:line="278" w:lineRule="auto"/>
            </w:pPr>
            <w:r w:rsidRPr="005E3F91">
              <w:t>doplnková dôchodková spoločnosť</w:t>
            </w:r>
          </w:p>
        </w:tc>
      </w:tr>
      <w:tr w:rsidR="00CC7BEC" w:rsidRPr="00D82A4E" w14:paraId="37C04890" w14:textId="77777777" w:rsidTr="00D06559">
        <w:tc>
          <w:tcPr>
            <w:tcW w:w="1271" w:type="dxa"/>
          </w:tcPr>
          <w:p w14:paraId="0CFC1C8E" w14:textId="5784186B" w:rsidR="00CC7BEC" w:rsidRPr="005E3F91" w:rsidRDefault="00CC7BEC" w:rsidP="00F02020">
            <w:pPr>
              <w:spacing w:before="0" w:after="40" w:line="278" w:lineRule="auto"/>
              <w:rPr>
                <w:b/>
              </w:rPr>
            </w:pPr>
            <w:r w:rsidRPr="005E3F91">
              <w:rPr>
                <w:b/>
              </w:rPr>
              <w:t>DSS</w:t>
            </w:r>
          </w:p>
        </w:tc>
        <w:tc>
          <w:tcPr>
            <w:tcW w:w="6089" w:type="dxa"/>
          </w:tcPr>
          <w:p w14:paraId="3EE0238A" w14:textId="74FE097A" w:rsidR="00CC7BEC" w:rsidRPr="005E3F91" w:rsidRDefault="00CC7BEC" w:rsidP="00F02020">
            <w:pPr>
              <w:spacing w:before="0" w:after="40" w:line="278" w:lineRule="auto"/>
            </w:pPr>
            <w:r w:rsidRPr="005E3F91">
              <w:t>dôchodková správcovská spoločnosť</w:t>
            </w:r>
          </w:p>
        </w:tc>
      </w:tr>
      <w:tr w:rsidR="00D06559" w:rsidRPr="00D82A4E" w14:paraId="4A1C8A9E" w14:textId="77777777" w:rsidTr="00D06559">
        <w:tc>
          <w:tcPr>
            <w:tcW w:w="1271" w:type="dxa"/>
          </w:tcPr>
          <w:p w14:paraId="2C771741" w14:textId="7E690ADB" w:rsidR="00D06559" w:rsidRPr="005E3F91" w:rsidRDefault="00D06559" w:rsidP="00F02020">
            <w:pPr>
              <w:spacing w:before="0" w:after="40" w:line="278" w:lineRule="auto"/>
              <w:rPr>
                <w:b/>
              </w:rPr>
            </w:pPr>
            <w:r w:rsidRPr="005E3F91">
              <w:rPr>
                <w:b/>
              </w:rPr>
              <w:t>DSTI</w:t>
            </w:r>
          </w:p>
        </w:tc>
        <w:tc>
          <w:tcPr>
            <w:tcW w:w="6089" w:type="dxa"/>
          </w:tcPr>
          <w:p w14:paraId="6FC3EB08" w14:textId="74234ADB" w:rsidR="00D06559" w:rsidRPr="005E3F91" w:rsidRDefault="00D06559" w:rsidP="00F02020">
            <w:pPr>
              <w:spacing w:before="0" w:after="40" w:line="278" w:lineRule="auto"/>
            </w:pPr>
            <w:proofErr w:type="spellStart"/>
            <w:r w:rsidRPr="005E3F91">
              <w:t>Debt</w:t>
            </w:r>
            <w:proofErr w:type="spellEnd"/>
            <w:r w:rsidRPr="005E3F91">
              <w:t xml:space="preserve"> Service to </w:t>
            </w:r>
            <w:proofErr w:type="spellStart"/>
            <w:r w:rsidRPr="005E3F91">
              <w:t>Income</w:t>
            </w:r>
            <w:proofErr w:type="spellEnd"/>
            <w:r w:rsidRPr="005E3F91">
              <w:t xml:space="preserve"> (podiel splátok </w:t>
            </w:r>
            <w:r w:rsidR="0068581E">
              <w:t>k </w:t>
            </w:r>
            <w:r w:rsidRPr="005E3F91">
              <w:t xml:space="preserve">príjmu zníženému </w:t>
            </w:r>
            <w:r w:rsidR="0068581E">
              <w:t>o </w:t>
            </w:r>
            <w:r w:rsidRPr="005E3F91">
              <w:t>životné minimum)</w:t>
            </w:r>
          </w:p>
        </w:tc>
      </w:tr>
      <w:tr w:rsidR="00866B8C" w:rsidRPr="00D82A4E" w14:paraId="4185976C" w14:textId="77777777" w:rsidTr="00D06559">
        <w:tc>
          <w:tcPr>
            <w:tcW w:w="1271" w:type="dxa"/>
          </w:tcPr>
          <w:p w14:paraId="46907D5C" w14:textId="0483932C" w:rsidR="00866B8C" w:rsidRPr="005E3F91" w:rsidRDefault="00866B8C" w:rsidP="00F02020">
            <w:pPr>
              <w:spacing w:before="0" w:after="40" w:line="278" w:lineRule="auto"/>
              <w:rPr>
                <w:b/>
              </w:rPr>
            </w:pPr>
            <w:r w:rsidRPr="005E3F91">
              <w:rPr>
                <w:b/>
              </w:rPr>
              <w:t>ECB</w:t>
            </w:r>
          </w:p>
        </w:tc>
        <w:tc>
          <w:tcPr>
            <w:tcW w:w="6089" w:type="dxa"/>
          </w:tcPr>
          <w:p w14:paraId="30261F25" w14:textId="46B1B47C" w:rsidR="00866B8C" w:rsidRPr="005E3F91" w:rsidRDefault="00866B8C" w:rsidP="00F02020">
            <w:pPr>
              <w:spacing w:before="0" w:after="40" w:line="278" w:lineRule="auto"/>
            </w:pPr>
            <w:r w:rsidRPr="005E3F91">
              <w:t>Európska centrálna banka</w:t>
            </w:r>
          </w:p>
        </w:tc>
      </w:tr>
      <w:tr w:rsidR="004950F5" w:rsidRPr="004950F5" w14:paraId="7843CD84" w14:textId="77777777" w:rsidTr="003E150E">
        <w:tc>
          <w:tcPr>
            <w:tcW w:w="1271" w:type="dxa"/>
          </w:tcPr>
          <w:p w14:paraId="61C4A1CB" w14:textId="77777777" w:rsidR="00D82A4E" w:rsidRPr="005E3F91" w:rsidRDefault="00D82A4E" w:rsidP="003E150E">
            <w:pPr>
              <w:spacing w:before="0" w:after="40" w:line="278" w:lineRule="auto"/>
              <w:rPr>
                <w:b/>
              </w:rPr>
            </w:pPr>
            <w:r w:rsidRPr="005E3F91">
              <w:rPr>
                <w:b/>
              </w:rPr>
              <w:t>EHP</w:t>
            </w:r>
          </w:p>
        </w:tc>
        <w:tc>
          <w:tcPr>
            <w:tcW w:w="6089" w:type="dxa"/>
          </w:tcPr>
          <w:p w14:paraId="4F7FE367" w14:textId="77777777" w:rsidR="00D82A4E" w:rsidRPr="005E3F91" w:rsidRDefault="00D82A4E" w:rsidP="003E150E">
            <w:pPr>
              <w:spacing w:before="0" w:after="40" w:line="278" w:lineRule="auto"/>
            </w:pPr>
            <w:r w:rsidRPr="005E3F91">
              <w:t>Európsky hospodársky priestor</w:t>
            </w:r>
          </w:p>
        </w:tc>
      </w:tr>
      <w:tr w:rsidR="004950F5" w:rsidRPr="004950F5" w14:paraId="54B59A44" w14:textId="77777777" w:rsidTr="003E150E">
        <w:tc>
          <w:tcPr>
            <w:tcW w:w="1271" w:type="dxa"/>
          </w:tcPr>
          <w:p w14:paraId="10ED0159" w14:textId="77777777" w:rsidR="00D82A4E" w:rsidRPr="005E3F91" w:rsidRDefault="00D82A4E" w:rsidP="003E150E">
            <w:pPr>
              <w:spacing w:before="0" w:after="40" w:line="278" w:lineRule="auto"/>
              <w:rPr>
                <w:b/>
              </w:rPr>
            </w:pPr>
            <w:proofErr w:type="spellStart"/>
            <w:r w:rsidRPr="005E3F91">
              <w:rPr>
                <w:b/>
              </w:rPr>
              <w:t>eKasa</w:t>
            </w:r>
            <w:proofErr w:type="spellEnd"/>
          </w:p>
        </w:tc>
        <w:tc>
          <w:tcPr>
            <w:tcW w:w="6089" w:type="dxa"/>
          </w:tcPr>
          <w:p w14:paraId="6F596CF3" w14:textId="77777777" w:rsidR="00D82A4E" w:rsidRPr="005E3F91" w:rsidRDefault="00D82A4E" w:rsidP="003E150E">
            <w:pPr>
              <w:spacing w:before="0" w:after="40" w:line="278" w:lineRule="auto"/>
            </w:pPr>
            <w:r w:rsidRPr="005E3F91">
              <w:t>projekt online napojenia všetkých pokladníc na portál finančnej správy</w:t>
            </w:r>
          </w:p>
        </w:tc>
      </w:tr>
      <w:tr w:rsidR="00866B8C" w:rsidRPr="00D82A4E" w14:paraId="4C346C2D" w14:textId="77777777" w:rsidTr="00D06559">
        <w:tc>
          <w:tcPr>
            <w:tcW w:w="1271" w:type="dxa"/>
          </w:tcPr>
          <w:p w14:paraId="2F60478F" w14:textId="33E9E2B9" w:rsidR="00866B8C" w:rsidRPr="005E3F91" w:rsidRDefault="00866B8C" w:rsidP="00F02020">
            <w:pPr>
              <w:spacing w:before="0" w:after="40" w:line="278" w:lineRule="auto"/>
              <w:rPr>
                <w:b/>
              </w:rPr>
            </w:pPr>
            <w:r w:rsidRPr="005E3F91">
              <w:rPr>
                <w:b/>
              </w:rPr>
              <w:t>EPIFP</w:t>
            </w:r>
          </w:p>
        </w:tc>
        <w:tc>
          <w:tcPr>
            <w:tcW w:w="6089" w:type="dxa"/>
          </w:tcPr>
          <w:p w14:paraId="1BA60C59" w14:textId="1881DD4A" w:rsidR="00866B8C" w:rsidRPr="005E3F91" w:rsidRDefault="00866B8C" w:rsidP="00F02020">
            <w:pPr>
              <w:spacing w:before="0" w:after="40" w:line="278" w:lineRule="auto"/>
            </w:pPr>
            <w:proofErr w:type="spellStart"/>
            <w:r w:rsidRPr="005E3F91">
              <w:t>Expected</w:t>
            </w:r>
            <w:proofErr w:type="spellEnd"/>
            <w:r w:rsidRPr="005E3F91">
              <w:t xml:space="preserve"> profit </w:t>
            </w:r>
            <w:proofErr w:type="spellStart"/>
            <w:r w:rsidRPr="005E3F91">
              <w:t>included</w:t>
            </w:r>
            <w:proofErr w:type="spellEnd"/>
            <w:r w:rsidRPr="005E3F91">
              <w:t xml:space="preserve"> in </w:t>
            </w:r>
            <w:proofErr w:type="spellStart"/>
            <w:r w:rsidRPr="005E3F91">
              <w:t>future</w:t>
            </w:r>
            <w:proofErr w:type="spellEnd"/>
            <w:r w:rsidRPr="005E3F91">
              <w:t xml:space="preserve"> </w:t>
            </w:r>
            <w:proofErr w:type="spellStart"/>
            <w:r w:rsidRPr="005E3F91">
              <w:t>premiums</w:t>
            </w:r>
            <w:proofErr w:type="spellEnd"/>
            <w:r w:rsidRPr="005E3F91">
              <w:t xml:space="preserve"> (</w:t>
            </w:r>
            <w:r w:rsidR="007D479E" w:rsidRPr="005E3F91">
              <w:t>o</w:t>
            </w:r>
            <w:r w:rsidRPr="005E3F91">
              <w:t>čakávané zisky zahrnuté do budúceho poistného)</w:t>
            </w:r>
          </w:p>
        </w:tc>
      </w:tr>
      <w:tr w:rsidR="00A76AD1" w:rsidRPr="00D82A4E" w14:paraId="2DB3220E" w14:textId="77777777" w:rsidTr="00D06559">
        <w:tc>
          <w:tcPr>
            <w:tcW w:w="1271" w:type="dxa"/>
          </w:tcPr>
          <w:p w14:paraId="6E91B406" w14:textId="27D6CB6F" w:rsidR="00A76AD1" w:rsidRPr="005E3F91" w:rsidRDefault="00A76AD1" w:rsidP="00F02020">
            <w:pPr>
              <w:spacing w:before="0" w:after="40" w:line="278" w:lineRule="auto"/>
              <w:rPr>
                <w:b/>
              </w:rPr>
            </w:pPr>
            <w:r w:rsidRPr="005E3F91">
              <w:rPr>
                <w:b/>
              </w:rPr>
              <w:t>EÚ</w:t>
            </w:r>
          </w:p>
        </w:tc>
        <w:tc>
          <w:tcPr>
            <w:tcW w:w="6089" w:type="dxa"/>
          </w:tcPr>
          <w:p w14:paraId="66B44B21" w14:textId="76F98984" w:rsidR="00A76AD1" w:rsidRPr="005E3F91" w:rsidRDefault="00A76AD1" w:rsidP="00F02020">
            <w:pPr>
              <w:spacing w:before="0" w:after="40" w:line="278" w:lineRule="auto"/>
            </w:pPr>
            <w:r w:rsidRPr="005E3F91">
              <w:t>Európska únia</w:t>
            </w:r>
          </w:p>
        </w:tc>
      </w:tr>
      <w:tr w:rsidR="00694A14" w:rsidRPr="00D82A4E" w14:paraId="4647705D" w14:textId="77777777" w:rsidTr="00D06559">
        <w:tc>
          <w:tcPr>
            <w:tcW w:w="1271" w:type="dxa"/>
          </w:tcPr>
          <w:p w14:paraId="527CCB46" w14:textId="1CECCADE" w:rsidR="00694A14" w:rsidRPr="005E3F91" w:rsidRDefault="00694A14" w:rsidP="00F02020">
            <w:pPr>
              <w:spacing w:before="0" w:after="40" w:line="278" w:lineRule="auto"/>
              <w:rPr>
                <w:b/>
              </w:rPr>
            </w:pPr>
            <w:r w:rsidRPr="005E3F91">
              <w:rPr>
                <w:b/>
              </w:rPr>
              <w:t>HDP</w:t>
            </w:r>
          </w:p>
        </w:tc>
        <w:tc>
          <w:tcPr>
            <w:tcW w:w="6089" w:type="dxa"/>
          </w:tcPr>
          <w:p w14:paraId="188F233C" w14:textId="6DA6D352" w:rsidR="00694A14" w:rsidRPr="005E3F91" w:rsidRDefault="00235B60" w:rsidP="00F02020">
            <w:pPr>
              <w:spacing w:before="0" w:after="40" w:line="278" w:lineRule="auto"/>
            </w:pPr>
            <w:r w:rsidRPr="005E3F91">
              <w:t>h</w:t>
            </w:r>
            <w:r w:rsidR="00694A14" w:rsidRPr="005E3F91">
              <w:t>rubý domáci produkt</w:t>
            </w:r>
          </w:p>
        </w:tc>
      </w:tr>
      <w:tr w:rsidR="004950F5" w:rsidRPr="004950F5" w14:paraId="70F2C5A7" w14:textId="77777777" w:rsidTr="003E150E">
        <w:tc>
          <w:tcPr>
            <w:tcW w:w="1271" w:type="dxa"/>
          </w:tcPr>
          <w:p w14:paraId="101B485E" w14:textId="77777777" w:rsidR="00D82A4E" w:rsidRPr="005E3F91" w:rsidRDefault="00D82A4E" w:rsidP="003E150E">
            <w:pPr>
              <w:spacing w:before="0" w:after="40" w:line="278" w:lineRule="auto"/>
              <w:rPr>
                <w:b/>
              </w:rPr>
            </w:pPr>
            <w:r w:rsidRPr="005E3F91">
              <w:rPr>
                <w:b/>
              </w:rPr>
              <w:t>HHI</w:t>
            </w:r>
          </w:p>
        </w:tc>
        <w:tc>
          <w:tcPr>
            <w:tcW w:w="6089" w:type="dxa"/>
          </w:tcPr>
          <w:p w14:paraId="01B3FCB8" w14:textId="77777777" w:rsidR="00D82A4E" w:rsidRPr="005E3F91" w:rsidRDefault="00D82A4E" w:rsidP="003E150E">
            <w:pPr>
              <w:spacing w:before="0" w:after="40" w:line="278" w:lineRule="auto"/>
            </w:pPr>
            <w:proofErr w:type="spellStart"/>
            <w:r w:rsidRPr="005E3F91">
              <w:t>Hirschman-Herfindahl</w:t>
            </w:r>
            <w:proofErr w:type="spellEnd"/>
            <w:r w:rsidRPr="005E3F91">
              <w:t xml:space="preserve"> index</w:t>
            </w:r>
          </w:p>
        </w:tc>
      </w:tr>
      <w:tr w:rsidR="00694A14" w:rsidRPr="00D82A4E" w14:paraId="4CBE6B04" w14:textId="77777777" w:rsidTr="00D06559">
        <w:tc>
          <w:tcPr>
            <w:tcW w:w="1271" w:type="dxa"/>
          </w:tcPr>
          <w:p w14:paraId="546C629D" w14:textId="3E81AA7F" w:rsidR="00694A14" w:rsidRPr="005E3F91" w:rsidRDefault="00694A14" w:rsidP="00F02020">
            <w:pPr>
              <w:spacing w:before="0" w:after="40" w:line="278" w:lineRule="auto"/>
              <w:rPr>
                <w:b/>
              </w:rPr>
            </w:pPr>
            <w:r w:rsidRPr="005E3F91">
              <w:rPr>
                <w:b/>
              </w:rPr>
              <w:t>HZL</w:t>
            </w:r>
          </w:p>
        </w:tc>
        <w:tc>
          <w:tcPr>
            <w:tcW w:w="6089" w:type="dxa"/>
          </w:tcPr>
          <w:p w14:paraId="5D101339" w14:textId="6299566A" w:rsidR="00694A14" w:rsidRPr="005E3F91" w:rsidRDefault="00235B60" w:rsidP="00F02020">
            <w:pPr>
              <w:spacing w:before="0" w:after="40" w:line="278" w:lineRule="auto"/>
            </w:pPr>
            <w:r w:rsidRPr="005E3F91">
              <w:t>h</w:t>
            </w:r>
            <w:r w:rsidR="00694A14" w:rsidRPr="005E3F91">
              <w:t>ypotekárne záložné listy</w:t>
            </w:r>
          </w:p>
        </w:tc>
      </w:tr>
      <w:tr w:rsidR="00D06559" w:rsidRPr="00D82A4E" w14:paraId="410002C1" w14:textId="77777777" w:rsidTr="00D06559">
        <w:tc>
          <w:tcPr>
            <w:tcW w:w="1271" w:type="dxa"/>
          </w:tcPr>
          <w:p w14:paraId="26ABAD37" w14:textId="549A6DFD" w:rsidR="00D06559" w:rsidRPr="005E3F91" w:rsidRDefault="00D06559" w:rsidP="00F02020">
            <w:pPr>
              <w:spacing w:before="0" w:after="40" w:line="278" w:lineRule="auto"/>
              <w:rPr>
                <w:b/>
                <w:bCs/>
              </w:rPr>
            </w:pPr>
            <w:r w:rsidRPr="005E3F91">
              <w:rPr>
                <w:b/>
                <w:bCs/>
              </w:rPr>
              <w:t>IFRS 9</w:t>
            </w:r>
          </w:p>
        </w:tc>
        <w:tc>
          <w:tcPr>
            <w:tcW w:w="6089" w:type="dxa"/>
          </w:tcPr>
          <w:p w14:paraId="2320EBBA" w14:textId="437A77A6" w:rsidR="00D06559" w:rsidRPr="005E3F91" w:rsidRDefault="00D06559" w:rsidP="00F02020">
            <w:pPr>
              <w:spacing w:before="0" w:after="40" w:line="278" w:lineRule="auto"/>
            </w:pPr>
            <w:r w:rsidRPr="005E3F91">
              <w:t xml:space="preserve">International </w:t>
            </w:r>
            <w:proofErr w:type="spellStart"/>
            <w:r w:rsidRPr="005E3F91">
              <w:t>Financial</w:t>
            </w:r>
            <w:proofErr w:type="spellEnd"/>
            <w:r w:rsidRPr="005E3F91">
              <w:t xml:space="preserve"> </w:t>
            </w:r>
            <w:proofErr w:type="spellStart"/>
            <w:r w:rsidRPr="005E3F91">
              <w:t>Reporting</w:t>
            </w:r>
            <w:proofErr w:type="spellEnd"/>
            <w:r w:rsidRPr="005E3F91">
              <w:t xml:space="preserve"> </w:t>
            </w:r>
            <w:proofErr w:type="spellStart"/>
            <w:r w:rsidRPr="005E3F91">
              <w:t>Standards</w:t>
            </w:r>
            <w:proofErr w:type="spellEnd"/>
            <w:r w:rsidRPr="005E3F91">
              <w:t xml:space="preserve"> (Medzinárodné štandardy finančného výkazníctva)</w:t>
            </w:r>
          </w:p>
        </w:tc>
      </w:tr>
      <w:tr w:rsidR="00694A14" w:rsidRPr="00D82A4E" w14:paraId="611DE61A" w14:textId="77777777" w:rsidTr="00D06559">
        <w:tc>
          <w:tcPr>
            <w:tcW w:w="1271" w:type="dxa"/>
          </w:tcPr>
          <w:p w14:paraId="7FDE6B73" w14:textId="5EACFC0F" w:rsidR="00694A14" w:rsidRPr="005E3F91" w:rsidRDefault="00694A14" w:rsidP="00F02020">
            <w:pPr>
              <w:spacing w:before="0" w:after="40" w:line="278" w:lineRule="auto"/>
              <w:rPr>
                <w:b/>
              </w:rPr>
            </w:pPr>
            <w:r w:rsidRPr="005E3F91">
              <w:rPr>
                <w:b/>
              </w:rPr>
              <w:t>IŽP</w:t>
            </w:r>
          </w:p>
        </w:tc>
        <w:tc>
          <w:tcPr>
            <w:tcW w:w="6089" w:type="dxa"/>
          </w:tcPr>
          <w:p w14:paraId="12CD17FC" w14:textId="2C8BAE48" w:rsidR="00694A14" w:rsidRPr="005E3F91" w:rsidRDefault="00235B60" w:rsidP="00F02020">
            <w:pPr>
              <w:spacing w:before="0" w:after="40" w:line="278" w:lineRule="auto"/>
            </w:pPr>
            <w:proofErr w:type="spellStart"/>
            <w:r w:rsidRPr="005E3F91">
              <w:t>Unit-linked</w:t>
            </w:r>
            <w:proofErr w:type="spellEnd"/>
            <w:r w:rsidRPr="005E3F91">
              <w:t xml:space="preserve"> (i</w:t>
            </w:r>
            <w:r w:rsidR="00694A14" w:rsidRPr="005E3F91">
              <w:t>nvestičné životné poistenie)</w:t>
            </w:r>
          </w:p>
        </w:tc>
      </w:tr>
      <w:tr w:rsidR="00694A14" w:rsidRPr="00D82A4E" w14:paraId="5285B132" w14:textId="77777777" w:rsidTr="00D06559">
        <w:trPr>
          <w:trHeight w:val="330"/>
        </w:trPr>
        <w:tc>
          <w:tcPr>
            <w:tcW w:w="1271" w:type="dxa"/>
          </w:tcPr>
          <w:p w14:paraId="41088ED0" w14:textId="7055277E" w:rsidR="00694A14" w:rsidRPr="005E3F91" w:rsidRDefault="00694A14" w:rsidP="00F02020">
            <w:pPr>
              <w:spacing w:before="0" w:after="40" w:line="278" w:lineRule="auto"/>
              <w:rPr>
                <w:b/>
              </w:rPr>
            </w:pPr>
            <w:r w:rsidRPr="005E3F91">
              <w:rPr>
                <w:b/>
              </w:rPr>
              <w:t>LCR</w:t>
            </w:r>
          </w:p>
        </w:tc>
        <w:tc>
          <w:tcPr>
            <w:tcW w:w="6089" w:type="dxa"/>
          </w:tcPr>
          <w:p w14:paraId="005B8839" w14:textId="4C5113F6" w:rsidR="00694A14" w:rsidRPr="005E3F91" w:rsidRDefault="00694A14" w:rsidP="00F02020">
            <w:pPr>
              <w:spacing w:before="0" w:after="40" w:line="278" w:lineRule="auto"/>
            </w:pPr>
            <w:proofErr w:type="spellStart"/>
            <w:r w:rsidRPr="005E3F91">
              <w:t>Liquidity</w:t>
            </w:r>
            <w:proofErr w:type="spellEnd"/>
            <w:r w:rsidRPr="005E3F91">
              <w:t xml:space="preserve"> </w:t>
            </w:r>
            <w:proofErr w:type="spellStart"/>
            <w:r w:rsidRPr="005E3F91">
              <w:t>Coverage</w:t>
            </w:r>
            <w:proofErr w:type="spellEnd"/>
            <w:r w:rsidRPr="005E3F91">
              <w:t xml:space="preserve"> </w:t>
            </w:r>
            <w:proofErr w:type="spellStart"/>
            <w:r w:rsidRPr="005E3F91">
              <w:t>Ratio</w:t>
            </w:r>
            <w:proofErr w:type="spellEnd"/>
            <w:r w:rsidRPr="005E3F91">
              <w:t xml:space="preserve"> (ukazovateľ krytia likvidity)</w:t>
            </w:r>
          </w:p>
        </w:tc>
      </w:tr>
      <w:tr w:rsidR="00D06559" w:rsidRPr="00D82A4E" w14:paraId="495EE223" w14:textId="77777777" w:rsidTr="00D06559">
        <w:trPr>
          <w:trHeight w:val="330"/>
        </w:trPr>
        <w:tc>
          <w:tcPr>
            <w:tcW w:w="1271" w:type="dxa"/>
          </w:tcPr>
          <w:p w14:paraId="116690E5" w14:textId="36602FF8" w:rsidR="00D06559" w:rsidRPr="005E3F91" w:rsidRDefault="00D06559" w:rsidP="00F02020">
            <w:pPr>
              <w:spacing w:before="0" w:after="40" w:line="278" w:lineRule="auto"/>
              <w:rPr>
                <w:b/>
                <w:bCs/>
              </w:rPr>
            </w:pPr>
            <w:r w:rsidRPr="005E3F91">
              <w:rPr>
                <w:b/>
                <w:bCs/>
              </w:rPr>
              <w:t>LTRO</w:t>
            </w:r>
          </w:p>
        </w:tc>
        <w:tc>
          <w:tcPr>
            <w:tcW w:w="6089" w:type="dxa"/>
          </w:tcPr>
          <w:p w14:paraId="26D1600F" w14:textId="231D0926" w:rsidR="00D06559" w:rsidRPr="005E3F91" w:rsidRDefault="00D06559" w:rsidP="00F02020">
            <w:pPr>
              <w:spacing w:before="0" w:after="40" w:line="278" w:lineRule="auto"/>
            </w:pPr>
            <w:proofErr w:type="spellStart"/>
            <w:r w:rsidRPr="005E3F91">
              <w:t>Long</w:t>
            </w:r>
            <w:proofErr w:type="spellEnd"/>
            <w:r w:rsidRPr="005E3F91">
              <w:t xml:space="preserve">-term </w:t>
            </w:r>
            <w:proofErr w:type="spellStart"/>
            <w:r w:rsidRPr="005E3F91">
              <w:t>refinancing</w:t>
            </w:r>
            <w:proofErr w:type="spellEnd"/>
            <w:r w:rsidRPr="005E3F91">
              <w:t xml:space="preserve"> </w:t>
            </w:r>
            <w:proofErr w:type="spellStart"/>
            <w:r w:rsidRPr="005E3F91">
              <w:t>operations</w:t>
            </w:r>
            <w:proofErr w:type="spellEnd"/>
          </w:p>
        </w:tc>
      </w:tr>
      <w:tr w:rsidR="00866B8C" w:rsidRPr="00D82A4E" w14:paraId="30E2C04E" w14:textId="77777777" w:rsidTr="00D06559">
        <w:tc>
          <w:tcPr>
            <w:tcW w:w="1271" w:type="dxa"/>
          </w:tcPr>
          <w:p w14:paraId="6184EE2F" w14:textId="63484E15" w:rsidR="00866B8C" w:rsidRPr="005E3F91" w:rsidRDefault="00866B8C" w:rsidP="00F02020">
            <w:pPr>
              <w:spacing w:before="0" w:after="40" w:line="278" w:lineRule="auto"/>
              <w:rPr>
                <w:b/>
              </w:rPr>
            </w:pPr>
            <w:r w:rsidRPr="005E3F91">
              <w:rPr>
                <w:b/>
              </w:rPr>
              <w:t>LTV</w:t>
            </w:r>
          </w:p>
        </w:tc>
        <w:tc>
          <w:tcPr>
            <w:tcW w:w="6089" w:type="dxa"/>
          </w:tcPr>
          <w:p w14:paraId="43B27942" w14:textId="22A31C29" w:rsidR="00866B8C" w:rsidRPr="005E3F91" w:rsidRDefault="00866B8C" w:rsidP="00F02020">
            <w:pPr>
              <w:spacing w:before="0" w:after="40" w:line="278" w:lineRule="auto"/>
            </w:pPr>
            <w:proofErr w:type="spellStart"/>
            <w:r w:rsidRPr="005E3F91">
              <w:t>Loan</w:t>
            </w:r>
            <w:proofErr w:type="spellEnd"/>
            <w:r w:rsidRPr="005E3F91">
              <w:t>-to-</w:t>
            </w:r>
            <w:proofErr w:type="spellStart"/>
            <w:r w:rsidRPr="005E3F91">
              <w:t>Value</w:t>
            </w:r>
            <w:proofErr w:type="spellEnd"/>
            <w:r w:rsidRPr="005E3F91">
              <w:t xml:space="preserve"> </w:t>
            </w:r>
            <w:proofErr w:type="spellStart"/>
            <w:r w:rsidRPr="005E3F91">
              <w:t>Ratio</w:t>
            </w:r>
            <w:proofErr w:type="spellEnd"/>
            <w:r w:rsidRPr="005E3F91">
              <w:t xml:space="preserve"> (pomer úveru </w:t>
            </w:r>
            <w:r w:rsidR="0068581E">
              <w:t>k </w:t>
            </w:r>
            <w:r w:rsidRPr="005E3F91">
              <w:t xml:space="preserve">hodnote zabezpečenia, resp. podiel výšky úveru </w:t>
            </w:r>
            <w:r w:rsidR="0068581E">
              <w:t>k </w:t>
            </w:r>
            <w:r w:rsidRPr="005E3F91">
              <w:t>cene nehnuteľnosti)</w:t>
            </w:r>
          </w:p>
        </w:tc>
      </w:tr>
      <w:tr w:rsidR="00A76AD1" w:rsidRPr="00D82A4E" w14:paraId="1295C891" w14:textId="77777777" w:rsidTr="00D06559">
        <w:tc>
          <w:tcPr>
            <w:tcW w:w="1271" w:type="dxa"/>
          </w:tcPr>
          <w:p w14:paraId="1CC94C3B" w14:textId="63DBCF1E" w:rsidR="00A76AD1" w:rsidRPr="005E3F91" w:rsidRDefault="00A76AD1" w:rsidP="00F02020">
            <w:pPr>
              <w:spacing w:before="0" w:after="40" w:line="278" w:lineRule="auto"/>
              <w:rPr>
                <w:b/>
              </w:rPr>
            </w:pPr>
            <w:r w:rsidRPr="005E3F91">
              <w:rPr>
                <w:b/>
              </w:rPr>
              <w:t>MCR</w:t>
            </w:r>
          </w:p>
        </w:tc>
        <w:tc>
          <w:tcPr>
            <w:tcW w:w="6089" w:type="dxa"/>
          </w:tcPr>
          <w:p w14:paraId="717E3A77" w14:textId="069900E5" w:rsidR="00A76AD1" w:rsidRPr="005E3F91" w:rsidRDefault="00A76AD1" w:rsidP="00F02020">
            <w:pPr>
              <w:spacing w:before="0" w:after="40" w:line="278" w:lineRule="auto"/>
            </w:pPr>
            <w:r w:rsidRPr="005E3F91">
              <w:t>minimálna kapitálová požiadavka</w:t>
            </w:r>
          </w:p>
        </w:tc>
      </w:tr>
      <w:tr w:rsidR="00D06559" w:rsidRPr="00D82A4E" w14:paraId="651E26B2" w14:textId="77777777" w:rsidTr="00D06559">
        <w:tc>
          <w:tcPr>
            <w:tcW w:w="1271" w:type="dxa"/>
          </w:tcPr>
          <w:p w14:paraId="79F9A9D8" w14:textId="3EE0592B" w:rsidR="00D06559" w:rsidRPr="005E3F91" w:rsidRDefault="00D06559" w:rsidP="00F02020">
            <w:pPr>
              <w:spacing w:before="0" w:after="40" w:line="278" w:lineRule="auto"/>
              <w:rPr>
                <w:b/>
                <w:bCs/>
              </w:rPr>
            </w:pPr>
            <w:r w:rsidRPr="005E3F91">
              <w:rPr>
                <w:b/>
                <w:bCs/>
              </w:rPr>
              <w:t>MV SR</w:t>
            </w:r>
          </w:p>
        </w:tc>
        <w:tc>
          <w:tcPr>
            <w:tcW w:w="6089" w:type="dxa"/>
          </w:tcPr>
          <w:p w14:paraId="79F5C89D" w14:textId="3FC9A076" w:rsidR="00D06559" w:rsidRPr="005E3F91" w:rsidRDefault="00D06559" w:rsidP="00F02020">
            <w:pPr>
              <w:spacing w:before="0" w:after="40" w:line="278" w:lineRule="auto"/>
            </w:pPr>
            <w:r w:rsidRPr="005E3F91">
              <w:t>Ministerstvo vnútra SR</w:t>
            </w:r>
          </w:p>
        </w:tc>
      </w:tr>
      <w:tr w:rsidR="00866B8C" w:rsidRPr="00D82A4E" w14:paraId="32428260" w14:textId="77777777" w:rsidTr="00D06559">
        <w:tc>
          <w:tcPr>
            <w:tcW w:w="1271" w:type="dxa"/>
          </w:tcPr>
          <w:p w14:paraId="7A3CEDB5" w14:textId="79ACDD52" w:rsidR="00866B8C" w:rsidRPr="005E3F91" w:rsidRDefault="00866B8C" w:rsidP="00F02020">
            <w:pPr>
              <w:spacing w:before="0" w:after="40" w:line="278" w:lineRule="auto"/>
              <w:rPr>
                <w:b/>
                <w:bCs/>
              </w:rPr>
            </w:pPr>
            <w:r w:rsidRPr="005E3F91">
              <w:rPr>
                <w:b/>
                <w:bCs/>
              </w:rPr>
              <w:t>NAV</w:t>
            </w:r>
          </w:p>
        </w:tc>
        <w:tc>
          <w:tcPr>
            <w:tcW w:w="6089" w:type="dxa"/>
          </w:tcPr>
          <w:p w14:paraId="0E78257A" w14:textId="77B37E4F" w:rsidR="00866B8C" w:rsidRPr="005E3F91" w:rsidRDefault="00866B8C" w:rsidP="00F02020">
            <w:pPr>
              <w:spacing w:before="0" w:after="40" w:line="278" w:lineRule="auto"/>
            </w:pPr>
            <w:r w:rsidRPr="005E3F91">
              <w:t xml:space="preserve">Net </w:t>
            </w:r>
            <w:proofErr w:type="spellStart"/>
            <w:r w:rsidRPr="005E3F91">
              <w:t>Asset</w:t>
            </w:r>
            <w:proofErr w:type="spellEnd"/>
            <w:r w:rsidRPr="005E3F91">
              <w:t xml:space="preserve"> </w:t>
            </w:r>
            <w:proofErr w:type="spellStart"/>
            <w:r w:rsidRPr="005E3F91">
              <w:t>Value</w:t>
            </w:r>
            <w:proofErr w:type="spellEnd"/>
            <w:r w:rsidRPr="005E3F91">
              <w:t xml:space="preserve"> (čistá hodnota aktív)</w:t>
            </w:r>
          </w:p>
        </w:tc>
      </w:tr>
      <w:tr w:rsidR="00D06559" w:rsidRPr="00D82A4E" w14:paraId="03102A40" w14:textId="77777777" w:rsidTr="00D06559">
        <w:tc>
          <w:tcPr>
            <w:tcW w:w="1271" w:type="dxa"/>
          </w:tcPr>
          <w:p w14:paraId="63BB8DE7" w14:textId="3E4255A3" w:rsidR="00D06559" w:rsidRPr="005E3F91" w:rsidRDefault="00D06559" w:rsidP="00F02020">
            <w:pPr>
              <w:spacing w:before="0" w:after="40" w:line="278" w:lineRule="auto"/>
              <w:rPr>
                <w:b/>
                <w:bCs/>
              </w:rPr>
            </w:pPr>
            <w:r w:rsidRPr="005E3F91">
              <w:rPr>
                <w:b/>
                <w:bCs/>
              </w:rPr>
              <w:t>NBS</w:t>
            </w:r>
          </w:p>
        </w:tc>
        <w:tc>
          <w:tcPr>
            <w:tcW w:w="6089" w:type="dxa"/>
          </w:tcPr>
          <w:p w14:paraId="2D3FC909" w14:textId="6C9602CD" w:rsidR="00D06559" w:rsidRPr="005E3F91" w:rsidRDefault="00D06559" w:rsidP="00F02020">
            <w:pPr>
              <w:spacing w:before="0" w:after="40" w:line="278" w:lineRule="auto"/>
            </w:pPr>
            <w:r w:rsidRPr="005E3F91">
              <w:t>Národná banka Slovenska</w:t>
            </w:r>
          </w:p>
        </w:tc>
      </w:tr>
      <w:tr w:rsidR="004950F5" w:rsidRPr="004950F5" w14:paraId="253B3B17" w14:textId="77777777" w:rsidTr="003E150E">
        <w:tc>
          <w:tcPr>
            <w:tcW w:w="1271" w:type="dxa"/>
          </w:tcPr>
          <w:p w14:paraId="729C5BDD" w14:textId="77777777" w:rsidR="00D82A4E" w:rsidRPr="005E3F91" w:rsidRDefault="00D82A4E" w:rsidP="003E150E">
            <w:pPr>
              <w:spacing w:before="0" w:after="40" w:line="278" w:lineRule="auto"/>
              <w:rPr>
                <w:b/>
                <w:bCs/>
              </w:rPr>
            </w:pPr>
            <w:r w:rsidRPr="005E3F91">
              <w:rPr>
                <w:b/>
                <w:bCs/>
              </w:rPr>
              <w:t>NP</w:t>
            </w:r>
          </w:p>
        </w:tc>
        <w:tc>
          <w:tcPr>
            <w:tcW w:w="6089" w:type="dxa"/>
          </w:tcPr>
          <w:p w14:paraId="737D33DB" w14:textId="77777777" w:rsidR="00D82A4E" w:rsidRPr="005E3F91" w:rsidRDefault="00D82A4E" w:rsidP="003E150E">
            <w:pPr>
              <w:spacing w:before="0" w:after="40" w:line="278" w:lineRule="auto"/>
            </w:pPr>
            <w:r w:rsidRPr="005E3F91">
              <w:t>neživotné poistenie</w:t>
            </w:r>
          </w:p>
        </w:tc>
      </w:tr>
      <w:tr w:rsidR="004950F5" w:rsidRPr="004950F5" w14:paraId="7E7C43BE" w14:textId="77777777" w:rsidTr="003E150E">
        <w:tc>
          <w:tcPr>
            <w:tcW w:w="1271" w:type="dxa"/>
          </w:tcPr>
          <w:p w14:paraId="72F1C982" w14:textId="77777777" w:rsidR="00D82A4E" w:rsidRPr="005E3F91" w:rsidRDefault="00D82A4E" w:rsidP="003E150E">
            <w:pPr>
              <w:spacing w:before="0" w:after="40" w:line="278" w:lineRule="auto"/>
              <w:rPr>
                <w:b/>
                <w:bCs/>
              </w:rPr>
            </w:pPr>
            <w:r w:rsidRPr="005E3F91">
              <w:rPr>
                <w:b/>
                <w:bCs/>
              </w:rPr>
              <w:t>OČR</w:t>
            </w:r>
          </w:p>
        </w:tc>
        <w:tc>
          <w:tcPr>
            <w:tcW w:w="6089" w:type="dxa"/>
          </w:tcPr>
          <w:p w14:paraId="40CC739E" w14:textId="77777777" w:rsidR="00D82A4E" w:rsidRPr="005E3F91" w:rsidRDefault="00D82A4E" w:rsidP="003E150E">
            <w:pPr>
              <w:spacing w:before="0" w:after="40" w:line="278" w:lineRule="auto"/>
            </w:pPr>
            <w:r w:rsidRPr="005E3F91">
              <w:t>ošetrovné</w:t>
            </w:r>
          </w:p>
        </w:tc>
      </w:tr>
      <w:tr w:rsidR="00D06559" w:rsidRPr="00D82A4E" w14:paraId="7DB09D2B" w14:textId="77777777" w:rsidTr="00D06559">
        <w:tc>
          <w:tcPr>
            <w:tcW w:w="1271" w:type="dxa"/>
          </w:tcPr>
          <w:p w14:paraId="6F08DD87" w14:textId="5894FB7E" w:rsidR="00D06559" w:rsidRPr="005E3F91" w:rsidRDefault="0068581E" w:rsidP="00F02020">
            <w:pPr>
              <w:spacing w:before="0" w:after="40" w:line="278" w:lineRule="auto"/>
              <w:rPr>
                <w:b/>
                <w:bCs/>
              </w:rPr>
            </w:pPr>
            <w:r>
              <w:rPr>
                <w:b/>
                <w:bCs/>
              </w:rPr>
              <w:t>p. b.</w:t>
            </w:r>
          </w:p>
        </w:tc>
        <w:tc>
          <w:tcPr>
            <w:tcW w:w="6089" w:type="dxa"/>
          </w:tcPr>
          <w:p w14:paraId="42276DEB" w14:textId="53455E16" w:rsidR="00D06559" w:rsidRPr="005E3F91" w:rsidRDefault="00D06559" w:rsidP="00F02020">
            <w:pPr>
              <w:spacing w:before="0" w:after="40" w:line="278" w:lineRule="auto"/>
            </w:pPr>
            <w:r w:rsidRPr="005E3F91">
              <w:t>percentuálny bod</w:t>
            </w:r>
          </w:p>
        </w:tc>
      </w:tr>
      <w:tr w:rsidR="00D06559" w:rsidRPr="00D82A4E" w14:paraId="75CCD15E" w14:textId="77777777" w:rsidTr="00D06559">
        <w:tc>
          <w:tcPr>
            <w:tcW w:w="1271" w:type="dxa"/>
          </w:tcPr>
          <w:p w14:paraId="4E38B044" w14:textId="273742C4" w:rsidR="00D06559" w:rsidRPr="005E3F91" w:rsidRDefault="00D06559" w:rsidP="00F02020">
            <w:pPr>
              <w:spacing w:before="0" w:after="40" w:line="278" w:lineRule="auto"/>
              <w:rPr>
                <w:b/>
                <w:bCs/>
              </w:rPr>
            </w:pPr>
            <w:r w:rsidRPr="005E3F91">
              <w:rPr>
                <w:b/>
                <w:bCs/>
              </w:rPr>
              <w:t>P2G</w:t>
            </w:r>
          </w:p>
        </w:tc>
        <w:tc>
          <w:tcPr>
            <w:tcW w:w="6089" w:type="dxa"/>
          </w:tcPr>
          <w:p w14:paraId="6FCF1105" w14:textId="67B28A1D" w:rsidR="00D06559" w:rsidRPr="005E3F91" w:rsidRDefault="00D06559" w:rsidP="00F02020">
            <w:pPr>
              <w:spacing w:before="0" w:after="40" w:line="278" w:lineRule="auto"/>
            </w:pPr>
            <w:r w:rsidRPr="005E3F91">
              <w:t xml:space="preserve">vankúš vyplývajúci </w:t>
            </w:r>
            <w:r w:rsidR="0068581E">
              <w:t>z </w:t>
            </w:r>
            <w:r w:rsidRPr="005E3F91">
              <w:t xml:space="preserve">odporúčaní </w:t>
            </w:r>
            <w:r w:rsidR="0068581E">
              <w:t>z </w:t>
            </w:r>
            <w:r w:rsidRPr="005E3F91">
              <w:t>Piliera 2</w:t>
            </w:r>
          </w:p>
        </w:tc>
      </w:tr>
      <w:tr w:rsidR="00694A14" w:rsidRPr="00D82A4E" w14:paraId="05ADA775" w14:textId="77777777" w:rsidTr="00D06559">
        <w:tc>
          <w:tcPr>
            <w:tcW w:w="1271" w:type="dxa"/>
          </w:tcPr>
          <w:p w14:paraId="7DC2AEC3" w14:textId="0C5425FC" w:rsidR="00694A14" w:rsidRPr="005E3F91" w:rsidRDefault="00694A14" w:rsidP="00F02020">
            <w:pPr>
              <w:spacing w:before="0" w:after="40" w:line="278" w:lineRule="auto"/>
              <w:rPr>
                <w:b/>
                <w:bCs/>
              </w:rPr>
            </w:pPr>
            <w:r w:rsidRPr="005E3F91">
              <w:rPr>
                <w:b/>
                <w:bCs/>
              </w:rPr>
              <w:lastRenderedPageBreak/>
              <w:t>PZP</w:t>
            </w:r>
          </w:p>
        </w:tc>
        <w:tc>
          <w:tcPr>
            <w:tcW w:w="6089" w:type="dxa"/>
          </w:tcPr>
          <w:p w14:paraId="30B75E69" w14:textId="41D3F1E8" w:rsidR="00694A14" w:rsidRPr="005E3F91" w:rsidRDefault="00235B60" w:rsidP="00F02020">
            <w:pPr>
              <w:spacing w:before="0" w:after="40" w:line="278" w:lineRule="auto"/>
            </w:pPr>
            <w:r w:rsidRPr="005E3F91">
              <w:t>p</w:t>
            </w:r>
            <w:r w:rsidR="00694A14" w:rsidRPr="005E3F91">
              <w:t>ovinné zmluvné poistenie motorových voz</w:t>
            </w:r>
            <w:r w:rsidRPr="005E3F91">
              <w:t>i</w:t>
            </w:r>
            <w:r w:rsidR="00694A14" w:rsidRPr="005E3F91">
              <w:t>diel</w:t>
            </w:r>
          </w:p>
        </w:tc>
      </w:tr>
      <w:tr w:rsidR="00694A14" w:rsidRPr="00D82A4E" w14:paraId="3A0C1A88" w14:textId="77777777" w:rsidTr="00D06559">
        <w:tc>
          <w:tcPr>
            <w:tcW w:w="1271" w:type="dxa"/>
          </w:tcPr>
          <w:p w14:paraId="0B84A2B6" w14:textId="1D035E3D" w:rsidR="00694A14" w:rsidRPr="005E3F91" w:rsidRDefault="00694A14" w:rsidP="00F02020">
            <w:pPr>
              <w:spacing w:before="0" w:after="40" w:line="278" w:lineRule="auto"/>
              <w:rPr>
                <w:b/>
              </w:rPr>
            </w:pPr>
            <w:r w:rsidRPr="005E3F91">
              <w:rPr>
                <w:b/>
              </w:rPr>
              <w:t>ROE</w:t>
            </w:r>
          </w:p>
        </w:tc>
        <w:tc>
          <w:tcPr>
            <w:tcW w:w="6089" w:type="dxa"/>
          </w:tcPr>
          <w:p w14:paraId="7A62C428" w14:textId="3B0741D8" w:rsidR="00694A14" w:rsidRPr="005E3F91" w:rsidRDefault="00694A14" w:rsidP="00F02020">
            <w:pPr>
              <w:spacing w:before="0" w:after="40" w:line="278" w:lineRule="auto"/>
              <w:jc w:val="left"/>
            </w:pPr>
            <w:proofErr w:type="spellStart"/>
            <w:r w:rsidRPr="005E3F91">
              <w:t>Return</w:t>
            </w:r>
            <w:proofErr w:type="spellEnd"/>
            <w:r w:rsidRPr="005E3F91">
              <w:t xml:space="preserve"> on </w:t>
            </w:r>
            <w:proofErr w:type="spellStart"/>
            <w:r w:rsidRPr="005E3F91">
              <w:t>equity</w:t>
            </w:r>
            <w:proofErr w:type="spellEnd"/>
            <w:r w:rsidRPr="005E3F91">
              <w:t xml:space="preserve"> (návratnosť vlastných zdrojov)</w:t>
            </w:r>
          </w:p>
        </w:tc>
      </w:tr>
      <w:tr w:rsidR="004950F5" w:rsidRPr="004950F5" w14:paraId="4D512446" w14:textId="77777777" w:rsidTr="003E150E">
        <w:tc>
          <w:tcPr>
            <w:tcW w:w="1271" w:type="dxa"/>
          </w:tcPr>
          <w:p w14:paraId="1B893AA8" w14:textId="77777777" w:rsidR="004950F5" w:rsidRPr="005E3F91" w:rsidRDefault="004950F5" w:rsidP="003E150E">
            <w:pPr>
              <w:spacing w:before="0" w:after="40" w:line="278" w:lineRule="auto"/>
              <w:rPr>
                <w:b/>
              </w:rPr>
            </w:pPr>
            <w:r w:rsidRPr="005E3F91">
              <w:rPr>
                <w:b/>
              </w:rPr>
              <w:t>RVA</w:t>
            </w:r>
          </w:p>
        </w:tc>
        <w:tc>
          <w:tcPr>
            <w:tcW w:w="6089" w:type="dxa"/>
          </w:tcPr>
          <w:p w14:paraId="7A9BFD4B" w14:textId="77777777" w:rsidR="004950F5" w:rsidRPr="005E3F91" w:rsidRDefault="004950F5" w:rsidP="003E150E">
            <w:pPr>
              <w:spacing w:before="0" w:after="40" w:line="278" w:lineRule="auto"/>
              <w:jc w:val="left"/>
            </w:pPr>
            <w:r w:rsidRPr="005E3F91">
              <w:t>rizikovo-vážené aktíva</w:t>
            </w:r>
          </w:p>
        </w:tc>
      </w:tr>
      <w:tr w:rsidR="00D06559" w:rsidRPr="00D82A4E" w14:paraId="082096CA" w14:textId="77777777" w:rsidTr="00D06559">
        <w:tc>
          <w:tcPr>
            <w:tcW w:w="1271" w:type="dxa"/>
          </w:tcPr>
          <w:p w14:paraId="07CAF836" w14:textId="0EF09C1C" w:rsidR="00D06559" w:rsidRPr="005E3F91" w:rsidRDefault="00D06559" w:rsidP="00F02020">
            <w:pPr>
              <w:spacing w:before="0" w:after="40" w:line="278" w:lineRule="auto"/>
              <w:rPr>
                <w:b/>
              </w:rPr>
            </w:pPr>
            <w:r w:rsidRPr="005E3F91">
              <w:rPr>
                <w:b/>
              </w:rPr>
              <w:t>SR</w:t>
            </w:r>
          </w:p>
        </w:tc>
        <w:tc>
          <w:tcPr>
            <w:tcW w:w="6089" w:type="dxa"/>
          </w:tcPr>
          <w:p w14:paraId="10A0E93E" w14:textId="3FA18C54" w:rsidR="00D06559" w:rsidRPr="005E3F91" w:rsidRDefault="00D06559" w:rsidP="00F02020">
            <w:pPr>
              <w:spacing w:before="0" w:after="40" w:line="278" w:lineRule="auto"/>
              <w:jc w:val="left"/>
            </w:pPr>
            <w:r w:rsidRPr="005E3F91">
              <w:t>Slovenská republika</w:t>
            </w:r>
          </w:p>
        </w:tc>
      </w:tr>
      <w:tr w:rsidR="00A76AD1" w:rsidRPr="00D82A4E" w14:paraId="1F12493F" w14:textId="77777777" w:rsidTr="00D06559">
        <w:tc>
          <w:tcPr>
            <w:tcW w:w="1271" w:type="dxa"/>
          </w:tcPr>
          <w:p w14:paraId="3C8AEB53" w14:textId="02A2E0C6" w:rsidR="00A76AD1" w:rsidRPr="005E3F91" w:rsidRDefault="00A76AD1" w:rsidP="00F02020">
            <w:pPr>
              <w:spacing w:before="0" w:after="40" w:line="278" w:lineRule="auto"/>
              <w:rPr>
                <w:b/>
              </w:rPr>
            </w:pPr>
            <w:r w:rsidRPr="005E3F91">
              <w:rPr>
                <w:b/>
              </w:rPr>
              <w:t>SCR</w:t>
            </w:r>
          </w:p>
        </w:tc>
        <w:tc>
          <w:tcPr>
            <w:tcW w:w="6089" w:type="dxa"/>
          </w:tcPr>
          <w:p w14:paraId="387296DC" w14:textId="37EFAD59" w:rsidR="00A76AD1" w:rsidRPr="005E3F91" w:rsidRDefault="00A76AD1" w:rsidP="00F02020">
            <w:pPr>
              <w:spacing w:before="0" w:after="40" w:line="278" w:lineRule="auto"/>
              <w:jc w:val="left"/>
            </w:pPr>
            <w:r w:rsidRPr="005E3F91">
              <w:t>kapitálová požiadavka na solventnosť</w:t>
            </w:r>
          </w:p>
        </w:tc>
      </w:tr>
      <w:tr w:rsidR="00D06559" w:rsidRPr="00D82A4E" w14:paraId="74BDCC9D" w14:textId="77777777" w:rsidTr="00D06559">
        <w:tc>
          <w:tcPr>
            <w:tcW w:w="1271" w:type="dxa"/>
          </w:tcPr>
          <w:p w14:paraId="6731A65C" w14:textId="1CB420DF" w:rsidR="00D06559" w:rsidRPr="005E3F91" w:rsidRDefault="00D06559" w:rsidP="00F02020">
            <w:pPr>
              <w:spacing w:before="0" w:after="40" w:line="278" w:lineRule="auto"/>
              <w:rPr>
                <w:b/>
              </w:rPr>
            </w:pPr>
            <w:r w:rsidRPr="005E3F91">
              <w:rPr>
                <w:b/>
              </w:rPr>
              <w:t>SKP</w:t>
            </w:r>
          </w:p>
        </w:tc>
        <w:tc>
          <w:tcPr>
            <w:tcW w:w="6089" w:type="dxa"/>
          </w:tcPr>
          <w:p w14:paraId="76C81440" w14:textId="455DC827" w:rsidR="00D06559" w:rsidRPr="005E3F91" w:rsidRDefault="00D06559" w:rsidP="00F02020">
            <w:pPr>
              <w:spacing w:before="0" w:after="40" w:line="278" w:lineRule="auto"/>
              <w:jc w:val="left"/>
            </w:pPr>
            <w:r w:rsidRPr="005E3F91">
              <w:t>Slovenská kancelária poisťovateľov</w:t>
            </w:r>
          </w:p>
        </w:tc>
      </w:tr>
      <w:tr w:rsidR="00D06559" w:rsidRPr="00D82A4E" w14:paraId="59070DB1" w14:textId="77777777" w:rsidTr="00D06559">
        <w:tc>
          <w:tcPr>
            <w:tcW w:w="1271" w:type="dxa"/>
          </w:tcPr>
          <w:p w14:paraId="33AD903D" w14:textId="39D46266" w:rsidR="00D06559" w:rsidRPr="005E3F91" w:rsidRDefault="00D06559" w:rsidP="00F02020">
            <w:pPr>
              <w:spacing w:before="0" w:after="40" w:line="278" w:lineRule="auto"/>
              <w:rPr>
                <w:b/>
              </w:rPr>
            </w:pPr>
            <w:r w:rsidRPr="005E3F91">
              <w:rPr>
                <w:b/>
              </w:rPr>
              <w:t>SZČO</w:t>
            </w:r>
          </w:p>
        </w:tc>
        <w:tc>
          <w:tcPr>
            <w:tcW w:w="6089" w:type="dxa"/>
          </w:tcPr>
          <w:p w14:paraId="248337F9" w14:textId="23CFC1EA" w:rsidR="00D06559" w:rsidRPr="005E3F91" w:rsidRDefault="00D06559" w:rsidP="00F02020">
            <w:pPr>
              <w:spacing w:before="0" w:after="40" w:line="278" w:lineRule="auto"/>
              <w:jc w:val="left"/>
            </w:pPr>
            <w:r w:rsidRPr="005E3F91">
              <w:t>samostatne zárobkovo činná osoba</w:t>
            </w:r>
          </w:p>
        </w:tc>
      </w:tr>
      <w:tr w:rsidR="00694A14" w:rsidRPr="00D82A4E" w14:paraId="5A1A583A" w14:textId="77777777" w:rsidTr="00D06559">
        <w:tc>
          <w:tcPr>
            <w:tcW w:w="1271" w:type="dxa"/>
          </w:tcPr>
          <w:p w14:paraId="4716741A" w14:textId="2C6B7B44" w:rsidR="00694A14" w:rsidRPr="005E3F91" w:rsidRDefault="00694A14" w:rsidP="00F02020">
            <w:pPr>
              <w:spacing w:before="0" w:after="40" w:line="278" w:lineRule="auto"/>
              <w:rPr>
                <w:b/>
              </w:rPr>
            </w:pPr>
            <w:proofErr w:type="spellStart"/>
            <w:r w:rsidRPr="005E3F91">
              <w:rPr>
                <w:b/>
              </w:rPr>
              <w:t>Tier</w:t>
            </w:r>
            <w:proofErr w:type="spellEnd"/>
            <w:r w:rsidRPr="005E3F91">
              <w:rPr>
                <w:b/>
              </w:rPr>
              <w:t xml:space="preserve"> 1 </w:t>
            </w:r>
          </w:p>
        </w:tc>
        <w:tc>
          <w:tcPr>
            <w:tcW w:w="6089" w:type="dxa"/>
          </w:tcPr>
          <w:p w14:paraId="4370D14D" w14:textId="71F99281" w:rsidR="00694A14" w:rsidRPr="005E3F91" w:rsidRDefault="00694A14" w:rsidP="00F02020">
            <w:pPr>
              <w:spacing w:before="0" w:after="40" w:line="278" w:lineRule="auto"/>
            </w:pPr>
            <w:r w:rsidRPr="005E3F91">
              <w:t>ukazovateľ základných vlastných zdrojov</w:t>
            </w:r>
          </w:p>
        </w:tc>
      </w:tr>
      <w:tr w:rsidR="004950F5" w:rsidRPr="004950F5" w14:paraId="40701B76" w14:textId="77777777" w:rsidTr="003E150E">
        <w:tc>
          <w:tcPr>
            <w:tcW w:w="1271" w:type="dxa"/>
          </w:tcPr>
          <w:p w14:paraId="31976D10" w14:textId="77777777" w:rsidR="004950F5" w:rsidRPr="005E3F91" w:rsidRDefault="004950F5" w:rsidP="003E150E">
            <w:pPr>
              <w:spacing w:before="0" w:after="40" w:line="278" w:lineRule="auto"/>
              <w:rPr>
                <w:b/>
              </w:rPr>
            </w:pPr>
            <w:proofErr w:type="spellStart"/>
            <w:r w:rsidRPr="005E3F91">
              <w:rPr>
                <w:b/>
              </w:rPr>
              <w:t>Tier</w:t>
            </w:r>
            <w:proofErr w:type="spellEnd"/>
            <w:r w:rsidRPr="005E3F91">
              <w:rPr>
                <w:b/>
              </w:rPr>
              <w:t xml:space="preserve"> 3</w:t>
            </w:r>
          </w:p>
        </w:tc>
        <w:tc>
          <w:tcPr>
            <w:tcW w:w="6089" w:type="dxa"/>
          </w:tcPr>
          <w:p w14:paraId="193FD236" w14:textId="77777777" w:rsidR="004950F5" w:rsidRPr="005E3F91" w:rsidRDefault="004950F5" w:rsidP="003E150E">
            <w:pPr>
              <w:spacing w:before="0" w:after="40" w:line="278" w:lineRule="auto"/>
            </w:pPr>
            <w:r w:rsidRPr="005E3F91">
              <w:t>kapitál tretieho poradia</w:t>
            </w:r>
          </w:p>
        </w:tc>
      </w:tr>
      <w:tr w:rsidR="004950F5" w:rsidRPr="004950F5" w14:paraId="5C03075B" w14:textId="77777777" w:rsidTr="003E150E">
        <w:tc>
          <w:tcPr>
            <w:tcW w:w="1271" w:type="dxa"/>
          </w:tcPr>
          <w:p w14:paraId="61256CB3" w14:textId="77777777" w:rsidR="004950F5" w:rsidRPr="005E3F91" w:rsidRDefault="004950F5" w:rsidP="003E150E">
            <w:pPr>
              <w:spacing w:before="0" w:after="40" w:line="278" w:lineRule="auto"/>
              <w:rPr>
                <w:b/>
              </w:rPr>
            </w:pPr>
            <w:r w:rsidRPr="005E3F91">
              <w:rPr>
                <w:b/>
              </w:rPr>
              <w:t>ŽP</w:t>
            </w:r>
          </w:p>
        </w:tc>
        <w:tc>
          <w:tcPr>
            <w:tcW w:w="6089" w:type="dxa"/>
          </w:tcPr>
          <w:p w14:paraId="73C808B5" w14:textId="77777777" w:rsidR="004950F5" w:rsidRPr="005E3F91" w:rsidRDefault="004950F5" w:rsidP="003E150E">
            <w:pPr>
              <w:spacing w:before="0" w:after="40" w:line="278" w:lineRule="auto"/>
            </w:pPr>
            <w:r w:rsidRPr="005E3F91">
              <w:t>životné poistenie</w:t>
            </w:r>
          </w:p>
        </w:tc>
      </w:tr>
      <w:bookmarkEnd w:id="0"/>
      <w:bookmarkEnd w:id="50"/>
    </w:tbl>
    <w:p w14:paraId="35A2E95B" w14:textId="45DF1815" w:rsidR="008E44FF" w:rsidRPr="00C70E80" w:rsidRDefault="008E44FF" w:rsidP="00F02020"/>
    <w:sectPr w:rsidR="008E44FF" w:rsidRPr="00C70E80" w:rsidSect="00035407">
      <w:headerReference w:type="default" r:id="rId42"/>
      <w:footerReference w:type="default" r:id="rId43"/>
      <w:pgSz w:w="11906" w:h="16838" w:code="9"/>
      <w:pgMar w:top="1134" w:right="1134" w:bottom="1701" w:left="3402"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3521A" w14:textId="77777777" w:rsidR="00000547" w:rsidRDefault="00000547" w:rsidP="005313A7">
      <w:r>
        <w:separator/>
      </w:r>
    </w:p>
    <w:p w14:paraId="3E918085" w14:textId="77777777" w:rsidR="00000547" w:rsidRDefault="00000547"/>
    <w:p w14:paraId="6EFC3652" w14:textId="77777777" w:rsidR="00000547" w:rsidRDefault="00000547" w:rsidP="00E90A23"/>
  </w:endnote>
  <w:endnote w:type="continuationSeparator" w:id="0">
    <w:p w14:paraId="53904A4D" w14:textId="77777777" w:rsidR="00000547" w:rsidRDefault="00000547" w:rsidP="005313A7">
      <w:r>
        <w:continuationSeparator/>
      </w:r>
    </w:p>
    <w:p w14:paraId="617F541F" w14:textId="77777777" w:rsidR="00000547" w:rsidRDefault="00000547"/>
    <w:p w14:paraId="6CCB1588" w14:textId="77777777" w:rsidR="00000547" w:rsidRDefault="00000547" w:rsidP="00E90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harter">
    <w:altName w:val="Cambria Math"/>
    <w:charset w:val="00"/>
    <w:family w:val="roman"/>
    <w:pitch w:val="variable"/>
    <w:sig w:usb0="00000001" w:usb1="1000204A" w:usb2="00000000" w:usb3="00000000" w:csb0="00000011" w:csb1="00000000"/>
  </w:font>
  <w:font w:name="Portada Text">
    <w:altName w:val="Times New Roman"/>
    <w:panose1 w:val="00000000000000000000"/>
    <w:charset w:val="00"/>
    <w:family w:val="modern"/>
    <w:notTrueType/>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197849"/>
      <w:docPartObj>
        <w:docPartGallery w:val="Page Numbers (Bottom of Page)"/>
        <w:docPartUnique/>
      </w:docPartObj>
    </w:sdtPr>
    <w:sdtEndPr>
      <w:rPr>
        <w:noProof/>
      </w:rPr>
    </w:sdtEndPr>
    <w:sdtContent>
      <w:p w14:paraId="77A03712" w14:textId="0916CCDB" w:rsidR="00000547" w:rsidRDefault="00000547" w:rsidP="00185F87">
        <w:pPr>
          <w:pStyle w:val="Footer"/>
          <w:tabs>
            <w:tab w:val="center" w:pos="6379"/>
          </w:tabs>
          <w:rPr>
            <w:noProof/>
          </w:rPr>
        </w:pPr>
        <w:r w:rsidRPr="008B1609">
          <w:t>SPRÁVA O</w:t>
        </w:r>
        <w:r>
          <w:t> STAVE A VÝVOJI FINANČNÉHO TRHU</w:t>
        </w:r>
        <w:r>
          <w:tab/>
        </w:r>
        <w:r>
          <w:tab/>
        </w:r>
        <w:r>
          <w:fldChar w:fldCharType="begin"/>
        </w:r>
        <w:r>
          <w:instrText xml:space="preserve"> PAGE   \* MERGEFORMAT </w:instrText>
        </w:r>
        <w:r>
          <w:fldChar w:fldCharType="separate"/>
        </w:r>
        <w:r>
          <w:t>2</w:t>
        </w:r>
        <w:r>
          <w:rPr>
            <w:noProof/>
          </w:rPr>
          <w:fldChar w:fldCharType="end"/>
        </w:r>
        <w:r>
          <w:rPr>
            <w:noProof/>
          </w:rPr>
          <w:t>/</w:t>
        </w:r>
        <w:r>
          <w:rPr>
            <w:noProof/>
          </w:rPr>
          <w:fldChar w:fldCharType="begin"/>
        </w:r>
        <w:r>
          <w:rPr>
            <w:noProof/>
          </w:rPr>
          <w:instrText xml:space="preserve"> NUMPAGES  \* Arabic  \* MERGEFORMAT </w:instrText>
        </w:r>
        <w:r>
          <w:rPr>
            <w:noProof/>
          </w:rPr>
          <w:fldChar w:fldCharType="separate"/>
        </w:r>
        <w:r>
          <w:rPr>
            <w:noProof/>
          </w:rPr>
          <w:t>85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77CA3" w14:textId="41FA9229" w:rsidR="00000547" w:rsidRDefault="00000547">
      <w:r>
        <w:separator/>
      </w:r>
    </w:p>
  </w:footnote>
  <w:footnote w:type="continuationSeparator" w:id="0">
    <w:p w14:paraId="48AE6CBA" w14:textId="77777777" w:rsidR="00000547" w:rsidRDefault="00000547" w:rsidP="005313A7">
      <w:r>
        <w:continuationSeparator/>
      </w:r>
    </w:p>
  </w:footnote>
  <w:footnote w:id="1">
    <w:p w14:paraId="0EC44EC7" w14:textId="77777777" w:rsidR="00000547" w:rsidRDefault="00000547" w:rsidP="00667E78">
      <w:pPr>
        <w:pStyle w:val="FootnoteText"/>
      </w:pPr>
      <w:r>
        <w:rPr>
          <w:rStyle w:val="FootnoteReference"/>
        </w:rPr>
        <w:footnoteRef/>
      </w:r>
      <w:r>
        <w:t xml:space="preserve"> Rozdiel medzi tempom zmeny stavu úverov a novými úvermi spočíva v priebežnom splácaní portfólia. Časť nových úverov tak len kompenzuje splatenie iných úverov.</w:t>
      </w:r>
    </w:p>
  </w:footnote>
  <w:footnote w:id="2">
    <w:p w14:paraId="048F5691" w14:textId="183C5E90" w:rsidR="00000547" w:rsidRDefault="00000547" w:rsidP="007F3F37">
      <w:pPr>
        <w:pStyle w:val="FootnoteText"/>
      </w:pPr>
      <w:r>
        <w:rPr>
          <w:rStyle w:val="FootnoteReference"/>
        </w:rPr>
        <w:footnoteRef/>
      </w:r>
      <w:r>
        <w:t xml:space="preserve"> Údaje o sprísňovaní úverových štandardov pochádzajú z pravidelného </w:t>
      </w:r>
      <w:r w:rsidRPr="0013003D">
        <w:t>Dotazník</w:t>
      </w:r>
      <w:r>
        <w:t>a</w:t>
      </w:r>
      <w:r w:rsidRPr="0013003D">
        <w:t xml:space="preserve"> o vývoji ponuky a dopytu na trhu úverov</w:t>
      </w:r>
      <w:r>
        <w:t>.</w:t>
      </w:r>
    </w:p>
  </w:footnote>
  <w:footnote w:id="3">
    <w:p w14:paraId="09F8B945" w14:textId="77777777" w:rsidR="00000547" w:rsidRDefault="00000547" w:rsidP="007F3F37">
      <w:pPr>
        <w:pStyle w:val="FootnoteText"/>
      </w:pPr>
      <w:r>
        <w:rPr>
          <w:rStyle w:val="FootnoteReference"/>
        </w:rPr>
        <w:footnoteRef/>
      </w:r>
      <w:r>
        <w:t xml:space="preserve"> Odhad vychádza z predpokladu, že všetky spotrebiteľské úvery sú poskytnuté za priemernú úrokovú sadzbu portfólia existujúcich spotrebiteľských úverov (8,2 %) a majú zostatkovú splatnosť 7 rokov.</w:t>
      </w:r>
    </w:p>
  </w:footnote>
  <w:footnote w:id="4">
    <w:p w14:paraId="416FF7FA" w14:textId="5F047521" w:rsidR="00000547" w:rsidRDefault="00000547" w:rsidP="00225672">
      <w:pPr>
        <w:pStyle w:val="FootnoteText"/>
      </w:pPr>
      <w:r>
        <w:rPr>
          <w:rStyle w:val="FootnoteReference"/>
        </w:rPr>
        <w:footnoteRef/>
      </w:r>
      <w:r>
        <w:t xml:space="preserve"> O </w:t>
      </w:r>
      <w:r w:rsidRPr="004B305C">
        <w:t xml:space="preserve">odklad splátok </w:t>
      </w:r>
      <w:r>
        <w:t xml:space="preserve">úverov môže požiadať ktorákoľvek domácnosť, podmienkou je iba to, aby v čase žiadosti o odklad neboli splátky úveru vo výraznejšom omeškaní. Odklad sa poskytuje najviac na obdobie 9 mesiacov pri bankových úveroch, pri nebankových úveroch je maximálna doba odkladu 3 mesiace s možnosťou predĺženia o ďalšie 3 mesiace. </w:t>
      </w:r>
    </w:p>
  </w:footnote>
  <w:footnote w:id="5">
    <w:p w14:paraId="7F890476" w14:textId="77777777" w:rsidR="00000547" w:rsidRDefault="00000547" w:rsidP="00225672">
      <w:pPr>
        <w:pStyle w:val="FootnoteText"/>
      </w:pPr>
      <w:r>
        <w:rPr>
          <w:rStyle w:val="FootnoteReference"/>
        </w:rPr>
        <w:footnoteRef/>
      </w:r>
      <w:r>
        <w:t xml:space="preserve"> </w:t>
      </w:r>
      <w:bookmarkStart w:id="11" w:name="_Hlk49251510"/>
      <w:r>
        <w:t xml:space="preserve">Prieskum vykonala agentúra FOCUS pre NBS na vzorke 1 007 respondentov v priebehu druhej polovice júla 2020. </w:t>
      </w:r>
      <w:bookmarkEnd w:id="11"/>
      <w:r>
        <w:t xml:space="preserve">V druhej polovici augusta 2020 sa uskutočnilo druhé kolo prieskumu, ktorého cieľom bolo zistiť </w:t>
      </w:r>
      <w:r w:rsidRPr="007F3324">
        <w:t>aktuálny vývoj situácie. V prieskume sa bude pokračovať na mesačnej báze až do decembra 2020.</w:t>
      </w:r>
      <w:r w:rsidRPr="00D10331">
        <w:rPr>
          <w:color w:val="FF0000"/>
        </w:rPr>
        <w:t xml:space="preserve"> </w:t>
      </w:r>
    </w:p>
  </w:footnote>
  <w:footnote w:id="6">
    <w:p w14:paraId="467D307B" w14:textId="77777777" w:rsidR="00000547" w:rsidRDefault="00000547" w:rsidP="00225672">
      <w:pPr>
        <w:pStyle w:val="FootnoteText"/>
      </w:pPr>
      <w:r>
        <w:rPr>
          <w:rStyle w:val="FootnoteReference"/>
        </w:rPr>
        <w:footnoteRef/>
      </w:r>
      <w:r>
        <w:t xml:space="preserve"> </w:t>
      </w:r>
      <w:bookmarkStart w:id="12" w:name="_Hlk49255757"/>
      <w:r w:rsidRPr="00140E29">
        <w:t>Cesnak</w:t>
      </w:r>
      <w:r>
        <w:t xml:space="preserve"> M.</w:t>
      </w:r>
      <w:r w:rsidRPr="00140E29">
        <w:t>, Cupák</w:t>
      </w:r>
      <w:r>
        <w:t xml:space="preserve"> A.</w:t>
      </w:r>
      <w:r w:rsidRPr="00140E29">
        <w:t>, Jurašeková Kucserová</w:t>
      </w:r>
      <w:r>
        <w:t xml:space="preserve"> J.</w:t>
      </w:r>
      <w:r w:rsidRPr="00140E29">
        <w:t>, Jurča</w:t>
      </w:r>
      <w:r>
        <w:t xml:space="preserve"> P.</w:t>
      </w:r>
      <w:r w:rsidRPr="00140E29">
        <w:t xml:space="preserve">, </w:t>
      </w:r>
      <w:r>
        <w:t>K</w:t>
      </w:r>
      <w:r w:rsidRPr="00140E29">
        <w:t>lacso</w:t>
      </w:r>
      <w:r>
        <w:t xml:space="preserve"> J.</w:t>
      </w:r>
      <w:r w:rsidRPr="00140E29">
        <w:t>, Košútová</w:t>
      </w:r>
      <w:r>
        <w:t xml:space="preserve"> A.</w:t>
      </w:r>
      <w:r w:rsidRPr="00140E29">
        <w:t>, Moravčík</w:t>
      </w:r>
      <w:r>
        <w:t xml:space="preserve"> A.</w:t>
      </w:r>
      <w:r w:rsidRPr="00140E29">
        <w:t>, Šuster</w:t>
      </w:r>
      <w:r>
        <w:t xml:space="preserve"> M. (2020): </w:t>
      </w:r>
      <w:hyperlink r:id="rId1" w:history="1">
        <w:r w:rsidRPr="007F3324">
          <w:rPr>
            <w:rStyle w:val="Hyperlink"/>
          </w:rPr>
          <w:t>Vplyv koronakrízy na finančnú situáciu a očakávania zadlžených domácností</w:t>
        </w:r>
      </w:hyperlink>
      <w:r>
        <w:t xml:space="preserve">, Príležitostná štúdia NBS č. 3/2020. </w:t>
      </w:r>
      <w:bookmarkEnd w:id="12"/>
    </w:p>
  </w:footnote>
  <w:footnote w:id="7">
    <w:p w14:paraId="78C5D553" w14:textId="7FB4C53F" w:rsidR="00000547" w:rsidRDefault="00000547">
      <w:pPr>
        <w:pStyle w:val="FootnoteText"/>
      </w:pPr>
      <w:r>
        <w:rPr>
          <w:rStyle w:val="FootnoteReference"/>
        </w:rPr>
        <w:footnoteRef/>
      </w:r>
      <w:r>
        <w:t xml:space="preserve"> </w:t>
      </w:r>
      <w:r w:rsidRPr="00B40CE9">
        <w:t>Len v 13 % prípadov žiadali domácnosti o odklad alebo úpravu podmienok splácania z preventívnych dôvodov, nie v dôsledku zhoršenej finančnej situácie.</w:t>
      </w:r>
    </w:p>
  </w:footnote>
  <w:footnote w:id="8">
    <w:p w14:paraId="4BB9C436" w14:textId="77777777" w:rsidR="00000547" w:rsidRDefault="00000547" w:rsidP="00225672">
      <w:pPr>
        <w:pStyle w:val="FootnoteText"/>
      </w:pPr>
      <w:r>
        <w:rPr>
          <w:rStyle w:val="FootnoteReference"/>
        </w:rPr>
        <w:footnoteRef/>
      </w:r>
      <w:r>
        <w:t xml:space="preserve"> </w:t>
      </w:r>
      <w:r w:rsidRPr="00A216A6">
        <w:t>Interval spoľahlivosti na hranici pravdepodobnosti 95 % je medzi 0,6 % a 1,8 %.</w:t>
      </w:r>
    </w:p>
  </w:footnote>
  <w:footnote w:id="9">
    <w:p w14:paraId="30A92A2E" w14:textId="0F6A1C2B" w:rsidR="00000547" w:rsidRDefault="00000547" w:rsidP="00225672">
      <w:pPr>
        <w:pStyle w:val="FootnoteText"/>
      </w:pPr>
      <w:r>
        <w:rPr>
          <w:rStyle w:val="FootnoteReference"/>
        </w:rPr>
        <w:footnoteRef/>
      </w:r>
      <w:r>
        <w:t xml:space="preserve"> Podiel úverov poskytnutých domácnostiam, ktoré vyjadrili obavy o neschopnosti splácať, predstavuje 1,5 % celkového portfólia retailových úverov. </w:t>
      </w:r>
    </w:p>
  </w:footnote>
  <w:footnote w:id="10">
    <w:p w14:paraId="71D269A4" w14:textId="18BAC405" w:rsidR="00000547" w:rsidRDefault="00000547">
      <w:pPr>
        <w:pStyle w:val="FootnoteText"/>
      </w:pPr>
      <w:r>
        <w:rPr>
          <w:rStyle w:val="FootnoteReference"/>
        </w:rPr>
        <w:footnoteRef/>
      </w:r>
      <w:r>
        <w:t xml:space="preserve"> Predpokladáme, že pri úveroch na bývanie je strata v prípade zlyhania 20 % a pri spotrebiteľských úveroch 80 % hodnoty úveru v čase zlyhania. </w:t>
      </w:r>
    </w:p>
  </w:footnote>
  <w:footnote w:id="11">
    <w:p w14:paraId="64C3E307" w14:textId="77777777" w:rsidR="00000547" w:rsidRDefault="00000547" w:rsidP="00225672">
      <w:pPr>
        <w:pStyle w:val="FootnoteText"/>
      </w:pPr>
      <w:r>
        <w:rPr>
          <w:rStyle w:val="FootnoteReference"/>
        </w:rPr>
        <w:footnoteRef/>
      </w:r>
      <w:r>
        <w:t xml:space="preserve"> Údaje o počte domácností, ktorých príjmy nemusia postačovať na pokrytie splátok a nákladov na živobytie,</w:t>
      </w:r>
      <w:r w:rsidRPr="00A8256B">
        <w:t xml:space="preserve"> nie </w:t>
      </w:r>
      <w:r>
        <w:t>sú</w:t>
      </w:r>
      <w:r w:rsidRPr="00A8256B">
        <w:t xml:space="preserve"> založen</w:t>
      </w:r>
      <w:r>
        <w:t>é</w:t>
      </w:r>
      <w:r w:rsidRPr="00A8256B">
        <w:t xml:space="preserve"> na priamej odpovedi respondentov. </w:t>
      </w:r>
      <w:r>
        <w:t>Sú</w:t>
      </w:r>
      <w:r w:rsidRPr="00A8256B">
        <w:t xml:space="preserve"> len nepriamo odvoden</w:t>
      </w:r>
      <w:r>
        <w:t>é</w:t>
      </w:r>
      <w:r w:rsidRPr="00A8256B">
        <w:t xml:space="preserve"> z údajov o príjme (a jeho zmene), splátkach a počte vyživovaných detí. Nezohľadňujú sa pritom informácie o možných úsporách ani o pomoci v rámci rodiny, keďže tieto informácie v rámci prieskumu nie sú k dispozícii.</w:t>
      </w:r>
    </w:p>
  </w:footnote>
  <w:footnote w:id="12">
    <w:p w14:paraId="49E965D9" w14:textId="5FBDE46A" w:rsidR="00000547" w:rsidRDefault="00000547" w:rsidP="00225672">
      <w:pPr>
        <w:pStyle w:val="FootnoteText"/>
      </w:pPr>
      <w:r>
        <w:rPr>
          <w:rStyle w:val="FootnoteReference"/>
        </w:rPr>
        <w:footnoteRef/>
      </w:r>
      <w:r>
        <w:t xml:space="preserve"> </w:t>
      </w:r>
      <w:r w:rsidRPr="00B90CCD">
        <w:t>Do rizika neschopnosti pokryť splátky a nutné životné výdavky v dôsledku výpadku príjmov sa dostali najmä domácnosti, ktoré stratili prácu, domácnosti s nízkym príjmom, živnostníci a</w:t>
      </w:r>
      <w:r>
        <w:t> </w:t>
      </w:r>
      <w:r w:rsidRPr="00B90CCD">
        <w:t>domácnosti</w:t>
      </w:r>
      <w:r>
        <w:t xml:space="preserve"> s členmi</w:t>
      </w:r>
      <w:r w:rsidRPr="00B90CCD">
        <w:t xml:space="preserve"> pracujúc</w:t>
      </w:r>
      <w:r>
        <w:t>imi</w:t>
      </w:r>
      <w:r w:rsidRPr="00B90CCD">
        <w:t xml:space="preserve"> v odvetviach najviac poznačených krízou</w:t>
      </w:r>
      <w:r>
        <w:t xml:space="preserve"> (u</w:t>
      </w:r>
      <w:r w:rsidRPr="000A7473">
        <w:t>bytovacie a stravovacie služby,</w:t>
      </w:r>
      <w:r>
        <w:t xml:space="preserve"> u</w:t>
      </w:r>
      <w:r w:rsidRPr="000A7473">
        <w:t>menie, zábav</w:t>
      </w:r>
      <w:r>
        <w:t>a</w:t>
      </w:r>
      <w:r w:rsidRPr="000A7473">
        <w:t xml:space="preserve"> a</w:t>
      </w:r>
      <w:r>
        <w:t> </w:t>
      </w:r>
      <w:r w:rsidRPr="000A7473">
        <w:t>rekreáci</w:t>
      </w:r>
      <w:r>
        <w:t>a).</w:t>
      </w:r>
    </w:p>
  </w:footnote>
  <w:footnote w:id="13">
    <w:p w14:paraId="19F51BAA" w14:textId="77777777" w:rsidR="00000547" w:rsidRDefault="00000547" w:rsidP="00225672">
      <w:pPr>
        <w:pStyle w:val="FootnoteText"/>
      </w:pPr>
      <w:r>
        <w:rPr>
          <w:rStyle w:val="FootnoteReference"/>
        </w:rPr>
        <w:footnoteRef/>
      </w:r>
      <w:r>
        <w:t xml:space="preserve"> Podľa augustového prieskumu bolo v riziku, že príjmy neporyjú splátky a životné náklady, spolu 6,2 % zadlžených domácností, čo predstavuje 7,3 % celkového objemu úverov. </w:t>
      </w:r>
    </w:p>
  </w:footnote>
  <w:footnote w:id="14">
    <w:p w14:paraId="6B32F676" w14:textId="6812D640" w:rsidR="00000547" w:rsidRDefault="00000547" w:rsidP="00225672">
      <w:pPr>
        <w:pStyle w:val="FootnoteText"/>
      </w:pPr>
      <w:r>
        <w:rPr>
          <w:rStyle w:val="FootnoteReference"/>
        </w:rPr>
        <w:footnoteRef/>
      </w:r>
      <w:r>
        <w:t xml:space="preserve"> Riziko pre domácnosti môžu ešte zmierniť niektoré opatrenia, ktoré sú aktuálne v štádiu diskusie. Ide napr. o navýšenie kompenzácie výpadku tržieb pre živnostníkov. Už v septembri by sa malo rokovať aj o  návrhu zákona, ktorý rozšíri exekučnú amnestiu aj na fyzické osoby a živnostníkov.</w:t>
      </w:r>
    </w:p>
  </w:footnote>
  <w:footnote w:id="15">
    <w:p w14:paraId="5BFE5ACF" w14:textId="77777777" w:rsidR="00000547" w:rsidRDefault="00000547" w:rsidP="00A0661A">
      <w:pPr>
        <w:pStyle w:val="FootnoteText"/>
      </w:pPr>
      <w:r>
        <w:rPr>
          <w:rStyle w:val="FootnoteReference"/>
        </w:rPr>
        <w:footnoteRef/>
      </w:r>
      <w:r>
        <w:t xml:space="preserve"> Pod novým klientom sa rozumie podnik, ktorý pred poskytnutím nového úveru nemal úver minimálne počas predchádzajúcich dvanástich mesiacov.</w:t>
      </w:r>
    </w:p>
  </w:footnote>
  <w:footnote w:id="16">
    <w:p w14:paraId="276981B5" w14:textId="2F561110" w:rsidR="00000547" w:rsidRDefault="00000547" w:rsidP="00AF657A">
      <w:pPr>
        <w:pStyle w:val="FootnoteText"/>
      </w:pPr>
      <w:r>
        <w:rPr>
          <w:rStyle w:val="FootnoteReference"/>
        </w:rPr>
        <w:footnoteRef/>
      </w:r>
      <w:r>
        <w:t xml:space="preserve"> Simulované poklesy tržieb sú špecifické pre každý individuálny podnik, teda nie sú rovnaké pre jednotlivé podniky (ani v rámci odvetví). Keďže ku dňu spracovania analýzy neboli dostupné individuálne údaje o vývoji tržieb za individuálne podniky, poklesy tržieb boli simulované z empirických štatistických rozdelení. Pri mikropodnikoch sa vychádzalo z individuálnych údajov o vývoji tržieb z eKasy, pri ostatých podnikoch z individuálnych údajov o vývoji exportu. Podrobnejšie informácie uvádza </w:t>
      </w:r>
      <w:r>
        <w:fldChar w:fldCharType="begin"/>
      </w:r>
      <w:r>
        <w:instrText xml:space="preserve"> REF _Ref50637327 \h </w:instrText>
      </w:r>
      <w:r>
        <w:fldChar w:fldCharType="separate"/>
      </w:r>
      <w:r w:rsidR="00A02A40" w:rsidRPr="00AF657A">
        <w:t xml:space="preserve">Graf </w:t>
      </w:r>
      <w:r w:rsidR="00A02A40">
        <w:rPr>
          <w:noProof/>
        </w:rPr>
        <w:t>9</w:t>
      </w:r>
      <w:r>
        <w:fldChar w:fldCharType="end"/>
      </w:r>
      <w:r>
        <w:t xml:space="preserve"> a poznámky pod týmto grafom. </w:t>
      </w:r>
    </w:p>
  </w:footnote>
  <w:footnote w:id="17">
    <w:p w14:paraId="15A1BC4C" w14:textId="77777777" w:rsidR="00000547" w:rsidRDefault="00000547" w:rsidP="00AF657A">
      <w:pPr>
        <w:pStyle w:val="FootnoteText"/>
      </w:pPr>
      <w:r>
        <w:rPr>
          <w:rStyle w:val="FootnoteReference"/>
        </w:rPr>
        <w:footnoteRef/>
      </w:r>
      <w:r>
        <w:t xml:space="preserve"> Tento predpoklad je konzistentný s predikciou NBS týkajúcej sa ďalšieho vývoja ekonomiky. </w:t>
      </w:r>
    </w:p>
  </w:footnote>
  <w:footnote w:id="18">
    <w:p w14:paraId="78C16448" w14:textId="77777777" w:rsidR="00000547" w:rsidRDefault="00000547" w:rsidP="00AF657A">
      <w:pPr>
        <w:pStyle w:val="FootnoteText"/>
      </w:pPr>
      <w:r>
        <w:rPr>
          <w:rStyle w:val="FootnoteReference"/>
        </w:rPr>
        <w:footnoteRef/>
      </w:r>
      <w:r>
        <w:t xml:space="preserve"> Do analýzy boli zahrnuté len podniky, ktoré v roku 2019 vykazovali aktivitu (t. j. dosahovali tržby) a mali kompletnú účtovnú závierku a kladné vlastné imanie.  </w:t>
      </w:r>
    </w:p>
  </w:footnote>
  <w:footnote w:id="19">
    <w:p w14:paraId="482107C1" w14:textId="3AF59803" w:rsidR="00000547" w:rsidRPr="005355C7" w:rsidRDefault="00000547" w:rsidP="000A7C59">
      <w:pPr>
        <w:pStyle w:val="FootnoteText"/>
      </w:pPr>
      <w:r>
        <w:rPr>
          <w:rStyle w:val="FootnoteReference"/>
        </w:rPr>
        <w:footnoteRef/>
      </w:r>
      <w:r>
        <w:t xml:space="preserve"> Z pohľadu budúceho obnovenia ekonomického rastu a štrukturálnych reforiem je potrebné spomenúť plán obnovy EÚ (</w:t>
      </w:r>
      <w:r>
        <w:rPr>
          <w:i/>
          <w:iCs/>
        </w:rPr>
        <w:t>Next Generation EU</w:t>
      </w:r>
      <w:r>
        <w:t xml:space="preserve">) na financovanie národných reforiem a investícií na podporu </w:t>
      </w:r>
      <w:r w:rsidRPr="00400A48">
        <w:t>konkurencieschopnosti</w:t>
      </w:r>
      <w:r>
        <w:t xml:space="preserve"> a odolnosti členských štátov a EÚ ako celku (750 mld. € vo forme grantov, záruk a</w:t>
      </w:r>
      <w:r w:rsidR="00B44258">
        <w:t> </w:t>
      </w:r>
      <w:r>
        <w:t xml:space="preserve"> úverov), z ktorého by malo mať Slovensko možnosť čerpať zdroje vo výške 6,9 mld. €.</w:t>
      </w:r>
    </w:p>
    <w:p w14:paraId="382FA3C2" w14:textId="14457833" w:rsidR="00000547" w:rsidRDefault="00000547">
      <w:pPr>
        <w:pStyle w:val="FootnoteText"/>
      </w:pPr>
    </w:p>
  </w:footnote>
  <w:footnote w:id="20">
    <w:p w14:paraId="2AA7349D" w14:textId="77777777" w:rsidR="00000547" w:rsidRDefault="00000547" w:rsidP="009F53B1">
      <w:pPr>
        <w:pStyle w:val="FootnoteText"/>
      </w:pPr>
      <w:r>
        <w:rPr>
          <w:rStyle w:val="FootnoteReference"/>
        </w:rPr>
        <w:footnoteRef/>
      </w:r>
      <w:r>
        <w:t xml:space="preserve"> </w:t>
      </w:r>
      <w:hyperlink r:id="rId2" w:history="1">
        <w:r w:rsidRPr="00AA5061">
          <w:rPr>
            <w:rStyle w:val="Hyperlink"/>
            <w:color w:val="auto"/>
            <w:szCs w:val="14"/>
            <w:u w:val="none"/>
          </w:rPr>
          <w:t>https://www.employment.gov.sk/files/slovensky/ministerstvo/analyticke-centrum/analyticke-komentare/isp_2020_prva_pomoc_august2020_aktual3_final.pdf</w:t>
        </w:r>
      </w:hyperlink>
      <w:r w:rsidRPr="00AA5061">
        <w:t xml:space="preserve"> </w:t>
      </w:r>
    </w:p>
  </w:footnote>
  <w:footnote w:id="21">
    <w:p w14:paraId="508D4C28" w14:textId="5D599980" w:rsidR="00000547" w:rsidRDefault="00000547" w:rsidP="0040692D">
      <w:pPr>
        <w:pStyle w:val="FootnoteText"/>
      </w:pPr>
      <w:r>
        <w:rPr>
          <w:rStyle w:val="FootnoteReference"/>
        </w:rPr>
        <w:footnoteRef/>
      </w:r>
      <w:r>
        <w:t xml:space="preserve"> </w:t>
      </w:r>
      <w:r w:rsidRPr="00431AF5">
        <w:rPr>
          <w:szCs w:val="14"/>
        </w:rPr>
        <w:t>Zákon č 67/2020 Z. z. o niektorých mimoriadnych opatreniach vo finančnej oblasti v súvislosti so šírením nebezpečnej nákazlivej ľudskej choroby COVID-19 v znení neskorších predpisov</w:t>
      </w:r>
      <w:r>
        <w:t>.</w:t>
      </w:r>
    </w:p>
  </w:footnote>
  <w:footnote w:id="22">
    <w:p w14:paraId="01F20EB3" w14:textId="063796C5" w:rsidR="00000547" w:rsidRDefault="00000547" w:rsidP="00F85202">
      <w:pPr>
        <w:pStyle w:val="FootnoteText"/>
      </w:pPr>
      <w:r>
        <w:rPr>
          <w:rStyle w:val="FootnoteReference"/>
        </w:rPr>
        <w:footnoteRef/>
      </w:r>
      <w:r>
        <w:t xml:space="preserve"> Výpočet podľa zákona č. 384/2011 Z. z. o osobitnom odvode vybraných finančných inštitúcií a o doplnení niektorých zákonov so stavom pasív k 30. 6. 2020.</w:t>
      </w:r>
    </w:p>
  </w:footnote>
  <w:footnote w:id="23">
    <w:p w14:paraId="1E4EF3EF" w14:textId="77777777" w:rsidR="00000547" w:rsidRPr="00A473EF" w:rsidRDefault="00000547" w:rsidP="00A473EF">
      <w:pPr>
        <w:pStyle w:val="FootnoteText"/>
        <w:ind w:left="-2268"/>
      </w:pPr>
      <w:r w:rsidRPr="00A473EF">
        <w:rPr>
          <w:rStyle w:val="FootnoteReference"/>
        </w:rPr>
        <w:footnoteRef/>
      </w:r>
      <w:r w:rsidRPr="00A473EF">
        <w:t xml:space="preserve"> </w:t>
      </w:r>
      <w:hyperlink r:id="rId3" w:history="1">
        <w:r w:rsidRPr="00A473EF">
          <w:rPr>
            <w:rStyle w:val="Hyperlink"/>
            <w:color w:val="auto"/>
            <w:u w:val="none"/>
          </w:rPr>
          <w:t>http://www.nbs.sk/_img/Documents/_Legislativa/_Vestnik/ODP_1_2020.pdf</w:t>
        </w:r>
      </w:hyperlink>
    </w:p>
  </w:footnote>
  <w:footnote w:id="24">
    <w:p w14:paraId="2DEEAB5D" w14:textId="77777777" w:rsidR="00000547" w:rsidRDefault="00000547" w:rsidP="0045216D">
      <w:pPr>
        <w:pStyle w:val="FootnoteText"/>
      </w:pPr>
      <w:r>
        <w:rPr>
          <w:rStyle w:val="FootnoteReference"/>
        </w:rPr>
        <w:footnoteRef/>
      </w:r>
      <w:r>
        <w:t xml:space="preserve"> Objem reguláciou definovaných aktív, prevažne úverov, upravených koeficientom zohľadňujúcim mieru rizikovosti jednotlivých typov aktív. </w:t>
      </w:r>
    </w:p>
  </w:footnote>
  <w:footnote w:id="25">
    <w:p w14:paraId="3830D5D1" w14:textId="5532B88A" w:rsidR="00000547" w:rsidRDefault="00000547" w:rsidP="0045216D">
      <w:pPr>
        <w:pStyle w:val="FootnoteText"/>
      </w:pPr>
      <w:r>
        <w:rPr>
          <w:rStyle w:val="FootnoteReference"/>
        </w:rPr>
        <w:footnoteRef/>
      </w:r>
      <w:r>
        <w:t xml:space="preserve"> Najaktuálnejší dostupný údaj o tvorbe opravných položiek pri rozhodnutí o výške proticyklického kapitálového vankúša z júla 2020. </w:t>
      </w:r>
    </w:p>
  </w:footnote>
  <w:footnote w:id="26">
    <w:p w14:paraId="44879442" w14:textId="77777777" w:rsidR="00000547" w:rsidRDefault="00000547" w:rsidP="0045216D">
      <w:pPr>
        <w:pStyle w:val="FootnoteText"/>
      </w:pPr>
      <w:r>
        <w:rPr>
          <w:rStyle w:val="FootnoteReference"/>
        </w:rPr>
        <w:footnoteRef/>
      </w:r>
      <w:r>
        <w:t xml:space="preserve"> V júli 2020. </w:t>
      </w:r>
    </w:p>
  </w:footnote>
  <w:footnote w:id="27">
    <w:p w14:paraId="45AD503D" w14:textId="60914CA4" w:rsidR="00000547" w:rsidRDefault="00000547" w:rsidP="00297A5B">
      <w:pPr>
        <w:pStyle w:val="FootnoteText"/>
      </w:pPr>
      <w:r>
        <w:rPr>
          <w:rStyle w:val="FootnoteReference"/>
        </w:rPr>
        <w:footnoteRef/>
      </w:r>
      <w:r>
        <w:t xml:space="preserve"> Jednorazová účtovná zmena v jednej poisťovni, ktorá spôsobila mimoriadny nárast tvorby rezerv v druhom a treťom štvrťroku 2019.</w:t>
      </w:r>
    </w:p>
  </w:footnote>
  <w:footnote w:id="28">
    <w:p w14:paraId="24EBFF3E" w14:textId="77777777" w:rsidR="00000547" w:rsidRDefault="00000547" w:rsidP="00297A5B">
      <w:pPr>
        <w:pStyle w:val="FootnoteText"/>
      </w:pPr>
      <w:r>
        <w:rPr>
          <w:rStyle w:val="FootnoteReference"/>
        </w:rPr>
        <w:footnoteRef/>
      </w:r>
      <w:r>
        <w:t xml:space="preserve"> Údaj reprezentuje približne dve tretiny trhu životného poistenia.</w:t>
      </w:r>
    </w:p>
  </w:footnote>
  <w:footnote w:id="29">
    <w:p w14:paraId="56E35D38" w14:textId="77777777" w:rsidR="00000547" w:rsidRDefault="00000547" w:rsidP="00EC2B89">
      <w:pPr>
        <w:pStyle w:val="FootnoteText"/>
      </w:pPr>
      <w:r>
        <w:rPr>
          <w:rStyle w:val="FootnoteReference"/>
        </w:rPr>
        <w:footnoteRef/>
      </w:r>
      <w:r>
        <w:t xml:space="preserve"> Neživotné poistenie zahŕňa priamu činnosť a prijaté proporcionálne zaistenie, ktoré predstavuje 5 % hrubého predpísaného poistného v odvetví.</w:t>
      </w:r>
    </w:p>
  </w:footnote>
  <w:footnote w:id="30">
    <w:p w14:paraId="6B7C09BA" w14:textId="77777777" w:rsidR="00000547" w:rsidRDefault="00000547" w:rsidP="00EC2B89">
      <w:pPr>
        <w:pStyle w:val="FootnoteText"/>
      </w:pPr>
      <w:r>
        <w:rPr>
          <w:rStyle w:val="FootnoteReference"/>
        </w:rPr>
        <w:footnoteRef/>
      </w:r>
      <w:r>
        <w:t xml:space="preserve"> Porovnanie je uvádzané voči decembru 2019, ktorého hodnota je v zátvorkách menovaná ako druhá.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7DB0C" w14:textId="597FA8F1" w:rsidR="00000547" w:rsidRPr="00C94819" w:rsidRDefault="00000547" w:rsidP="00E5786F">
    <w:pPr>
      <w:pStyle w:val="Header"/>
      <w:tabs>
        <w:tab w:val="clear" w:pos="4536"/>
        <w:tab w:val="clear" w:pos="9072"/>
        <w:tab w:val="center" w:pos="2552"/>
      </w:tabs>
      <w:jc w:val="center"/>
    </w:pPr>
    <w:r w:rsidRPr="00F67252">
      <w:rPr>
        <w:b/>
        <w:noProof/>
      </w:rPr>
      <w:drawing>
        <wp:anchor distT="0" distB="0" distL="114300" distR="114300" simplePos="0" relativeHeight="251659264" behindDoc="1" locked="0" layoutInCell="1" allowOverlap="1" wp14:anchorId="1EACD3A0" wp14:editId="08FCC12C">
          <wp:simplePos x="0" y="0"/>
          <wp:positionH relativeFrom="leftMargin">
            <wp:posOffset>720252</wp:posOffset>
          </wp:positionH>
          <wp:positionV relativeFrom="paragraph">
            <wp:posOffset>215885</wp:posOffset>
          </wp:positionV>
          <wp:extent cx="1326676" cy="592582"/>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BS-EUROSYSTEM-SK-A-BLUE-RGB.jpg"/>
                  <pic:cNvPicPr/>
                </pic:nvPicPr>
                <pic:blipFill>
                  <a:blip r:embed="rId1">
                    <a:extLst>
                      <a:ext uri="{28A0092B-C50C-407E-A947-70E740481C1C}">
                        <a14:useLocalDpi xmlns:a14="http://schemas.microsoft.com/office/drawing/2010/main" val="0"/>
                      </a:ext>
                    </a:extLst>
                  </a:blip>
                  <a:stretch>
                    <a:fillRect/>
                  </a:stretch>
                </pic:blipFill>
                <pic:spPr>
                  <a:xfrm>
                    <a:off x="0" y="0"/>
                    <a:ext cx="1326676" cy="5925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30861"/>
    <w:multiLevelType w:val="multilevel"/>
    <w:tmpl w:val="681A1CBC"/>
    <w:lvl w:ilvl="0">
      <w:start w:val="1"/>
      <w:numFmt w:val="decimal"/>
      <w:lvlText w:val="%1"/>
      <w:lvlJc w:val="left"/>
      <w:pPr>
        <w:ind w:left="360" w:hanging="360"/>
      </w:pPr>
      <w:rPr>
        <w:rFonts w:hint="default"/>
      </w:rPr>
    </w:lvl>
    <w:lvl w:ilvl="1">
      <w:start w:val="1"/>
      <w:numFmt w:val="decimal"/>
      <w:lvlText w:val="%1.%2"/>
      <w:lvlJc w:val="left"/>
      <w:pPr>
        <w:ind w:left="2628" w:hanging="360"/>
      </w:pPr>
      <w:rPr>
        <w:rFonts w:hint="default"/>
      </w:rPr>
    </w:lvl>
    <w:lvl w:ilvl="2">
      <w:start w:val="1"/>
      <w:numFmt w:val="decimal"/>
      <w:lvlText w:val="%1.%2.%3"/>
      <w:lvlJc w:val="left"/>
      <w:pPr>
        <w:ind w:left="5256" w:hanging="720"/>
      </w:pPr>
      <w:rPr>
        <w:rFonts w:hint="default"/>
      </w:rPr>
    </w:lvl>
    <w:lvl w:ilvl="3">
      <w:start w:val="1"/>
      <w:numFmt w:val="decimal"/>
      <w:lvlText w:val="%1.%2.%3.%4"/>
      <w:lvlJc w:val="left"/>
      <w:pPr>
        <w:ind w:left="7524" w:hanging="72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420" w:hanging="108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316" w:hanging="1440"/>
      </w:pPr>
      <w:rPr>
        <w:rFonts w:hint="default"/>
      </w:rPr>
    </w:lvl>
    <w:lvl w:ilvl="8">
      <w:start w:val="1"/>
      <w:numFmt w:val="decimal"/>
      <w:lvlText w:val="%1.%2.%3.%4.%5.%6.%7.%8.%9"/>
      <w:lvlJc w:val="left"/>
      <w:pPr>
        <w:ind w:left="19944" w:hanging="1800"/>
      </w:pPr>
      <w:rPr>
        <w:rFonts w:hint="default"/>
      </w:rPr>
    </w:lvl>
  </w:abstractNum>
  <w:abstractNum w:abstractNumId="1" w15:restartNumberingAfterBreak="0">
    <w:nsid w:val="13000927"/>
    <w:multiLevelType w:val="hybridMultilevel"/>
    <w:tmpl w:val="C00AF9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92562E8"/>
    <w:multiLevelType w:val="hybridMultilevel"/>
    <w:tmpl w:val="3EBAB7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EC06E61"/>
    <w:multiLevelType w:val="hybridMultilevel"/>
    <w:tmpl w:val="AB2AEFCE"/>
    <w:lvl w:ilvl="0" w:tplc="75108960">
      <w:start w:val="1"/>
      <w:numFmt w:val="bullet"/>
      <w:pStyle w:val="ListParagraph"/>
      <w:lvlText w:val=""/>
      <w:lvlJc w:val="left"/>
      <w:pPr>
        <w:ind w:left="720" w:hanging="360"/>
      </w:pPr>
      <w:rPr>
        <w:rFonts w:ascii="Symbol" w:hAnsi="Symbol" w:hint="default"/>
        <w:color w:val="0067AC"/>
        <w:position w:val="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03811"/>
    <w:multiLevelType w:val="multilevel"/>
    <w:tmpl w:val="665C48F0"/>
    <w:lvl w:ilvl="0">
      <w:start w:val="1"/>
      <w:numFmt w:val="bullet"/>
      <w:lvlText w:val=""/>
      <w:lvlJc w:val="left"/>
      <w:pPr>
        <w:ind w:left="720" w:hanging="360"/>
      </w:pPr>
      <w:rPr>
        <w:rFonts w:ascii="Symbol" w:hAnsi="Symbol"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35C3117"/>
    <w:multiLevelType w:val="multilevel"/>
    <w:tmpl w:val="05EED12A"/>
    <w:lvl w:ilvl="0">
      <w:start w:val="1"/>
      <w:numFmt w:val="decimal"/>
      <w:pStyle w:val="Heading1"/>
      <w:lvlText w:val="%1"/>
      <w:lvlJc w:val="left"/>
      <w:pPr>
        <w:ind w:left="0" w:firstLine="0"/>
      </w:pPr>
      <w:rPr>
        <w:rFonts w:hint="default"/>
      </w:rPr>
    </w:lvl>
    <w:lvl w:ilvl="1">
      <w:start w:val="1"/>
      <w:numFmt w:val="decimal"/>
      <w:pStyle w:val="Heading2"/>
      <w:suff w:val="space"/>
      <w:lvlText w:val="%1.%2"/>
      <w:lvlJc w:val="left"/>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263919C0"/>
    <w:multiLevelType w:val="hybridMultilevel"/>
    <w:tmpl w:val="4120EE00"/>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212B2"/>
    <w:multiLevelType w:val="hybridMultilevel"/>
    <w:tmpl w:val="D4D8E87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87F5D47"/>
    <w:multiLevelType w:val="hybridMultilevel"/>
    <w:tmpl w:val="2DDCA9FC"/>
    <w:lvl w:ilvl="0" w:tplc="A4A4B0DA">
      <w:start w:val="1"/>
      <w:numFmt w:val="bullet"/>
      <w:lvlText w:val=""/>
      <w:lvlJc w:val="left"/>
      <w:pPr>
        <w:ind w:left="720" w:hanging="360"/>
      </w:pPr>
      <w:rPr>
        <w:rFonts w:ascii="Symbol" w:hAnsi="Symbol" w:hint="default"/>
        <w:color w:val="000000" w:themeColor="text1"/>
        <w:position w:val="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4606A"/>
    <w:multiLevelType w:val="hybridMultilevel"/>
    <w:tmpl w:val="206E6608"/>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0346607"/>
    <w:multiLevelType w:val="hybridMultilevel"/>
    <w:tmpl w:val="C3CE3666"/>
    <w:lvl w:ilvl="0" w:tplc="D00E59A6">
      <w:start w:val="1"/>
      <w:numFmt w:val="bullet"/>
      <w:lvlText w:val=""/>
      <w:lvlJc w:val="left"/>
      <w:pPr>
        <w:ind w:left="405" w:hanging="360"/>
      </w:pPr>
      <w:rPr>
        <w:rFonts w:ascii="Symbol" w:hAnsi="Symbol" w:hint="default"/>
        <w:position w:val="2"/>
        <w:sz w:val="20"/>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11" w15:restartNumberingAfterBreak="0">
    <w:nsid w:val="34D63C31"/>
    <w:multiLevelType w:val="hybridMultilevel"/>
    <w:tmpl w:val="E1BEE9F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7D472E8"/>
    <w:multiLevelType w:val="hybridMultilevel"/>
    <w:tmpl w:val="165E55D0"/>
    <w:lvl w:ilvl="0" w:tplc="041B0001">
      <w:start w:val="1"/>
      <w:numFmt w:val="bullet"/>
      <w:lvlText w:val=""/>
      <w:lvlJc w:val="left"/>
      <w:pPr>
        <w:ind w:left="-1548" w:hanging="360"/>
      </w:pPr>
      <w:rPr>
        <w:rFonts w:ascii="Symbol" w:hAnsi="Symbol" w:hint="default"/>
      </w:rPr>
    </w:lvl>
    <w:lvl w:ilvl="1" w:tplc="08090003" w:tentative="1">
      <w:start w:val="1"/>
      <w:numFmt w:val="bullet"/>
      <w:lvlText w:val="o"/>
      <w:lvlJc w:val="left"/>
      <w:pPr>
        <w:ind w:left="-828" w:hanging="360"/>
      </w:pPr>
      <w:rPr>
        <w:rFonts w:ascii="Courier New" w:hAnsi="Courier New" w:cs="Courier New" w:hint="default"/>
      </w:rPr>
    </w:lvl>
    <w:lvl w:ilvl="2" w:tplc="08090005" w:tentative="1">
      <w:start w:val="1"/>
      <w:numFmt w:val="bullet"/>
      <w:lvlText w:val=""/>
      <w:lvlJc w:val="left"/>
      <w:pPr>
        <w:ind w:left="-108" w:hanging="360"/>
      </w:pPr>
      <w:rPr>
        <w:rFonts w:ascii="Wingdings" w:hAnsi="Wingdings" w:hint="default"/>
      </w:rPr>
    </w:lvl>
    <w:lvl w:ilvl="3" w:tplc="08090001" w:tentative="1">
      <w:start w:val="1"/>
      <w:numFmt w:val="bullet"/>
      <w:lvlText w:val=""/>
      <w:lvlJc w:val="left"/>
      <w:pPr>
        <w:ind w:left="612" w:hanging="360"/>
      </w:pPr>
      <w:rPr>
        <w:rFonts w:ascii="Symbol" w:hAnsi="Symbol" w:hint="default"/>
      </w:rPr>
    </w:lvl>
    <w:lvl w:ilvl="4" w:tplc="08090003" w:tentative="1">
      <w:start w:val="1"/>
      <w:numFmt w:val="bullet"/>
      <w:lvlText w:val="o"/>
      <w:lvlJc w:val="left"/>
      <w:pPr>
        <w:ind w:left="1332" w:hanging="360"/>
      </w:pPr>
      <w:rPr>
        <w:rFonts w:ascii="Courier New" w:hAnsi="Courier New" w:cs="Courier New" w:hint="default"/>
      </w:rPr>
    </w:lvl>
    <w:lvl w:ilvl="5" w:tplc="08090005" w:tentative="1">
      <w:start w:val="1"/>
      <w:numFmt w:val="bullet"/>
      <w:lvlText w:val=""/>
      <w:lvlJc w:val="left"/>
      <w:pPr>
        <w:ind w:left="2052" w:hanging="360"/>
      </w:pPr>
      <w:rPr>
        <w:rFonts w:ascii="Wingdings" w:hAnsi="Wingdings" w:hint="default"/>
      </w:rPr>
    </w:lvl>
    <w:lvl w:ilvl="6" w:tplc="08090001" w:tentative="1">
      <w:start w:val="1"/>
      <w:numFmt w:val="bullet"/>
      <w:lvlText w:val=""/>
      <w:lvlJc w:val="left"/>
      <w:pPr>
        <w:ind w:left="2772" w:hanging="360"/>
      </w:pPr>
      <w:rPr>
        <w:rFonts w:ascii="Symbol" w:hAnsi="Symbol" w:hint="default"/>
      </w:rPr>
    </w:lvl>
    <w:lvl w:ilvl="7" w:tplc="08090003" w:tentative="1">
      <w:start w:val="1"/>
      <w:numFmt w:val="bullet"/>
      <w:lvlText w:val="o"/>
      <w:lvlJc w:val="left"/>
      <w:pPr>
        <w:ind w:left="3492" w:hanging="360"/>
      </w:pPr>
      <w:rPr>
        <w:rFonts w:ascii="Courier New" w:hAnsi="Courier New" w:cs="Courier New" w:hint="default"/>
      </w:rPr>
    </w:lvl>
    <w:lvl w:ilvl="8" w:tplc="08090005" w:tentative="1">
      <w:start w:val="1"/>
      <w:numFmt w:val="bullet"/>
      <w:lvlText w:val=""/>
      <w:lvlJc w:val="left"/>
      <w:pPr>
        <w:ind w:left="4212" w:hanging="360"/>
      </w:pPr>
      <w:rPr>
        <w:rFonts w:ascii="Wingdings" w:hAnsi="Wingdings" w:hint="default"/>
      </w:rPr>
    </w:lvl>
  </w:abstractNum>
  <w:abstractNum w:abstractNumId="13" w15:restartNumberingAfterBreak="0">
    <w:nsid w:val="3B6A1200"/>
    <w:multiLevelType w:val="hybridMultilevel"/>
    <w:tmpl w:val="3B908FC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C9720EB"/>
    <w:multiLevelType w:val="hybridMultilevel"/>
    <w:tmpl w:val="5288B1F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4AF29D3"/>
    <w:multiLevelType w:val="hybridMultilevel"/>
    <w:tmpl w:val="2454EBC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9CD73FD"/>
    <w:multiLevelType w:val="multilevel"/>
    <w:tmpl w:val="B492BF0E"/>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AA40F7"/>
    <w:multiLevelType w:val="hybridMultilevel"/>
    <w:tmpl w:val="1BAAAD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5A854CC"/>
    <w:multiLevelType w:val="hybridMultilevel"/>
    <w:tmpl w:val="2AB82AAA"/>
    <w:lvl w:ilvl="0" w:tplc="5926A032">
      <w:numFmt w:val="bullet"/>
      <w:lvlText w:val="-"/>
      <w:lvlJc w:val="left"/>
      <w:pPr>
        <w:ind w:left="720" w:hanging="360"/>
      </w:pPr>
      <w:rPr>
        <w:rFonts w:ascii="Cambria" w:eastAsiaTheme="minorHAnsi"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9380938"/>
    <w:multiLevelType w:val="hybridMultilevel"/>
    <w:tmpl w:val="DACC51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19E414F"/>
    <w:multiLevelType w:val="multilevel"/>
    <w:tmpl w:val="B942B712"/>
    <w:lvl w:ilvl="0">
      <w:start w:val="1"/>
      <w:numFmt w:val="decimal"/>
      <w:lvlText w:val="%1"/>
      <w:lvlJc w:val="left"/>
      <w:pPr>
        <w:ind w:left="360" w:hanging="360"/>
      </w:pPr>
      <w:rPr>
        <w:rFonts w:hint="default"/>
      </w:rPr>
    </w:lvl>
    <w:lvl w:ilvl="1">
      <w:start w:val="1"/>
      <w:numFmt w:val="decimal"/>
      <w:lvlText w:val="%1.%2."/>
      <w:lvlJc w:val="left"/>
      <w:pPr>
        <w:ind w:left="149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3D36CB9"/>
    <w:multiLevelType w:val="hybridMultilevel"/>
    <w:tmpl w:val="C32612FA"/>
    <w:lvl w:ilvl="0" w:tplc="E7F89904">
      <w:numFmt w:val="bullet"/>
      <w:lvlText w:val="-"/>
      <w:lvlJc w:val="left"/>
      <w:pPr>
        <w:ind w:left="405" w:hanging="360"/>
      </w:pPr>
      <w:rPr>
        <w:rFonts w:ascii="Cambria" w:eastAsia="Calibri" w:hAnsi="Cambria" w:cs="Times New Roman"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22" w15:restartNumberingAfterBreak="0">
    <w:nsid w:val="63E4716E"/>
    <w:multiLevelType w:val="hybridMultilevel"/>
    <w:tmpl w:val="B052A9AC"/>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9175C68"/>
    <w:multiLevelType w:val="hybridMultilevel"/>
    <w:tmpl w:val="AF5498D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41A5ABA"/>
    <w:multiLevelType w:val="hybridMultilevel"/>
    <w:tmpl w:val="B4A822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8A400F2"/>
    <w:multiLevelType w:val="hybridMultilevel"/>
    <w:tmpl w:val="D72AF572"/>
    <w:lvl w:ilvl="0" w:tplc="041B0001">
      <w:start w:val="1"/>
      <w:numFmt w:val="bullet"/>
      <w:lvlText w:val=""/>
      <w:lvlJc w:val="left"/>
      <w:pPr>
        <w:ind w:left="774" w:hanging="360"/>
      </w:pPr>
      <w:rPr>
        <w:rFonts w:ascii="Symbol" w:hAnsi="Symbol"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num w:numId="1">
    <w:abstractNumId w:val="0"/>
  </w:num>
  <w:num w:numId="2">
    <w:abstractNumId w:val="14"/>
  </w:num>
  <w:num w:numId="3">
    <w:abstractNumId w:val="16"/>
  </w:num>
  <w:num w:numId="4">
    <w:abstractNumId w:val="20"/>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num>
  <w:num w:numId="8">
    <w:abstractNumId w:val="18"/>
  </w:num>
  <w:num w:numId="9">
    <w:abstractNumId w:val="1"/>
  </w:num>
  <w:num w:numId="10">
    <w:abstractNumId w:val="21"/>
  </w:num>
  <w:num w:numId="11">
    <w:abstractNumId w:val="4"/>
  </w:num>
  <w:num w:numId="12">
    <w:abstractNumId w:val="10"/>
  </w:num>
  <w:num w:numId="13">
    <w:abstractNumId w:val="17"/>
  </w:num>
  <w:num w:numId="14">
    <w:abstractNumId w:val="2"/>
  </w:num>
  <w:num w:numId="15">
    <w:abstractNumId w:val="13"/>
  </w:num>
  <w:num w:numId="16">
    <w:abstractNumId w:val="22"/>
  </w:num>
  <w:num w:numId="17">
    <w:abstractNumId w:val="7"/>
  </w:num>
  <w:num w:numId="18">
    <w:abstractNumId w:val="23"/>
  </w:num>
  <w:num w:numId="19">
    <w:abstractNumId w:val="11"/>
  </w:num>
  <w:num w:numId="20">
    <w:abstractNumId w:val="9"/>
  </w:num>
  <w:num w:numId="21">
    <w:abstractNumId w:val="6"/>
  </w:num>
  <w:num w:numId="22">
    <w:abstractNumId w:val="12"/>
  </w:num>
  <w:num w:numId="23">
    <w:abstractNumId w:val="24"/>
  </w:num>
  <w:num w:numId="24">
    <w:abstractNumId w:val="25"/>
  </w:num>
  <w:num w:numId="25">
    <w:abstractNumId w:val="19"/>
  </w:num>
  <w:num w:numId="26">
    <w:abstractNumId w:val="5"/>
  </w:num>
  <w:num w:numId="27">
    <w:abstractNumId w:val="3"/>
  </w:num>
  <w:num w:numId="28">
    <w:abstractNumId w:val="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3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4C4"/>
    <w:rsid w:val="000000C0"/>
    <w:rsid w:val="00000547"/>
    <w:rsid w:val="00003601"/>
    <w:rsid w:val="0000632A"/>
    <w:rsid w:val="000067F8"/>
    <w:rsid w:val="00007322"/>
    <w:rsid w:val="00007C7D"/>
    <w:rsid w:val="00012406"/>
    <w:rsid w:val="00013BF4"/>
    <w:rsid w:val="00014376"/>
    <w:rsid w:val="00016CF8"/>
    <w:rsid w:val="0002382D"/>
    <w:rsid w:val="0002613F"/>
    <w:rsid w:val="00030AB0"/>
    <w:rsid w:val="00030E96"/>
    <w:rsid w:val="000315F9"/>
    <w:rsid w:val="000328CE"/>
    <w:rsid w:val="000334B5"/>
    <w:rsid w:val="000341C4"/>
    <w:rsid w:val="000341EC"/>
    <w:rsid w:val="00035407"/>
    <w:rsid w:val="00041EC0"/>
    <w:rsid w:val="00045122"/>
    <w:rsid w:val="000469A6"/>
    <w:rsid w:val="0005244E"/>
    <w:rsid w:val="00053176"/>
    <w:rsid w:val="00053579"/>
    <w:rsid w:val="000544C3"/>
    <w:rsid w:val="0005585B"/>
    <w:rsid w:val="000576BD"/>
    <w:rsid w:val="00057D81"/>
    <w:rsid w:val="00061C86"/>
    <w:rsid w:val="00061E10"/>
    <w:rsid w:val="0006229B"/>
    <w:rsid w:val="00063DDB"/>
    <w:rsid w:val="00063DDC"/>
    <w:rsid w:val="0007004E"/>
    <w:rsid w:val="00073175"/>
    <w:rsid w:val="00073A0B"/>
    <w:rsid w:val="00075471"/>
    <w:rsid w:val="0007576C"/>
    <w:rsid w:val="00075EFD"/>
    <w:rsid w:val="000764D7"/>
    <w:rsid w:val="000767FD"/>
    <w:rsid w:val="000777F1"/>
    <w:rsid w:val="00080420"/>
    <w:rsid w:val="00081BE5"/>
    <w:rsid w:val="00084181"/>
    <w:rsid w:val="00084236"/>
    <w:rsid w:val="000863AE"/>
    <w:rsid w:val="00087C45"/>
    <w:rsid w:val="0009126C"/>
    <w:rsid w:val="0009182C"/>
    <w:rsid w:val="0009207B"/>
    <w:rsid w:val="00093363"/>
    <w:rsid w:val="00093F8F"/>
    <w:rsid w:val="00094BBC"/>
    <w:rsid w:val="00094DEE"/>
    <w:rsid w:val="000A398C"/>
    <w:rsid w:val="000A5239"/>
    <w:rsid w:val="000A54BE"/>
    <w:rsid w:val="000A5D99"/>
    <w:rsid w:val="000A6C20"/>
    <w:rsid w:val="000A7A00"/>
    <w:rsid w:val="000A7C59"/>
    <w:rsid w:val="000B0C37"/>
    <w:rsid w:val="000B1519"/>
    <w:rsid w:val="000B299C"/>
    <w:rsid w:val="000B2F00"/>
    <w:rsid w:val="000B366C"/>
    <w:rsid w:val="000B3A8B"/>
    <w:rsid w:val="000B3BD7"/>
    <w:rsid w:val="000B4009"/>
    <w:rsid w:val="000B5E4C"/>
    <w:rsid w:val="000B7ABB"/>
    <w:rsid w:val="000C24B6"/>
    <w:rsid w:val="000C2F9F"/>
    <w:rsid w:val="000C30DC"/>
    <w:rsid w:val="000C31FD"/>
    <w:rsid w:val="000C717A"/>
    <w:rsid w:val="000C74B4"/>
    <w:rsid w:val="000D0FB4"/>
    <w:rsid w:val="000D4263"/>
    <w:rsid w:val="000D6F0E"/>
    <w:rsid w:val="000E1180"/>
    <w:rsid w:val="000E2067"/>
    <w:rsid w:val="000E2A38"/>
    <w:rsid w:val="000E3516"/>
    <w:rsid w:val="000E40CF"/>
    <w:rsid w:val="000E4BE9"/>
    <w:rsid w:val="000E6107"/>
    <w:rsid w:val="000F2137"/>
    <w:rsid w:val="000F40BD"/>
    <w:rsid w:val="000F7707"/>
    <w:rsid w:val="00101E14"/>
    <w:rsid w:val="001052E3"/>
    <w:rsid w:val="001057CD"/>
    <w:rsid w:val="001108B5"/>
    <w:rsid w:val="00113146"/>
    <w:rsid w:val="0011347D"/>
    <w:rsid w:val="0011400A"/>
    <w:rsid w:val="001174CD"/>
    <w:rsid w:val="001179D2"/>
    <w:rsid w:val="00120232"/>
    <w:rsid w:val="0012120A"/>
    <w:rsid w:val="0012138E"/>
    <w:rsid w:val="00121E02"/>
    <w:rsid w:val="00122B5F"/>
    <w:rsid w:val="00125E19"/>
    <w:rsid w:val="00126A20"/>
    <w:rsid w:val="00127B1D"/>
    <w:rsid w:val="0013003D"/>
    <w:rsid w:val="0013130B"/>
    <w:rsid w:val="00132D36"/>
    <w:rsid w:val="00133962"/>
    <w:rsid w:val="00134B2B"/>
    <w:rsid w:val="00136101"/>
    <w:rsid w:val="00137196"/>
    <w:rsid w:val="001444AA"/>
    <w:rsid w:val="00144940"/>
    <w:rsid w:val="00144E7D"/>
    <w:rsid w:val="00145C1E"/>
    <w:rsid w:val="0014759C"/>
    <w:rsid w:val="0015037D"/>
    <w:rsid w:val="00153083"/>
    <w:rsid w:val="00153F33"/>
    <w:rsid w:val="0015599D"/>
    <w:rsid w:val="00155C13"/>
    <w:rsid w:val="00157AAC"/>
    <w:rsid w:val="00160AB5"/>
    <w:rsid w:val="00164299"/>
    <w:rsid w:val="001672E5"/>
    <w:rsid w:val="00171430"/>
    <w:rsid w:val="00173628"/>
    <w:rsid w:val="00176411"/>
    <w:rsid w:val="001775CA"/>
    <w:rsid w:val="00180D02"/>
    <w:rsid w:val="00181F9A"/>
    <w:rsid w:val="0018420A"/>
    <w:rsid w:val="001842B4"/>
    <w:rsid w:val="00185997"/>
    <w:rsid w:val="00185F87"/>
    <w:rsid w:val="001862CA"/>
    <w:rsid w:val="0018676A"/>
    <w:rsid w:val="0018691F"/>
    <w:rsid w:val="00186C81"/>
    <w:rsid w:val="00187229"/>
    <w:rsid w:val="00187ABB"/>
    <w:rsid w:val="001903EA"/>
    <w:rsid w:val="00191107"/>
    <w:rsid w:val="001919CA"/>
    <w:rsid w:val="00191AF7"/>
    <w:rsid w:val="00195910"/>
    <w:rsid w:val="001959B5"/>
    <w:rsid w:val="00196A1B"/>
    <w:rsid w:val="00197E07"/>
    <w:rsid w:val="001A061C"/>
    <w:rsid w:val="001A0DE1"/>
    <w:rsid w:val="001A116D"/>
    <w:rsid w:val="001A1AB1"/>
    <w:rsid w:val="001A3395"/>
    <w:rsid w:val="001A399E"/>
    <w:rsid w:val="001A6A5F"/>
    <w:rsid w:val="001A7348"/>
    <w:rsid w:val="001A7970"/>
    <w:rsid w:val="001B07E6"/>
    <w:rsid w:val="001B0B15"/>
    <w:rsid w:val="001B7B41"/>
    <w:rsid w:val="001C238B"/>
    <w:rsid w:val="001C4D51"/>
    <w:rsid w:val="001C57AF"/>
    <w:rsid w:val="001D244E"/>
    <w:rsid w:val="001D40AD"/>
    <w:rsid w:val="001D54FA"/>
    <w:rsid w:val="001D5B4A"/>
    <w:rsid w:val="001D6234"/>
    <w:rsid w:val="001D63E8"/>
    <w:rsid w:val="001D7473"/>
    <w:rsid w:val="001E4FEA"/>
    <w:rsid w:val="001E6315"/>
    <w:rsid w:val="001E6469"/>
    <w:rsid w:val="001E6A2F"/>
    <w:rsid w:val="001E6F78"/>
    <w:rsid w:val="001E733B"/>
    <w:rsid w:val="001E75E4"/>
    <w:rsid w:val="001F285A"/>
    <w:rsid w:val="001F32E4"/>
    <w:rsid w:val="001F5BBC"/>
    <w:rsid w:val="001F64EB"/>
    <w:rsid w:val="001F749F"/>
    <w:rsid w:val="001F777E"/>
    <w:rsid w:val="00201307"/>
    <w:rsid w:val="002015E1"/>
    <w:rsid w:val="0020259A"/>
    <w:rsid w:val="0020329A"/>
    <w:rsid w:val="002039BB"/>
    <w:rsid w:val="00204835"/>
    <w:rsid w:val="002056AD"/>
    <w:rsid w:val="002072B5"/>
    <w:rsid w:val="00207609"/>
    <w:rsid w:val="00207974"/>
    <w:rsid w:val="00210D65"/>
    <w:rsid w:val="002157EB"/>
    <w:rsid w:val="00215D5F"/>
    <w:rsid w:val="002163A5"/>
    <w:rsid w:val="00221500"/>
    <w:rsid w:val="00222C4F"/>
    <w:rsid w:val="00222E27"/>
    <w:rsid w:val="00223718"/>
    <w:rsid w:val="00223A44"/>
    <w:rsid w:val="00224C91"/>
    <w:rsid w:val="00224DD5"/>
    <w:rsid w:val="00225672"/>
    <w:rsid w:val="002256A1"/>
    <w:rsid w:val="00225BDA"/>
    <w:rsid w:val="00227C5F"/>
    <w:rsid w:val="002308E6"/>
    <w:rsid w:val="00233361"/>
    <w:rsid w:val="00233667"/>
    <w:rsid w:val="002343BD"/>
    <w:rsid w:val="002357D3"/>
    <w:rsid w:val="00235B60"/>
    <w:rsid w:val="0023639B"/>
    <w:rsid w:val="00237EB4"/>
    <w:rsid w:val="002425EE"/>
    <w:rsid w:val="002425F5"/>
    <w:rsid w:val="00244763"/>
    <w:rsid w:val="0024521D"/>
    <w:rsid w:val="002457A8"/>
    <w:rsid w:val="00246F85"/>
    <w:rsid w:val="0025190C"/>
    <w:rsid w:val="002574A0"/>
    <w:rsid w:val="00260675"/>
    <w:rsid w:val="0026164B"/>
    <w:rsid w:val="00263CA3"/>
    <w:rsid w:val="00266D9E"/>
    <w:rsid w:val="00267E13"/>
    <w:rsid w:val="00271366"/>
    <w:rsid w:val="00274B5D"/>
    <w:rsid w:val="00276B7A"/>
    <w:rsid w:val="0027716F"/>
    <w:rsid w:val="002803C1"/>
    <w:rsid w:val="00280BE6"/>
    <w:rsid w:val="00282B1F"/>
    <w:rsid w:val="00282FD6"/>
    <w:rsid w:val="00284AF4"/>
    <w:rsid w:val="00285656"/>
    <w:rsid w:val="0028620A"/>
    <w:rsid w:val="00287645"/>
    <w:rsid w:val="00287891"/>
    <w:rsid w:val="00294055"/>
    <w:rsid w:val="00297376"/>
    <w:rsid w:val="00297A5B"/>
    <w:rsid w:val="002A04A5"/>
    <w:rsid w:val="002A5C58"/>
    <w:rsid w:val="002A6B99"/>
    <w:rsid w:val="002A6E0E"/>
    <w:rsid w:val="002A7350"/>
    <w:rsid w:val="002B1E27"/>
    <w:rsid w:val="002B29FC"/>
    <w:rsid w:val="002B4DA1"/>
    <w:rsid w:val="002B6774"/>
    <w:rsid w:val="002B73FD"/>
    <w:rsid w:val="002B7A0D"/>
    <w:rsid w:val="002C0D41"/>
    <w:rsid w:val="002C1A6B"/>
    <w:rsid w:val="002C32FD"/>
    <w:rsid w:val="002C46A7"/>
    <w:rsid w:val="002C4C40"/>
    <w:rsid w:val="002C4D65"/>
    <w:rsid w:val="002C7209"/>
    <w:rsid w:val="002C7D7B"/>
    <w:rsid w:val="002D2D38"/>
    <w:rsid w:val="002E0806"/>
    <w:rsid w:val="002E16A7"/>
    <w:rsid w:val="002E28A9"/>
    <w:rsid w:val="002E3172"/>
    <w:rsid w:val="002E384C"/>
    <w:rsid w:val="002E45EC"/>
    <w:rsid w:val="002E6359"/>
    <w:rsid w:val="002F073F"/>
    <w:rsid w:val="002F128B"/>
    <w:rsid w:val="002F2D51"/>
    <w:rsid w:val="002F30DB"/>
    <w:rsid w:val="002F3915"/>
    <w:rsid w:val="002F50D0"/>
    <w:rsid w:val="002F50EA"/>
    <w:rsid w:val="002F6797"/>
    <w:rsid w:val="0030078C"/>
    <w:rsid w:val="00300A81"/>
    <w:rsid w:val="003026F8"/>
    <w:rsid w:val="003038B7"/>
    <w:rsid w:val="0030525A"/>
    <w:rsid w:val="003063AE"/>
    <w:rsid w:val="00307030"/>
    <w:rsid w:val="00310853"/>
    <w:rsid w:val="0031245C"/>
    <w:rsid w:val="003127AD"/>
    <w:rsid w:val="00313BAA"/>
    <w:rsid w:val="003154B8"/>
    <w:rsid w:val="00316511"/>
    <w:rsid w:val="0031671A"/>
    <w:rsid w:val="00317059"/>
    <w:rsid w:val="00317E75"/>
    <w:rsid w:val="00320138"/>
    <w:rsid w:val="00320290"/>
    <w:rsid w:val="00320856"/>
    <w:rsid w:val="00322B0A"/>
    <w:rsid w:val="00323576"/>
    <w:rsid w:val="003237F2"/>
    <w:rsid w:val="00326561"/>
    <w:rsid w:val="00326A6A"/>
    <w:rsid w:val="00330089"/>
    <w:rsid w:val="00331798"/>
    <w:rsid w:val="003350DB"/>
    <w:rsid w:val="00335462"/>
    <w:rsid w:val="003354E5"/>
    <w:rsid w:val="00340668"/>
    <w:rsid w:val="00342BEA"/>
    <w:rsid w:val="0034469C"/>
    <w:rsid w:val="003455E1"/>
    <w:rsid w:val="00345A13"/>
    <w:rsid w:val="00346203"/>
    <w:rsid w:val="00352995"/>
    <w:rsid w:val="003563C9"/>
    <w:rsid w:val="00356865"/>
    <w:rsid w:val="00360068"/>
    <w:rsid w:val="00362182"/>
    <w:rsid w:val="00365C3F"/>
    <w:rsid w:val="00366281"/>
    <w:rsid w:val="00367064"/>
    <w:rsid w:val="00373624"/>
    <w:rsid w:val="00374022"/>
    <w:rsid w:val="003765C0"/>
    <w:rsid w:val="00380C87"/>
    <w:rsid w:val="00380D57"/>
    <w:rsid w:val="00383674"/>
    <w:rsid w:val="003842D1"/>
    <w:rsid w:val="003851B3"/>
    <w:rsid w:val="0038631B"/>
    <w:rsid w:val="0038679B"/>
    <w:rsid w:val="0038686F"/>
    <w:rsid w:val="00386B77"/>
    <w:rsid w:val="003872AE"/>
    <w:rsid w:val="003926AA"/>
    <w:rsid w:val="0039280B"/>
    <w:rsid w:val="003928AA"/>
    <w:rsid w:val="003930CB"/>
    <w:rsid w:val="003942C4"/>
    <w:rsid w:val="0039499D"/>
    <w:rsid w:val="003965A9"/>
    <w:rsid w:val="00397786"/>
    <w:rsid w:val="003A0700"/>
    <w:rsid w:val="003A2520"/>
    <w:rsid w:val="003A258E"/>
    <w:rsid w:val="003A76F8"/>
    <w:rsid w:val="003B0B0D"/>
    <w:rsid w:val="003B11DB"/>
    <w:rsid w:val="003B2261"/>
    <w:rsid w:val="003B3364"/>
    <w:rsid w:val="003B3618"/>
    <w:rsid w:val="003B6083"/>
    <w:rsid w:val="003B6756"/>
    <w:rsid w:val="003B686B"/>
    <w:rsid w:val="003B714A"/>
    <w:rsid w:val="003C0084"/>
    <w:rsid w:val="003C049F"/>
    <w:rsid w:val="003C4207"/>
    <w:rsid w:val="003C5441"/>
    <w:rsid w:val="003C5967"/>
    <w:rsid w:val="003C63D8"/>
    <w:rsid w:val="003C69C5"/>
    <w:rsid w:val="003D10C1"/>
    <w:rsid w:val="003D3DDE"/>
    <w:rsid w:val="003D53B7"/>
    <w:rsid w:val="003E0555"/>
    <w:rsid w:val="003E1069"/>
    <w:rsid w:val="003E150E"/>
    <w:rsid w:val="003E4167"/>
    <w:rsid w:val="003E48E1"/>
    <w:rsid w:val="003E54A6"/>
    <w:rsid w:val="003E5F12"/>
    <w:rsid w:val="003E6363"/>
    <w:rsid w:val="003F3D6D"/>
    <w:rsid w:val="003F46B9"/>
    <w:rsid w:val="003F5E8C"/>
    <w:rsid w:val="003F74AA"/>
    <w:rsid w:val="003F74D9"/>
    <w:rsid w:val="00403A36"/>
    <w:rsid w:val="0040536A"/>
    <w:rsid w:val="00405F56"/>
    <w:rsid w:val="0040692D"/>
    <w:rsid w:val="00406AD7"/>
    <w:rsid w:val="00407812"/>
    <w:rsid w:val="0041008F"/>
    <w:rsid w:val="0041044B"/>
    <w:rsid w:val="00410DB8"/>
    <w:rsid w:val="0041144A"/>
    <w:rsid w:val="0041252F"/>
    <w:rsid w:val="004239EC"/>
    <w:rsid w:val="004254C2"/>
    <w:rsid w:val="0042695A"/>
    <w:rsid w:val="0043015C"/>
    <w:rsid w:val="00432D2A"/>
    <w:rsid w:val="00435A17"/>
    <w:rsid w:val="004364C4"/>
    <w:rsid w:val="004366EB"/>
    <w:rsid w:val="00437449"/>
    <w:rsid w:val="00440623"/>
    <w:rsid w:val="00441218"/>
    <w:rsid w:val="00441860"/>
    <w:rsid w:val="00442510"/>
    <w:rsid w:val="00443474"/>
    <w:rsid w:val="00445A7B"/>
    <w:rsid w:val="00445DCB"/>
    <w:rsid w:val="004476F0"/>
    <w:rsid w:val="0045216D"/>
    <w:rsid w:val="00452666"/>
    <w:rsid w:val="004552F1"/>
    <w:rsid w:val="0046014C"/>
    <w:rsid w:val="00464CD7"/>
    <w:rsid w:val="00466AE1"/>
    <w:rsid w:val="0046747D"/>
    <w:rsid w:val="0046791C"/>
    <w:rsid w:val="00470641"/>
    <w:rsid w:val="00472BB4"/>
    <w:rsid w:val="00474045"/>
    <w:rsid w:val="00474225"/>
    <w:rsid w:val="00474BF4"/>
    <w:rsid w:val="00474C1D"/>
    <w:rsid w:val="00476DE0"/>
    <w:rsid w:val="004779AB"/>
    <w:rsid w:val="00482CC8"/>
    <w:rsid w:val="0048322B"/>
    <w:rsid w:val="00483F09"/>
    <w:rsid w:val="00484F10"/>
    <w:rsid w:val="00486FC5"/>
    <w:rsid w:val="00487425"/>
    <w:rsid w:val="00491B7A"/>
    <w:rsid w:val="0049215A"/>
    <w:rsid w:val="0049419E"/>
    <w:rsid w:val="00494F4D"/>
    <w:rsid w:val="004950F5"/>
    <w:rsid w:val="004972E3"/>
    <w:rsid w:val="004975BC"/>
    <w:rsid w:val="00497E91"/>
    <w:rsid w:val="004A0544"/>
    <w:rsid w:val="004A098D"/>
    <w:rsid w:val="004A0BF2"/>
    <w:rsid w:val="004A2F7D"/>
    <w:rsid w:val="004A6960"/>
    <w:rsid w:val="004A6CEB"/>
    <w:rsid w:val="004B03F6"/>
    <w:rsid w:val="004B3AAA"/>
    <w:rsid w:val="004B4608"/>
    <w:rsid w:val="004B6F98"/>
    <w:rsid w:val="004B744F"/>
    <w:rsid w:val="004C0679"/>
    <w:rsid w:val="004C0F52"/>
    <w:rsid w:val="004C200B"/>
    <w:rsid w:val="004C46E4"/>
    <w:rsid w:val="004C6D13"/>
    <w:rsid w:val="004D020D"/>
    <w:rsid w:val="004E0AD9"/>
    <w:rsid w:val="004E0D42"/>
    <w:rsid w:val="004E2D81"/>
    <w:rsid w:val="004E2E9C"/>
    <w:rsid w:val="004E31D0"/>
    <w:rsid w:val="004E3548"/>
    <w:rsid w:val="004E3F4F"/>
    <w:rsid w:val="004E7585"/>
    <w:rsid w:val="004F04B0"/>
    <w:rsid w:val="004F3864"/>
    <w:rsid w:val="004F7524"/>
    <w:rsid w:val="004F7C06"/>
    <w:rsid w:val="00500990"/>
    <w:rsid w:val="005027C7"/>
    <w:rsid w:val="00510CFE"/>
    <w:rsid w:val="005110C6"/>
    <w:rsid w:val="00512967"/>
    <w:rsid w:val="00512E29"/>
    <w:rsid w:val="005209B2"/>
    <w:rsid w:val="005225E1"/>
    <w:rsid w:val="00522CCE"/>
    <w:rsid w:val="00523E36"/>
    <w:rsid w:val="00524C27"/>
    <w:rsid w:val="00531296"/>
    <w:rsid w:val="005313A7"/>
    <w:rsid w:val="005328EB"/>
    <w:rsid w:val="00532BF6"/>
    <w:rsid w:val="0053378A"/>
    <w:rsid w:val="005345A3"/>
    <w:rsid w:val="0053488A"/>
    <w:rsid w:val="00534BCB"/>
    <w:rsid w:val="00535587"/>
    <w:rsid w:val="00542880"/>
    <w:rsid w:val="005514B1"/>
    <w:rsid w:val="00551A86"/>
    <w:rsid w:val="00553C4B"/>
    <w:rsid w:val="0055423F"/>
    <w:rsid w:val="00556AA7"/>
    <w:rsid w:val="00557D16"/>
    <w:rsid w:val="0056015D"/>
    <w:rsid w:val="005614E0"/>
    <w:rsid w:val="00561904"/>
    <w:rsid w:val="00561B90"/>
    <w:rsid w:val="0056239C"/>
    <w:rsid w:val="005635BD"/>
    <w:rsid w:val="00564BAA"/>
    <w:rsid w:val="005734B6"/>
    <w:rsid w:val="005738CD"/>
    <w:rsid w:val="00573F54"/>
    <w:rsid w:val="00574830"/>
    <w:rsid w:val="005752FD"/>
    <w:rsid w:val="0057663B"/>
    <w:rsid w:val="00576971"/>
    <w:rsid w:val="00581D56"/>
    <w:rsid w:val="00582EF2"/>
    <w:rsid w:val="00584247"/>
    <w:rsid w:val="00584634"/>
    <w:rsid w:val="0058463E"/>
    <w:rsid w:val="005876AB"/>
    <w:rsid w:val="0059011C"/>
    <w:rsid w:val="005908C2"/>
    <w:rsid w:val="00593B58"/>
    <w:rsid w:val="00594CE9"/>
    <w:rsid w:val="00595B3F"/>
    <w:rsid w:val="005973FC"/>
    <w:rsid w:val="005A0655"/>
    <w:rsid w:val="005A198C"/>
    <w:rsid w:val="005A318C"/>
    <w:rsid w:val="005A3FC9"/>
    <w:rsid w:val="005A414C"/>
    <w:rsid w:val="005A4606"/>
    <w:rsid w:val="005A6F5B"/>
    <w:rsid w:val="005A7A69"/>
    <w:rsid w:val="005B4CB1"/>
    <w:rsid w:val="005B4D91"/>
    <w:rsid w:val="005B4DC3"/>
    <w:rsid w:val="005B6B1B"/>
    <w:rsid w:val="005C0083"/>
    <w:rsid w:val="005C0F19"/>
    <w:rsid w:val="005C3219"/>
    <w:rsid w:val="005C4CA6"/>
    <w:rsid w:val="005C4E6E"/>
    <w:rsid w:val="005C6356"/>
    <w:rsid w:val="005C67E9"/>
    <w:rsid w:val="005C6E5F"/>
    <w:rsid w:val="005C768A"/>
    <w:rsid w:val="005C786E"/>
    <w:rsid w:val="005D2E0E"/>
    <w:rsid w:val="005D455F"/>
    <w:rsid w:val="005D4621"/>
    <w:rsid w:val="005D48D8"/>
    <w:rsid w:val="005D4A9C"/>
    <w:rsid w:val="005D4D90"/>
    <w:rsid w:val="005D5926"/>
    <w:rsid w:val="005E026F"/>
    <w:rsid w:val="005E2CB6"/>
    <w:rsid w:val="005E3F91"/>
    <w:rsid w:val="005E4B8E"/>
    <w:rsid w:val="005E598B"/>
    <w:rsid w:val="005E7A72"/>
    <w:rsid w:val="005F61C2"/>
    <w:rsid w:val="005F76C6"/>
    <w:rsid w:val="005F7FCE"/>
    <w:rsid w:val="00600A2B"/>
    <w:rsid w:val="00602212"/>
    <w:rsid w:val="00603C01"/>
    <w:rsid w:val="00604955"/>
    <w:rsid w:val="00604A07"/>
    <w:rsid w:val="00604C5A"/>
    <w:rsid w:val="0060559D"/>
    <w:rsid w:val="00607891"/>
    <w:rsid w:val="00611D9C"/>
    <w:rsid w:val="0061276D"/>
    <w:rsid w:val="0061348F"/>
    <w:rsid w:val="006137DA"/>
    <w:rsid w:val="00613C5A"/>
    <w:rsid w:val="0061404B"/>
    <w:rsid w:val="00616001"/>
    <w:rsid w:val="00616067"/>
    <w:rsid w:val="00616BA7"/>
    <w:rsid w:val="00616FAA"/>
    <w:rsid w:val="00620565"/>
    <w:rsid w:val="00621471"/>
    <w:rsid w:val="006216FB"/>
    <w:rsid w:val="006221F4"/>
    <w:rsid w:val="006252CB"/>
    <w:rsid w:val="00626CF6"/>
    <w:rsid w:val="00626DEB"/>
    <w:rsid w:val="00630191"/>
    <w:rsid w:val="00631EEA"/>
    <w:rsid w:val="00632375"/>
    <w:rsid w:val="006325C2"/>
    <w:rsid w:val="00635195"/>
    <w:rsid w:val="006374D7"/>
    <w:rsid w:val="00637E82"/>
    <w:rsid w:val="00642227"/>
    <w:rsid w:val="006459D0"/>
    <w:rsid w:val="00646C34"/>
    <w:rsid w:val="006478C0"/>
    <w:rsid w:val="006524BF"/>
    <w:rsid w:val="006538E2"/>
    <w:rsid w:val="00655753"/>
    <w:rsid w:val="00664A72"/>
    <w:rsid w:val="00665E1B"/>
    <w:rsid w:val="00667E78"/>
    <w:rsid w:val="006728EC"/>
    <w:rsid w:val="00673048"/>
    <w:rsid w:val="006732FC"/>
    <w:rsid w:val="00673BE4"/>
    <w:rsid w:val="00675613"/>
    <w:rsid w:val="00675EB4"/>
    <w:rsid w:val="00676997"/>
    <w:rsid w:val="00680C4F"/>
    <w:rsid w:val="0068326C"/>
    <w:rsid w:val="00684827"/>
    <w:rsid w:val="0068581E"/>
    <w:rsid w:val="00685D15"/>
    <w:rsid w:val="00685F7A"/>
    <w:rsid w:val="0068735B"/>
    <w:rsid w:val="0068773D"/>
    <w:rsid w:val="00690325"/>
    <w:rsid w:val="0069149F"/>
    <w:rsid w:val="00692235"/>
    <w:rsid w:val="00692685"/>
    <w:rsid w:val="0069298A"/>
    <w:rsid w:val="0069484E"/>
    <w:rsid w:val="00694A14"/>
    <w:rsid w:val="006953C7"/>
    <w:rsid w:val="006956FE"/>
    <w:rsid w:val="00695B4D"/>
    <w:rsid w:val="006967E3"/>
    <w:rsid w:val="006969DD"/>
    <w:rsid w:val="006A2BB9"/>
    <w:rsid w:val="006A33D5"/>
    <w:rsid w:val="006A342A"/>
    <w:rsid w:val="006A4FE1"/>
    <w:rsid w:val="006A567E"/>
    <w:rsid w:val="006A6AD7"/>
    <w:rsid w:val="006A6C75"/>
    <w:rsid w:val="006B425F"/>
    <w:rsid w:val="006B6DE4"/>
    <w:rsid w:val="006B729F"/>
    <w:rsid w:val="006C01AE"/>
    <w:rsid w:val="006C0AC0"/>
    <w:rsid w:val="006C1DF1"/>
    <w:rsid w:val="006C2C57"/>
    <w:rsid w:val="006C3969"/>
    <w:rsid w:val="006C5D5C"/>
    <w:rsid w:val="006D14DD"/>
    <w:rsid w:val="006D23E0"/>
    <w:rsid w:val="006D4843"/>
    <w:rsid w:val="006D49CB"/>
    <w:rsid w:val="006D59BA"/>
    <w:rsid w:val="006D639D"/>
    <w:rsid w:val="006E005C"/>
    <w:rsid w:val="006E1D3E"/>
    <w:rsid w:val="006E3449"/>
    <w:rsid w:val="006E34DD"/>
    <w:rsid w:val="006E52EA"/>
    <w:rsid w:val="006E7D3B"/>
    <w:rsid w:val="006F02BA"/>
    <w:rsid w:val="006F2032"/>
    <w:rsid w:val="006F3D66"/>
    <w:rsid w:val="006F3EE3"/>
    <w:rsid w:val="006F4B4E"/>
    <w:rsid w:val="006F6A4C"/>
    <w:rsid w:val="006F6C27"/>
    <w:rsid w:val="006F6E86"/>
    <w:rsid w:val="0070151B"/>
    <w:rsid w:val="00706792"/>
    <w:rsid w:val="0070748C"/>
    <w:rsid w:val="00711663"/>
    <w:rsid w:val="00712140"/>
    <w:rsid w:val="00712395"/>
    <w:rsid w:val="007127EC"/>
    <w:rsid w:val="0071304E"/>
    <w:rsid w:val="00713670"/>
    <w:rsid w:val="00713EDB"/>
    <w:rsid w:val="00714C11"/>
    <w:rsid w:val="0071577C"/>
    <w:rsid w:val="00716018"/>
    <w:rsid w:val="0071601A"/>
    <w:rsid w:val="007163A4"/>
    <w:rsid w:val="00716DAF"/>
    <w:rsid w:val="007216C4"/>
    <w:rsid w:val="00722456"/>
    <w:rsid w:val="00722BEC"/>
    <w:rsid w:val="00722DCC"/>
    <w:rsid w:val="00725B02"/>
    <w:rsid w:val="00730122"/>
    <w:rsid w:val="007304DE"/>
    <w:rsid w:val="00732DF8"/>
    <w:rsid w:val="00734F58"/>
    <w:rsid w:val="007364D1"/>
    <w:rsid w:val="0073676C"/>
    <w:rsid w:val="00737E89"/>
    <w:rsid w:val="0074353F"/>
    <w:rsid w:val="00745068"/>
    <w:rsid w:val="00746B0A"/>
    <w:rsid w:val="00746FF1"/>
    <w:rsid w:val="0074745D"/>
    <w:rsid w:val="00747DC7"/>
    <w:rsid w:val="00752FFF"/>
    <w:rsid w:val="0075563D"/>
    <w:rsid w:val="00755926"/>
    <w:rsid w:val="0075654A"/>
    <w:rsid w:val="00756E0F"/>
    <w:rsid w:val="0076005E"/>
    <w:rsid w:val="00760B6C"/>
    <w:rsid w:val="00760DBC"/>
    <w:rsid w:val="007623D0"/>
    <w:rsid w:val="00763A37"/>
    <w:rsid w:val="007646B2"/>
    <w:rsid w:val="00765611"/>
    <w:rsid w:val="007665B3"/>
    <w:rsid w:val="00774FF1"/>
    <w:rsid w:val="00775E6C"/>
    <w:rsid w:val="00777FDD"/>
    <w:rsid w:val="00781ECD"/>
    <w:rsid w:val="00783225"/>
    <w:rsid w:val="00784EB2"/>
    <w:rsid w:val="00785836"/>
    <w:rsid w:val="00791AA2"/>
    <w:rsid w:val="007929BF"/>
    <w:rsid w:val="00793227"/>
    <w:rsid w:val="00795A45"/>
    <w:rsid w:val="00797CEB"/>
    <w:rsid w:val="00797E19"/>
    <w:rsid w:val="007A0DCF"/>
    <w:rsid w:val="007A13F8"/>
    <w:rsid w:val="007A1A89"/>
    <w:rsid w:val="007A1EB1"/>
    <w:rsid w:val="007A413F"/>
    <w:rsid w:val="007A5407"/>
    <w:rsid w:val="007A6AAC"/>
    <w:rsid w:val="007A6B34"/>
    <w:rsid w:val="007B04CC"/>
    <w:rsid w:val="007B1689"/>
    <w:rsid w:val="007B58BD"/>
    <w:rsid w:val="007B71C9"/>
    <w:rsid w:val="007B72DF"/>
    <w:rsid w:val="007B7CFD"/>
    <w:rsid w:val="007B7FBC"/>
    <w:rsid w:val="007C0AE3"/>
    <w:rsid w:val="007D2593"/>
    <w:rsid w:val="007D2A07"/>
    <w:rsid w:val="007D479E"/>
    <w:rsid w:val="007D53DB"/>
    <w:rsid w:val="007D799D"/>
    <w:rsid w:val="007E0477"/>
    <w:rsid w:val="007E1ED8"/>
    <w:rsid w:val="007E3FF4"/>
    <w:rsid w:val="007E64D9"/>
    <w:rsid w:val="007E6890"/>
    <w:rsid w:val="007E6B8A"/>
    <w:rsid w:val="007E6F86"/>
    <w:rsid w:val="007F17B2"/>
    <w:rsid w:val="007F23B5"/>
    <w:rsid w:val="007F3D22"/>
    <w:rsid w:val="007F3F37"/>
    <w:rsid w:val="007F50D1"/>
    <w:rsid w:val="007F6BAE"/>
    <w:rsid w:val="007F6D98"/>
    <w:rsid w:val="008008A9"/>
    <w:rsid w:val="00805EB0"/>
    <w:rsid w:val="008064F5"/>
    <w:rsid w:val="00810F05"/>
    <w:rsid w:val="00813262"/>
    <w:rsid w:val="00813C13"/>
    <w:rsid w:val="00814C8A"/>
    <w:rsid w:val="008158EB"/>
    <w:rsid w:val="008179FC"/>
    <w:rsid w:val="00817E29"/>
    <w:rsid w:val="00820AF3"/>
    <w:rsid w:val="008219C2"/>
    <w:rsid w:val="00823C19"/>
    <w:rsid w:val="00825EA8"/>
    <w:rsid w:val="008266EA"/>
    <w:rsid w:val="00827C53"/>
    <w:rsid w:val="008310E8"/>
    <w:rsid w:val="008329B4"/>
    <w:rsid w:val="00832D49"/>
    <w:rsid w:val="00837E02"/>
    <w:rsid w:val="00840240"/>
    <w:rsid w:val="0084061B"/>
    <w:rsid w:val="00840B31"/>
    <w:rsid w:val="00847172"/>
    <w:rsid w:val="00851051"/>
    <w:rsid w:val="008526EE"/>
    <w:rsid w:val="008544FD"/>
    <w:rsid w:val="00854566"/>
    <w:rsid w:val="00860A37"/>
    <w:rsid w:val="00862B3A"/>
    <w:rsid w:val="00865E00"/>
    <w:rsid w:val="00866421"/>
    <w:rsid w:val="00866B8C"/>
    <w:rsid w:val="00866BDD"/>
    <w:rsid w:val="008671F6"/>
    <w:rsid w:val="00872CC7"/>
    <w:rsid w:val="00874007"/>
    <w:rsid w:val="008741BC"/>
    <w:rsid w:val="00876505"/>
    <w:rsid w:val="00877B77"/>
    <w:rsid w:val="00877F25"/>
    <w:rsid w:val="0088028B"/>
    <w:rsid w:val="00881760"/>
    <w:rsid w:val="00881E5F"/>
    <w:rsid w:val="008872AD"/>
    <w:rsid w:val="00892AC0"/>
    <w:rsid w:val="008961A8"/>
    <w:rsid w:val="00897702"/>
    <w:rsid w:val="008A4D9D"/>
    <w:rsid w:val="008A575D"/>
    <w:rsid w:val="008A57B4"/>
    <w:rsid w:val="008A5DED"/>
    <w:rsid w:val="008A630B"/>
    <w:rsid w:val="008B0A25"/>
    <w:rsid w:val="008B1609"/>
    <w:rsid w:val="008B1869"/>
    <w:rsid w:val="008B6925"/>
    <w:rsid w:val="008C0726"/>
    <w:rsid w:val="008C1C73"/>
    <w:rsid w:val="008C221E"/>
    <w:rsid w:val="008C2809"/>
    <w:rsid w:val="008D0963"/>
    <w:rsid w:val="008D24E7"/>
    <w:rsid w:val="008D5FE6"/>
    <w:rsid w:val="008D6CEF"/>
    <w:rsid w:val="008D7B37"/>
    <w:rsid w:val="008D7BD2"/>
    <w:rsid w:val="008E1CA8"/>
    <w:rsid w:val="008E20EB"/>
    <w:rsid w:val="008E2239"/>
    <w:rsid w:val="008E44FF"/>
    <w:rsid w:val="008E58DD"/>
    <w:rsid w:val="008E594B"/>
    <w:rsid w:val="008E5AD6"/>
    <w:rsid w:val="008E764B"/>
    <w:rsid w:val="008F2196"/>
    <w:rsid w:val="008F50CD"/>
    <w:rsid w:val="008F6339"/>
    <w:rsid w:val="00900E4C"/>
    <w:rsid w:val="00902946"/>
    <w:rsid w:val="00903291"/>
    <w:rsid w:val="00904FE5"/>
    <w:rsid w:val="00905B1A"/>
    <w:rsid w:val="00906D52"/>
    <w:rsid w:val="009076D6"/>
    <w:rsid w:val="009110C7"/>
    <w:rsid w:val="00913137"/>
    <w:rsid w:val="00913CDD"/>
    <w:rsid w:val="0091425C"/>
    <w:rsid w:val="00914B24"/>
    <w:rsid w:val="00917CB3"/>
    <w:rsid w:val="00920F5F"/>
    <w:rsid w:val="009216E2"/>
    <w:rsid w:val="009217A9"/>
    <w:rsid w:val="00924DCA"/>
    <w:rsid w:val="009269E6"/>
    <w:rsid w:val="00926B5A"/>
    <w:rsid w:val="009325BA"/>
    <w:rsid w:val="009328C9"/>
    <w:rsid w:val="00932BFA"/>
    <w:rsid w:val="00933610"/>
    <w:rsid w:val="009351BF"/>
    <w:rsid w:val="00937A0F"/>
    <w:rsid w:val="00941F86"/>
    <w:rsid w:val="00942B81"/>
    <w:rsid w:val="009454B1"/>
    <w:rsid w:val="00945B40"/>
    <w:rsid w:val="00946739"/>
    <w:rsid w:val="009478BA"/>
    <w:rsid w:val="00950512"/>
    <w:rsid w:val="0095067B"/>
    <w:rsid w:val="00950893"/>
    <w:rsid w:val="00952367"/>
    <w:rsid w:val="009532A9"/>
    <w:rsid w:val="00954767"/>
    <w:rsid w:val="00955F42"/>
    <w:rsid w:val="00956301"/>
    <w:rsid w:val="009568CA"/>
    <w:rsid w:val="0095729B"/>
    <w:rsid w:val="009602BD"/>
    <w:rsid w:val="00960DF2"/>
    <w:rsid w:val="009621C6"/>
    <w:rsid w:val="00970DF2"/>
    <w:rsid w:val="009718A9"/>
    <w:rsid w:val="00971ED8"/>
    <w:rsid w:val="009726B0"/>
    <w:rsid w:val="00973892"/>
    <w:rsid w:val="00974097"/>
    <w:rsid w:val="00974C49"/>
    <w:rsid w:val="009752AE"/>
    <w:rsid w:val="00976833"/>
    <w:rsid w:val="00977D7F"/>
    <w:rsid w:val="00980913"/>
    <w:rsid w:val="0098259A"/>
    <w:rsid w:val="00983ACC"/>
    <w:rsid w:val="00984742"/>
    <w:rsid w:val="009868BF"/>
    <w:rsid w:val="00992990"/>
    <w:rsid w:val="00994C52"/>
    <w:rsid w:val="00995DDA"/>
    <w:rsid w:val="00997EDC"/>
    <w:rsid w:val="009A04F3"/>
    <w:rsid w:val="009A3E6B"/>
    <w:rsid w:val="009A508C"/>
    <w:rsid w:val="009A6468"/>
    <w:rsid w:val="009A7B59"/>
    <w:rsid w:val="009B2B29"/>
    <w:rsid w:val="009B2ED6"/>
    <w:rsid w:val="009B3988"/>
    <w:rsid w:val="009B3E7A"/>
    <w:rsid w:val="009B58C4"/>
    <w:rsid w:val="009C083A"/>
    <w:rsid w:val="009C0844"/>
    <w:rsid w:val="009C2F1E"/>
    <w:rsid w:val="009C4ED6"/>
    <w:rsid w:val="009C4F23"/>
    <w:rsid w:val="009C74E3"/>
    <w:rsid w:val="009D0C29"/>
    <w:rsid w:val="009D2E5A"/>
    <w:rsid w:val="009D2FCE"/>
    <w:rsid w:val="009D3B78"/>
    <w:rsid w:val="009D6107"/>
    <w:rsid w:val="009D674B"/>
    <w:rsid w:val="009D7688"/>
    <w:rsid w:val="009E1245"/>
    <w:rsid w:val="009E42B6"/>
    <w:rsid w:val="009E6078"/>
    <w:rsid w:val="009E6835"/>
    <w:rsid w:val="009E6847"/>
    <w:rsid w:val="009E71E7"/>
    <w:rsid w:val="009F15CA"/>
    <w:rsid w:val="009F1BD1"/>
    <w:rsid w:val="009F2BB7"/>
    <w:rsid w:val="009F2DC8"/>
    <w:rsid w:val="009F38B5"/>
    <w:rsid w:val="009F4854"/>
    <w:rsid w:val="009F53B1"/>
    <w:rsid w:val="009F63A6"/>
    <w:rsid w:val="009F68D7"/>
    <w:rsid w:val="009F6CD6"/>
    <w:rsid w:val="00A01AD6"/>
    <w:rsid w:val="00A02A40"/>
    <w:rsid w:val="00A03F61"/>
    <w:rsid w:val="00A04B60"/>
    <w:rsid w:val="00A0661A"/>
    <w:rsid w:val="00A1689A"/>
    <w:rsid w:val="00A25479"/>
    <w:rsid w:val="00A25E5C"/>
    <w:rsid w:val="00A306A4"/>
    <w:rsid w:val="00A315A8"/>
    <w:rsid w:val="00A31E1F"/>
    <w:rsid w:val="00A3423A"/>
    <w:rsid w:val="00A3547B"/>
    <w:rsid w:val="00A3579B"/>
    <w:rsid w:val="00A40178"/>
    <w:rsid w:val="00A4297A"/>
    <w:rsid w:val="00A45F94"/>
    <w:rsid w:val="00A4677D"/>
    <w:rsid w:val="00A473EF"/>
    <w:rsid w:val="00A47CE4"/>
    <w:rsid w:val="00A50C8C"/>
    <w:rsid w:val="00A51016"/>
    <w:rsid w:val="00A51263"/>
    <w:rsid w:val="00A53770"/>
    <w:rsid w:val="00A54D7A"/>
    <w:rsid w:val="00A5526D"/>
    <w:rsid w:val="00A57057"/>
    <w:rsid w:val="00A57FCA"/>
    <w:rsid w:val="00A60C7B"/>
    <w:rsid w:val="00A6373D"/>
    <w:rsid w:val="00A64B0D"/>
    <w:rsid w:val="00A70561"/>
    <w:rsid w:val="00A710ED"/>
    <w:rsid w:val="00A75AD0"/>
    <w:rsid w:val="00A75F93"/>
    <w:rsid w:val="00A76AD1"/>
    <w:rsid w:val="00A76C1C"/>
    <w:rsid w:val="00A82D55"/>
    <w:rsid w:val="00A8425E"/>
    <w:rsid w:val="00A856A3"/>
    <w:rsid w:val="00A879C5"/>
    <w:rsid w:val="00A95D12"/>
    <w:rsid w:val="00AA137C"/>
    <w:rsid w:val="00AA2093"/>
    <w:rsid w:val="00AA3C96"/>
    <w:rsid w:val="00AA4460"/>
    <w:rsid w:val="00AA5061"/>
    <w:rsid w:val="00AA5754"/>
    <w:rsid w:val="00AB3E6D"/>
    <w:rsid w:val="00AB4D9D"/>
    <w:rsid w:val="00AB5C2F"/>
    <w:rsid w:val="00AB625B"/>
    <w:rsid w:val="00AB65C7"/>
    <w:rsid w:val="00AB78E6"/>
    <w:rsid w:val="00AB7A59"/>
    <w:rsid w:val="00AC1658"/>
    <w:rsid w:val="00AC3621"/>
    <w:rsid w:val="00AC39EF"/>
    <w:rsid w:val="00AC49A8"/>
    <w:rsid w:val="00AC5FAF"/>
    <w:rsid w:val="00AC6C1E"/>
    <w:rsid w:val="00AD2534"/>
    <w:rsid w:val="00AD3758"/>
    <w:rsid w:val="00AD6AD3"/>
    <w:rsid w:val="00AE023E"/>
    <w:rsid w:val="00AE1DA9"/>
    <w:rsid w:val="00AE4019"/>
    <w:rsid w:val="00AE5666"/>
    <w:rsid w:val="00AE6499"/>
    <w:rsid w:val="00AE6DB7"/>
    <w:rsid w:val="00AE6F13"/>
    <w:rsid w:val="00AE7836"/>
    <w:rsid w:val="00AF0B24"/>
    <w:rsid w:val="00AF4884"/>
    <w:rsid w:val="00AF657A"/>
    <w:rsid w:val="00AF6E16"/>
    <w:rsid w:val="00B0033D"/>
    <w:rsid w:val="00B00795"/>
    <w:rsid w:val="00B0134C"/>
    <w:rsid w:val="00B04C68"/>
    <w:rsid w:val="00B10655"/>
    <w:rsid w:val="00B10686"/>
    <w:rsid w:val="00B16FAE"/>
    <w:rsid w:val="00B21897"/>
    <w:rsid w:val="00B22819"/>
    <w:rsid w:val="00B246B9"/>
    <w:rsid w:val="00B25B15"/>
    <w:rsid w:val="00B26E02"/>
    <w:rsid w:val="00B30746"/>
    <w:rsid w:val="00B319BE"/>
    <w:rsid w:val="00B339D5"/>
    <w:rsid w:val="00B33C59"/>
    <w:rsid w:val="00B35127"/>
    <w:rsid w:val="00B3561F"/>
    <w:rsid w:val="00B35E15"/>
    <w:rsid w:val="00B364E8"/>
    <w:rsid w:val="00B40CE9"/>
    <w:rsid w:val="00B44258"/>
    <w:rsid w:val="00B44E69"/>
    <w:rsid w:val="00B46B8D"/>
    <w:rsid w:val="00B471F1"/>
    <w:rsid w:val="00B478B7"/>
    <w:rsid w:val="00B50750"/>
    <w:rsid w:val="00B52422"/>
    <w:rsid w:val="00B537A3"/>
    <w:rsid w:val="00B54903"/>
    <w:rsid w:val="00B576EF"/>
    <w:rsid w:val="00B607A9"/>
    <w:rsid w:val="00B60A8C"/>
    <w:rsid w:val="00B623D3"/>
    <w:rsid w:val="00B660EE"/>
    <w:rsid w:val="00B707CD"/>
    <w:rsid w:val="00B720AF"/>
    <w:rsid w:val="00B727FF"/>
    <w:rsid w:val="00B73E3E"/>
    <w:rsid w:val="00B80F6D"/>
    <w:rsid w:val="00B83503"/>
    <w:rsid w:val="00B87E8A"/>
    <w:rsid w:val="00B91042"/>
    <w:rsid w:val="00B923E1"/>
    <w:rsid w:val="00B92C7D"/>
    <w:rsid w:val="00B92E10"/>
    <w:rsid w:val="00B96BB3"/>
    <w:rsid w:val="00B97504"/>
    <w:rsid w:val="00BA01D0"/>
    <w:rsid w:val="00BA2376"/>
    <w:rsid w:val="00BA29ED"/>
    <w:rsid w:val="00BA3897"/>
    <w:rsid w:val="00BA5A62"/>
    <w:rsid w:val="00BB2D4D"/>
    <w:rsid w:val="00BB357E"/>
    <w:rsid w:val="00BB3CB7"/>
    <w:rsid w:val="00BB3F14"/>
    <w:rsid w:val="00BB3FD9"/>
    <w:rsid w:val="00BC00C1"/>
    <w:rsid w:val="00BC29DB"/>
    <w:rsid w:val="00BC3C37"/>
    <w:rsid w:val="00BC4136"/>
    <w:rsid w:val="00BC4466"/>
    <w:rsid w:val="00BC5452"/>
    <w:rsid w:val="00BC54B8"/>
    <w:rsid w:val="00BC62B2"/>
    <w:rsid w:val="00BC68A7"/>
    <w:rsid w:val="00BC6C2C"/>
    <w:rsid w:val="00BC6D6B"/>
    <w:rsid w:val="00BD0C45"/>
    <w:rsid w:val="00BD17DE"/>
    <w:rsid w:val="00BD1F14"/>
    <w:rsid w:val="00BD2254"/>
    <w:rsid w:val="00BD3351"/>
    <w:rsid w:val="00BD491A"/>
    <w:rsid w:val="00BD72A7"/>
    <w:rsid w:val="00BD7361"/>
    <w:rsid w:val="00BD7371"/>
    <w:rsid w:val="00BD7ED7"/>
    <w:rsid w:val="00BD7F04"/>
    <w:rsid w:val="00BE3D26"/>
    <w:rsid w:val="00BF1979"/>
    <w:rsid w:val="00BF2BFE"/>
    <w:rsid w:val="00BF2E67"/>
    <w:rsid w:val="00BF3426"/>
    <w:rsid w:val="00BF5768"/>
    <w:rsid w:val="00BF63C1"/>
    <w:rsid w:val="00BF65FE"/>
    <w:rsid w:val="00BF738A"/>
    <w:rsid w:val="00BF7D90"/>
    <w:rsid w:val="00C00C33"/>
    <w:rsid w:val="00C01F0A"/>
    <w:rsid w:val="00C01FE2"/>
    <w:rsid w:val="00C023A1"/>
    <w:rsid w:val="00C03205"/>
    <w:rsid w:val="00C04A81"/>
    <w:rsid w:val="00C07F45"/>
    <w:rsid w:val="00C106AA"/>
    <w:rsid w:val="00C131B2"/>
    <w:rsid w:val="00C173C4"/>
    <w:rsid w:val="00C177D5"/>
    <w:rsid w:val="00C20469"/>
    <w:rsid w:val="00C2107D"/>
    <w:rsid w:val="00C214EF"/>
    <w:rsid w:val="00C22414"/>
    <w:rsid w:val="00C242A0"/>
    <w:rsid w:val="00C25B08"/>
    <w:rsid w:val="00C25C50"/>
    <w:rsid w:val="00C2630D"/>
    <w:rsid w:val="00C272B4"/>
    <w:rsid w:val="00C30364"/>
    <w:rsid w:val="00C3151C"/>
    <w:rsid w:val="00C31D1C"/>
    <w:rsid w:val="00C34904"/>
    <w:rsid w:val="00C34D04"/>
    <w:rsid w:val="00C35807"/>
    <w:rsid w:val="00C3718B"/>
    <w:rsid w:val="00C41E24"/>
    <w:rsid w:val="00C42604"/>
    <w:rsid w:val="00C42AD2"/>
    <w:rsid w:val="00C43875"/>
    <w:rsid w:val="00C46CFE"/>
    <w:rsid w:val="00C46DD5"/>
    <w:rsid w:val="00C47F49"/>
    <w:rsid w:val="00C54231"/>
    <w:rsid w:val="00C60AAC"/>
    <w:rsid w:val="00C64106"/>
    <w:rsid w:val="00C66E41"/>
    <w:rsid w:val="00C67E5C"/>
    <w:rsid w:val="00C70E80"/>
    <w:rsid w:val="00C7100A"/>
    <w:rsid w:val="00C7300F"/>
    <w:rsid w:val="00C74B83"/>
    <w:rsid w:val="00C75F63"/>
    <w:rsid w:val="00C76B26"/>
    <w:rsid w:val="00C771C9"/>
    <w:rsid w:val="00C87A5C"/>
    <w:rsid w:val="00C9046E"/>
    <w:rsid w:val="00C90AD7"/>
    <w:rsid w:val="00C910CA"/>
    <w:rsid w:val="00C91266"/>
    <w:rsid w:val="00C94193"/>
    <w:rsid w:val="00C941B0"/>
    <w:rsid w:val="00C94819"/>
    <w:rsid w:val="00C94DD0"/>
    <w:rsid w:val="00C95D11"/>
    <w:rsid w:val="00C97014"/>
    <w:rsid w:val="00C97534"/>
    <w:rsid w:val="00C9791F"/>
    <w:rsid w:val="00CA044E"/>
    <w:rsid w:val="00CA1468"/>
    <w:rsid w:val="00CA269E"/>
    <w:rsid w:val="00CA49C7"/>
    <w:rsid w:val="00CA4A35"/>
    <w:rsid w:val="00CA4F56"/>
    <w:rsid w:val="00CA5752"/>
    <w:rsid w:val="00CA5E2A"/>
    <w:rsid w:val="00CB040E"/>
    <w:rsid w:val="00CB1709"/>
    <w:rsid w:val="00CB21C5"/>
    <w:rsid w:val="00CB32B9"/>
    <w:rsid w:val="00CB3437"/>
    <w:rsid w:val="00CB4A16"/>
    <w:rsid w:val="00CB4BE6"/>
    <w:rsid w:val="00CB4C1D"/>
    <w:rsid w:val="00CB6210"/>
    <w:rsid w:val="00CB645C"/>
    <w:rsid w:val="00CB6550"/>
    <w:rsid w:val="00CC5107"/>
    <w:rsid w:val="00CC6C41"/>
    <w:rsid w:val="00CC7BEC"/>
    <w:rsid w:val="00CD26F0"/>
    <w:rsid w:val="00CD4FF2"/>
    <w:rsid w:val="00CD6C23"/>
    <w:rsid w:val="00CD783D"/>
    <w:rsid w:val="00CE2C5E"/>
    <w:rsid w:val="00CE3ADB"/>
    <w:rsid w:val="00CE6AC9"/>
    <w:rsid w:val="00CE6EC5"/>
    <w:rsid w:val="00CF05FE"/>
    <w:rsid w:val="00CF15DA"/>
    <w:rsid w:val="00CF3B4B"/>
    <w:rsid w:val="00CF505A"/>
    <w:rsid w:val="00CF55B4"/>
    <w:rsid w:val="00CF68AD"/>
    <w:rsid w:val="00D01103"/>
    <w:rsid w:val="00D02085"/>
    <w:rsid w:val="00D030AB"/>
    <w:rsid w:val="00D03C32"/>
    <w:rsid w:val="00D04244"/>
    <w:rsid w:val="00D0450A"/>
    <w:rsid w:val="00D0569A"/>
    <w:rsid w:val="00D06559"/>
    <w:rsid w:val="00D06CC7"/>
    <w:rsid w:val="00D130C7"/>
    <w:rsid w:val="00D14258"/>
    <w:rsid w:val="00D14FE1"/>
    <w:rsid w:val="00D16A97"/>
    <w:rsid w:val="00D17DFE"/>
    <w:rsid w:val="00D203E8"/>
    <w:rsid w:val="00D21EE7"/>
    <w:rsid w:val="00D22588"/>
    <w:rsid w:val="00D239B7"/>
    <w:rsid w:val="00D2577C"/>
    <w:rsid w:val="00D26E68"/>
    <w:rsid w:val="00D271F8"/>
    <w:rsid w:val="00D30D02"/>
    <w:rsid w:val="00D32AD8"/>
    <w:rsid w:val="00D32DA6"/>
    <w:rsid w:val="00D33109"/>
    <w:rsid w:val="00D35EE9"/>
    <w:rsid w:val="00D3646C"/>
    <w:rsid w:val="00D37C9D"/>
    <w:rsid w:val="00D455D7"/>
    <w:rsid w:val="00D518F1"/>
    <w:rsid w:val="00D52115"/>
    <w:rsid w:val="00D5262A"/>
    <w:rsid w:val="00D52B8A"/>
    <w:rsid w:val="00D537FC"/>
    <w:rsid w:val="00D5518E"/>
    <w:rsid w:val="00D55A42"/>
    <w:rsid w:val="00D6071F"/>
    <w:rsid w:val="00D637BA"/>
    <w:rsid w:val="00D6409A"/>
    <w:rsid w:val="00D64627"/>
    <w:rsid w:val="00D652B2"/>
    <w:rsid w:val="00D67B4C"/>
    <w:rsid w:val="00D67DD8"/>
    <w:rsid w:val="00D703CC"/>
    <w:rsid w:val="00D70662"/>
    <w:rsid w:val="00D713C8"/>
    <w:rsid w:val="00D74811"/>
    <w:rsid w:val="00D767F5"/>
    <w:rsid w:val="00D810C3"/>
    <w:rsid w:val="00D811CE"/>
    <w:rsid w:val="00D8271D"/>
    <w:rsid w:val="00D82A4E"/>
    <w:rsid w:val="00D837DB"/>
    <w:rsid w:val="00D84C36"/>
    <w:rsid w:val="00D90EC0"/>
    <w:rsid w:val="00D91B77"/>
    <w:rsid w:val="00D91E25"/>
    <w:rsid w:val="00D931D9"/>
    <w:rsid w:val="00D9336F"/>
    <w:rsid w:val="00D93CBC"/>
    <w:rsid w:val="00D94C1E"/>
    <w:rsid w:val="00D94EE3"/>
    <w:rsid w:val="00D952B7"/>
    <w:rsid w:val="00D974A4"/>
    <w:rsid w:val="00DA5276"/>
    <w:rsid w:val="00DA6BF1"/>
    <w:rsid w:val="00DB0297"/>
    <w:rsid w:val="00DB1790"/>
    <w:rsid w:val="00DB2761"/>
    <w:rsid w:val="00DB29DF"/>
    <w:rsid w:val="00DB3742"/>
    <w:rsid w:val="00DB4B6B"/>
    <w:rsid w:val="00DB5D8F"/>
    <w:rsid w:val="00DB6D4C"/>
    <w:rsid w:val="00DB7227"/>
    <w:rsid w:val="00DB7EB4"/>
    <w:rsid w:val="00DC005F"/>
    <w:rsid w:val="00DC0FCA"/>
    <w:rsid w:val="00DC2C0C"/>
    <w:rsid w:val="00DC46E2"/>
    <w:rsid w:val="00DC4B62"/>
    <w:rsid w:val="00DC52F9"/>
    <w:rsid w:val="00DC5964"/>
    <w:rsid w:val="00DD0C48"/>
    <w:rsid w:val="00DD28B7"/>
    <w:rsid w:val="00DD3004"/>
    <w:rsid w:val="00DD3702"/>
    <w:rsid w:val="00DD464E"/>
    <w:rsid w:val="00DD4C11"/>
    <w:rsid w:val="00DD74C0"/>
    <w:rsid w:val="00DD7D07"/>
    <w:rsid w:val="00DE2B40"/>
    <w:rsid w:val="00DE3767"/>
    <w:rsid w:val="00DE380F"/>
    <w:rsid w:val="00DE3EA7"/>
    <w:rsid w:val="00DE542E"/>
    <w:rsid w:val="00DF17CB"/>
    <w:rsid w:val="00DF2384"/>
    <w:rsid w:val="00DF27CA"/>
    <w:rsid w:val="00DF40A1"/>
    <w:rsid w:val="00DF4E57"/>
    <w:rsid w:val="00DF5D0A"/>
    <w:rsid w:val="00DF70BB"/>
    <w:rsid w:val="00E035CE"/>
    <w:rsid w:val="00E03AFC"/>
    <w:rsid w:val="00E04BFB"/>
    <w:rsid w:val="00E04CD8"/>
    <w:rsid w:val="00E0575F"/>
    <w:rsid w:val="00E11BDE"/>
    <w:rsid w:val="00E11C2F"/>
    <w:rsid w:val="00E12038"/>
    <w:rsid w:val="00E1310D"/>
    <w:rsid w:val="00E208A6"/>
    <w:rsid w:val="00E21400"/>
    <w:rsid w:val="00E21858"/>
    <w:rsid w:val="00E22002"/>
    <w:rsid w:val="00E2299E"/>
    <w:rsid w:val="00E25594"/>
    <w:rsid w:val="00E307EE"/>
    <w:rsid w:val="00E313EF"/>
    <w:rsid w:val="00E31F4C"/>
    <w:rsid w:val="00E32FE5"/>
    <w:rsid w:val="00E3476A"/>
    <w:rsid w:val="00E356D3"/>
    <w:rsid w:val="00E36B14"/>
    <w:rsid w:val="00E375ED"/>
    <w:rsid w:val="00E379B0"/>
    <w:rsid w:val="00E40881"/>
    <w:rsid w:val="00E411F5"/>
    <w:rsid w:val="00E41B8A"/>
    <w:rsid w:val="00E41E7C"/>
    <w:rsid w:val="00E42052"/>
    <w:rsid w:val="00E426FC"/>
    <w:rsid w:val="00E43594"/>
    <w:rsid w:val="00E474A3"/>
    <w:rsid w:val="00E47E3E"/>
    <w:rsid w:val="00E50B2C"/>
    <w:rsid w:val="00E526C6"/>
    <w:rsid w:val="00E538F3"/>
    <w:rsid w:val="00E54DA4"/>
    <w:rsid w:val="00E56077"/>
    <w:rsid w:val="00E5786F"/>
    <w:rsid w:val="00E66481"/>
    <w:rsid w:val="00E7301E"/>
    <w:rsid w:val="00E80A86"/>
    <w:rsid w:val="00E80C86"/>
    <w:rsid w:val="00E815E7"/>
    <w:rsid w:val="00E82C56"/>
    <w:rsid w:val="00E833EF"/>
    <w:rsid w:val="00E83662"/>
    <w:rsid w:val="00E836B5"/>
    <w:rsid w:val="00E83712"/>
    <w:rsid w:val="00E83E49"/>
    <w:rsid w:val="00E8468D"/>
    <w:rsid w:val="00E865D4"/>
    <w:rsid w:val="00E8701F"/>
    <w:rsid w:val="00E90389"/>
    <w:rsid w:val="00E90A23"/>
    <w:rsid w:val="00E945DC"/>
    <w:rsid w:val="00E9469F"/>
    <w:rsid w:val="00E95BA3"/>
    <w:rsid w:val="00EA0D31"/>
    <w:rsid w:val="00EA3CD0"/>
    <w:rsid w:val="00EA47ED"/>
    <w:rsid w:val="00EA686D"/>
    <w:rsid w:val="00EB29E2"/>
    <w:rsid w:val="00EB32E5"/>
    <w:rsid w:val="00EB3EDC"/>
    <w:rsid w:val="00EB69D7"/>
    <w:rsid w:val="00EB7E56"/>
    <w:rsid w:val="00EC2B89"/>
    <w:rsid w:val="00EC30D7"/>
    <w:rsid w:val="00EC40C0"/>
    <w:rsid w:val="00EC44EF"/>
    <w:rsid w:val="00EC4930"/>
    <w:rsid w:val="00EC4E05"/>
    <w:rsid w:val="00EC6BDF"/>
    <w:rsid w:val="00ED5FC2"/>
    <w:rsid w:val="00EE50C8"/>
    <w:rsid w:val="00EE6922"/>
    <w:rsid w:val="00EE6BC7"/>
    <w:rsid w:val="00EE7D00"/>
    <w:rsid w:val="00EF0B09"/>
    <w:rsid w:val="00EF1253"/>
    <w:rsid w:val="00EF23BA"/>
    <w:rsid w:val="00EF2498"/>
    <w:rsid w:val="00EF37C1"/>
    <w:rsid w:val="00EF60CD"/>
    <w:rsid w:val="00EF69AF"/>
    <w:rsid w:val="00EF7A40"/>
    <w:rsid w:val="00EF7C60"/>
    <w:rsid w:val="00F006F9"/>
    <w:rsid w:val="00F00DAD"/>
    <w:rsid w:val="00F0193E"/>
    <w:rsid w:val="00F02017"/>
    <w:rsid w:val="00F02020"/>
    <w:rsid w:val="00F02C8D"/>
    <w:rsid w:val="00F0335D"/>
    <w:rsid w:val="00F05005"/>
    <w:rsid w:val="00F065BE"/>
    <w:rsid w:val="00F1093F"/>
    <w:rsid w:val="00F11365"/>
    <w:rsid w:val="00F1272B"/>
    <w:rsid w:val="00F152A2"/>
    <w:rsid w:val="00F1576C"/>
    <w:rsid w:val="00F164DF"/>
    <w:rsid w:val="00F21BCF"/>
    <w:rsid w:val="00F22997"/>
    <w:rsid w:val="00F2417A"/>
    <w:rsid w:val="00F2583B"/>
    <w:rsid w:val="00F259A8"/>
    <w:rsid w:val="00F26DD5"/>
    <w:rsid w:val="00F30104"/>
    <w:rsid w:val="00F324A1"/>
    <w:rsid w:val="00F327DF"/>
    <w:rsid w:val="00F332C0"/>
    <w:rsid w:val="00F34AEA"/>
    <w:rsid w:val="00F35281"/>
    <w:rsid w:val="00F3784E"/>
    <w:rsid w:val="00F37A80"/>
    <w:rsid w:val="00F37A9A"/>
    <w:rsid w:val="00F4013B"/>
    <w:rsid w:val="00F40D34"/>
    <w:rsid w:val="00F416D1"/>
    <w:rsid w:val="00F41BB2"/>
    <w:rsid w:val="00F41D56"/>
    <w:rsid w:val="00F42686"/>
    <w:rsid w:val="00F432DB"/>
    <w:rsid w:val="00F46267"/>
    <w:rsid w:val="00F506F4"/>
    <w:rsid w:val="00F5117C"/>
    <w:rsid w:val="00F52044"/>
    <w:rsid w:val="00F52E26"/>
    <w:rsid w:val="00F53286"/>
    <w:rsid w:val="00F54C05"/>
    <w:rsid w:val="00F559E0"/>
    <w:rsid w:val="00F56C1F"/>
    <w:rsid w:val="00F575F3"/>
    <w:rsid w:val="00F6136D"/>
    <w:rsid w:val="00F679A5"/>
    <w:rsid w:val="00F70536"/>
    <w:rsid w:val="00F713BB"/>
    <w:rsid w:val="00F7471D"/>
    <w:rsid w:val="00F757BB"/>
    <w:rsid w:val="00F8125B"/>
    <w:rsid w:val="00F8149B"/>
    <w:rsid w:val="00F8310A"/>
    <w:rsid w:val="00F85202"/>
    <w:rsid w:val="00F85365"/>
    <w:rsid w:val="00F853AB"/>
    <w:rsid w:val="00F86B94"/>
    <w:rsid w:val="00F86F9E"/>
    <w:rsid w:val="00F91B38"/>
    <w:rsid w:val="00F93E03"/>
    <w:rsid w:val="00F97D51"/>
    <w:rsid w:val="00FA09F2"/>
    <w:rsid w:val="00FA1271"/>
    <w:rsid w:val="00FA31AB"/>
    <w:rsid w:val="00FA6AFD"/>
    <w:rsid w:val="00FA74FE"/>
    <w:rsid w:val="00FB0F1C"/>
    <w:rsid w:val="00FB3002"/>
    <w:rsid w:val="00FB3CA0"/>
    <w:rsid w:val="00FB534B"/>
    <w:rsid w:val="00FB6A30"/>
    <w:rsid w:val="00FB6DBA"/>
    <w:rsid w:val="00FB7D33"/>
    <w:rsid w:val="00FC0130"/>
    <w:rsid w:val="00FC19A1"/>
    <w:rsid w:val="00FC1DBB"/>
    <w:rsid w:val="00FC37EB"/>
    <w:rsid w:val="00FC3FC4"/>
    <w:rsid w:val="00FC4E5D"/>
    <w:rsid w:val="00FC6F5D"/>
    <w:rsid w:val="00FD05BB"/>
    <w:rsid w:val="00FD34C4"/>
    <w:rsid w:val="00FD486E"/>
    <w:rsid w:val="00FD54E5"/>
    <w:rsid w:val="00FD5EBA"/>
    <w:rsid w:val="00FD672A"/>
    <w:rsid w:val="00FE163B"/>
    <w:rsid w:val="00FE1C29"/>
    <w:rsid w:val="00FE22B1"/>
    <w:rsid w:val="00FE58A9"/>
    <w:rsid w:val="00FE7EE3"/>
    <w:rsid w:val="00FF07C3"/>
    <w:rsid w:val="00FF31A7"/>
    <w:rsid w:val="00FF6A61"/>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203777"/>
    <o:shapelayout v:ext="edit">
      <o:idmap v:ext="edit" data="1"/>
    </o:shapelayout>
  </w:shapeDefaults>
  <w:decimalSymbol w:val=","/>
  <w:listSeparator w:val=";"/>
  <w14:docId w14:val="030E53BA"/>
  <w15:chartTrackingRefBased/>
  <w15:docId w15:val="{77CBF2FE-FABB-4E4C-AD4B-DEDD38D9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D6"/>
    <w:pPr>
      <w:spacing w:before="120" w:line="283" w:lineRule="auto"/>
      <w:jc w:val="both"/>
    </w:pPr>
    <w:rPr>
      <w:rFonts w:ascii="Cambria" w:hAnsi="Cambria"/>
      <w:spacing w:val="-2"/>
    </w:rPr>
  </w:style>
  <w:style w:type="paragraph" w:styleId="Heading1">
    <w:name w:val="heading 1"/>
    <w:basedOn w:val="Normal"/>
    <w:next w:val="Normal"/>
    <w:link w:val="Heading1Char"/>
    <w:uiPriority w:val="9"/>
    <w:qFormat/>
    <w:rsid w:val="00287891"/>
    <w:pPr>
      <w:keepNext/>
      <w:keepLines/>
      <w:numPr>
        <w:numId w:val="6"/>
      </w:numPr>
      <w:spacing w:line="700" w:lineRule="exact"/>
      <w:jc w:val="left"/>
      <w:outlineLvl w:val="0"/>
    </w:pPr>
    <w:rPr>
      <w:rFonts w:ascii="Verdana" w:eastAsiaTheme="majorEastAsia" w:hAnsi="Verdana" w:cstheme="majorBidi"/>
      <w:color w:val="0067AC" w:themeColor="accent1"/>
      <w:sz w:val="54"/>
      <w:szCs w:val="32"/>
    </w:rPr>
  </w:style>
  <w:style w:type="paragraph" w:styleId="Heading2">
    <w:name w:val="heading 2"/>
    <w:basedOn w:val="Normal"/>
    <w:next w:val="Normal"/>
    <w:link w:val="Heading2Char"/>
    <w:uiPriority w:val="9"/>
    <w:unhideWhenUsed/>
    <w:qFormat/>
    <w:rsid w:val="007A1EB1"/>
    <w:pPr>
      <w:keepNext/>
      <w:keepLines/>
      <w:numPr>
        <w:ilvl w:val="1"/>
        <w:numId w:val="6"/>
      </w:numPr>
      <w:spacing w:line="400" w:lineRule="exact"/>
      <w:ind w:left="0"/>
      <w:jc w:val="left"/>
      <w:outlineLvl w:val="1"/>
    </w:pPr>
    <w:rPr>
      <w:rFonts w:ascii="Verdana" w:eastAsiaTheme="majorEastAsia" w:hAnsi="Verdana" w:cstheme="majorBidi"/>
      <w:color w:val="0067AC" w:themeColor="accent1"/>
      <w:sz w:val="32"/>
      <w:szCs w:val="26"/>
    </w:rPr>
  </w:style>
  <w:style w:type="paragraph" w:styleId="Heading3">
    <w:name w:val="heading 3"/>
    <w:basedOn w:val="Normal"/>
    <w:next w:val="Normal"/>
    <w:link w:val="Heading3Char"/>
    <w:uiPriority w:val="9"/>
    <w:unhideWhenUsed/>
    <w:qFormat/>
    <w:rsid w:val="00C94193"/>
    <w:pPr>
      <w:keepNext/>
      <w:keepLines/>
      <w:outlineLvl w:val="2"/>
    </w:pPr>
    <w:rPr>
      <w:rFonts w:ascii="Verdana" w:eastAsiaTheme="majorEastAsia" w:hAnsi="Verdana" w:cstheme="majorBidi"/>
      <w:color w:val="0067AC" w:themeColor="accent1"/>
      <w:sz w:val="28"/>
      <w:szCs w:val="24"/>
    </w:rPr>
  </w:style>
  <w:style w:type="paragraph" w:styleId="Heading4">
    <w:name w:val="heading 4"/>
    <w:basedOn w:val="Normal"/>
    <w:next w:val="Normal"/>
    <w:link w:val="Heading4Char"/>
    <w:uiPriority w:val="9"/>
    <w:semiHidden/>
    <w:unhideWhenUsed/>
    <w:qFormat/>
    <w:rsid w:val="00DC52F9"/>
    <w:pPr>
      <w:keepNext/>
      <w:keepLines/>
      <w:spacing w:before="40" w:after="0"/>
      <w:outlineLvl w:val="3"/>
    </w:pPr>
    <w:rPr>
      <w:rFonts w:asciiTheme="majorHAnsi" w:eastAsiaTheme="majorEastAsia" w:hAnsiTheme="majorHAnsi" w:cstheme="majorBidi"/>
      <w:i/>
      <w:iCs/>
      <w:color w:val="00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891"/>
    <w:rPr>
      <w:rFonts w:ascii="Verdana" w:eastAsiaTheme="majorEastAsia" w:hAnsi="Verdana" w:cstheme="majorBidi"/>
      <w:color w:val="0067AC" w:themeColor="accent1"/>
      <w:spacing w:val="-2"/>
      <w:sz w:val="54"/>
      <w:szCs w:val="32"/>
    </w:rPr>
  </w:style>
  <w:style w:type="character" w:customStyle="1" w:styleId="Heading2Char">
    <w:name w:val="Heading 2 Char"/>
    <w:basedOn w:val="DefaultParagraphFont"/>
    <w:link w:val="Heading2"/>
    <w:uiPriority w:val="9"/>
    <w:rsid w:val="007A1EB1"/>
    <w:rPr>
      <w:rFonts w:ascii="Verdana" w:eastAsiaTheme="majorEastAsia" w:hAnsi="Verdana" w:cstheme="majorBidi"/>
      <w:color w:val="0067AC" w:themeColor="accent1"/>
      <w:spacing w:val="-2"/>
      <w:sz w:val="32"/>
      <w:szCs w:val="26"/>
    </w:rPr>
  </w:style>
  <w:style w:type="character" w:customStyle="1" w:styleId="Heading3Char">
    <w:name w:val="Heading 3 Char"/>
    <w:basedOn w:val="DefaultParagraphFont"/>
    <w:link w:val="Heading3"/>
    <w:uiPriority w:val="9"/>
    <w:rsid w:val="00C94193"/>
    <w:rPr>
      <w:rFonts w:ascii="Verdana" w:eastAsiaTheme="majorEastAsia" w:hAnsi="Verdana" w:cstheme="majorBidi"/>
      <w:color w:val="0067AC" w:themeColor="accent1"/>
      <w:spacing w:val="-2"/>
      <w:sz w:val="28"/>
      <w:szCs w:val="24"/>
    </w:rPr>
  </w:style>
  <w:style w:type="character" w:customStyle="1" w:styleId="Heading4Char">
    <w:name w:val="Heading 4 Char"/>
    <w:basedOn w:val="DefaultParagraphFont"/>
    <w:link w:val="Heading4"/>
    <w:uiPriority w:val="9"/>
    <w:semiHidden/>
    <w:rsid w:val="00DC52F9"/>
    <w:rPr>
      <w:rFonts w:asciiTheme="majorHAnsi" w:eastAsiaTheme="majorEastAsia" w:hAnsiTheme="majorHAnsi" w:cstheme="majorBidi"/>
      <w:i/>
      <w:iCs/>
      <w:color w:val="004C80" w:themeColor="accent1" w:themeShade="BF"/>
      <w:spacing w:val="-2"/>
    </w:rPr>
  </w:style>
  <w:style w:type="paragraph" w:styleId="Header">
    <w:name w:val="header"/>
    <w:basedOn w:val="Normal"/>
    <w:link w:val="HeaderChar"/>
    <w:uiPriority w:val="99"/>
    <w:unhideWhenUsed/>
    <w:rsid w:val="00403A36"/>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3A36"/>
  </w:style>
  <w:style w:type="paragraph" w:styleId="Footer">
    <w:name w:val="footer"/>
    <w:basedOn w:val="Normal"/>
    <w:link w:val="FooterChar"/>
    <w:uiPriority w:val="99"/>
    <w:unhideWhenUsed/>
    <w:rsid w:val="00403A36"/>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3A36"/>
  </w:style>
  <w:style w:type="paragraph" w:customStyle="1" w:styleId="Modrnadpis">
    <w:name w:val="Modrý nadpis"/>
    <w:basedOn w:val="Normal"/>
    <w:link w:val="ModrnadpisChar"/>
    <w:qFormat/>
    <w:rsid w:val="00287891"/>
    <w:pPr>
      <w:keepNext/>
      <w:keepLines/>
      <w:spacing w:line="360" w:lineRule="exact"/>
    </w:pPr>
    <w:rPr>
      <w:rFonts w:ascii="Verdana" w:hAnsi="Verdana"/>
      <w:color w:val="0067AC" w:themeColor="accent1"/>
      <w:sz w:val="24"/>
      <w:szCs w:val="24"/>
    </w:rPr>
  </w:style>
  <w:style w:type="character" w:customStyle="1" w:styleId="ModrnadpisChar">
    <w:name w:val="Modrý nadpis Char"/>
    <w:basedOn w:val="DefaultParagraphFont"/>
    <w:link w:val="Modrnadpis"/>
    <w:rsid w:val="00287891"/>
    <w:rPr>
      <w:rFonts w:ascii="Verdana" w:hAnsi="Verdana"/>
      <w:color w:val="0067AC" w:themeColor="accent1"/>
      <w:spacing w:val="-2"/>
      <w:sz w:val="24"/>
      <w:szCs w:val="24"/>
    </w:rPr>
  </w:style>
  <w:style w:type="paragraph" w:styleId="ListParagraph">
    <w:name w:val="List Paragraph"/>
    <w:basedOn w:val="Normal"/>
    <w:uiPriority w:val="34"/>
    <w:qFormat/>
    <w:rsid w:val="008B1609"/>
    <w:pPr>
      <w:numPr>
        <w:numId w:val="27"/>
      </w:numPr>
      <w:contextualSpacing/>
    </w:pPr>
  </w:style>
  <w:style w:type="paragraph" w:styleId="Caption">
    <w:name w:val="caption"/>
    <w:aliases w:val="Graf - nad"/>
    <w:basedOn w:val="Normal"/>
    <w:next w:val="Normal"/>
    <w:link w:val="CaptionChar"/>
    <w:uiPriority w:val="35"/>
    <w:unhideWhenUsed/>
    <w:qFormat/>
    <w:rsid w:val="006F6E86"/>
    <w:pPr>
      <w:spacing w:after="200" w:line="240" w:lineRule="auto"/>
    </w:pPr>
    <w:rPr>
      <w:i/>
      <w:iCs/>
      <w:color w:val="44546A" w:themeColor="text2"/>
      <w:sz w:val="18"/>
      <w:szCs w:val="18"/>
    </w:rPr>
  </w:style>
  <w:style w:type="character" w:customStyle="1" w:styleId="CaptionChar">
    <w:name w:val="Caption Char"/>
    <w:aliases w:val="Graf - nad Char"/>
    <w:basedOn w:val="DefaultParagraphFont"/>
    <w:link w:val="Caption"/>
    <w:uiPriority w:val="35"/>
    <w:rsid w:val="0041144A"/>
    <w:rPr>
      <w:rFonts w:ascii="Cambria" w:hAnsi="Cambria"/>
      <w:i/>
      <w:iCs/>
      <w:color w:val="44546A" w:themeColor="text2"/>
      <w:spacing w:val="-2"/>
      <w:sz w:val="18"/>
      <w:szCs w:val="18"/>
    </w:rPr>
  </w:style>
  <w:style w:type="paragraph" w:customStyle="1" w:styleId="Nadpisgrafu">
    <w:name w:val="Nadpis grafu"/>
    <w:basedOn w:val="Heading2"/>
    <w:link w:val="NadpisgrafuChar"/>
    <w:autoRedefine/>
    <w:qFormat/>
    <w:rsid w:val="00AA3C96"/>
    <w:pPr>
      <w:numPr>
        <w:ilvl w:val="0"/>
        <w:numId w:val="0"/>
      </w:numPr>
      <w:spacing w:before="0" w:after="60" w:line="240" w:lineRule="auto"/>
    </w:pPr>
    <w:rPr>
      <w:b/>
      <w:sz w:val="20"/>
      <w:szCs w:val="20"/>
    </w:rPr>
  </w:style>
  <w:style w:type="character" w:customStyle="1" w:styleId="NadpisgrafuChar">
    <w:name w:val="Nadpis grafu Char"/>
    <w:basedOn w:val="Heading2Char"/>
    <w:link w:val="Nadpisgrafu"/>
    <w:rsid w:val="00AA3C96"/>
    <w:rPr>
      <w:rFonts w:ascii="Verdana" w:eastAsiaTheme="majorEastAsia" w:hAnsi="Verdana" w:cstheme="majorBidi"/>
      <w:b/>
      <w:color w:val="0067AC" w:themeColor="accent1"/>
      <w:spacing w:val="-2"/>
      <w:sz w:val="20"/>
      <w:szCs w:val="20"/>
    </w:rPr>
  </w:style>
  <w:style w:type="paragraph" w:customStyle="1" w:styleId="Podgrafom">
    <w:name w:val="Pod grafom"/>
    <w:basedOn w:val="Normal"/>
    <w:link w:val="PodgrafomChar"/>
    <w:qFormat/>
    <w:rsid w:val="00904FE5"/>
    <w:pPr>
      <w:spacing w:before="0" w:after="0" w:line="240" w:lineRule="auto"/>
    </w:pPr>
    <w:rPr>
      <w:rFonts w:ascii="Verdana" w:hAnsi="Verdana"/>
      <w:sz w:val="16"/>
      <w:szCs w:val="16"/>
    </w:rPr>
  </w:style>
  <w:style w:type="character" w:customStyle="1" w:styleId="PodgrafomChar">
    <w:name w:val="Pod grafom Char"/>
    <w:basedOn w:val="DefaultParagraphFont"/>
    <w:link w:val="Podgrafom"/>
    <w:rsid w:val="00904FE5"/>
    <w:rPr>
      <w:rFonts w:ascii="Verdana" w:hAnsi="Verdana"/>
      <w:spacing w:val="-2"/>
      <w:sz w:val="16"/>
      <w:szCs w:val="16"/>
    </w:rPr>
  </w:style>
  <w:style w:type="paragraph" w:styleId="FootnoteText">
    <w:name w:val="footnote text"/>
    <w:basedOn w:val="Normal"/>
    <w:link w:val="FootnoteTextChar"/>
    <w:uiPriority w:val="99"/>
    <w:unhideWhenUsed/>
    <w:qFormat/>
    <w:rsid w:val="002C32FD"/>
    <w:pPr>
      <w:spacing w:after="0"/>
    </w:pPr>
    <w:rPr>
      <w:rFonts w:ascii="Verdana" w:hAnsi="Verdana"/>
      <w:sz w:val="14"/>
      <w:szCs w:val="20"/>
    </w:rPr>
  </w:style>
  <w:style w:type="character" w:customStyle="1" w:styleId="FootnoteTextChar">
    <w:name w:val="Footnote Text Char"/>
    <w:basedOn w:val="DefaultParagraphFont"/>
    <w:link w:val="FootnoteText"/>
    <w:uiPriority w:val="99"/>
    <w:rsid w:val="002C32FD"/>
    <w:rPr>
      <w:rFonts w:ascii="Verdana" w:hAnsi="Verdana"/>
      <w:spacing w:val="-2"/>
      <w:sz w:val="14"/>
      <w:szCs w:val="20"/>
    </w:rPr>
  </w:style>
  <w:style w:type="character" w:styleId="FootnoteReference">
    <w:name w:val="footnote reference"/>
    <w:basedOn w:val="DefaultParagraphFont"/>
    <w:uiPriority w:val="99"/>
    <w:unhideWhenUsed/>
    <w:rsid w:val="00F54C05"/>
    <w:rPr>
      <w:vertAlign w:val="superscript"/>
    </w:rPr>
  </w:style>
  <w:style w:type="paragraph" w:customStyle="1" w:styleId="Podnadpisgrafu">
    <w:name w:val="Podnadpis grafu"/>
    <w:basedOn w:val="2Nadpisgrafu"/>
    <w:link w:val="PodnadpisgrafuChar"/>
    <w:qFormat/>
    <w:rsid w:val="00E5786F"/>
    <w:rPr>
      <w:b w:val="0"/>
      <w:sz w:val="18"/>
    </w:rPr>
  </w:style>
  <w:style w:type="paragraph" w:customStyle="1" w:styleId="2Nadpisgrafu">
    <w:name w:val="2 Nadpis grafu"/>
    <w:basedOn w:val="Nadpisgrafu"/>
    <w:link w:val="2NadpisgrafuChar"/>
    <w:rsid w:val="00287891"/>
    <w:rPr>
      <w:color w:val="auto"/>
    </w:rPr>
  </w:style>
  <w:style w:type="character" w:customStyle="1" w:styleId="2NadpisgrafuChar">
    <w:name w:val="2 Nadpis grafu Char"/>
    <w:basedOn w:val="NadpisgrafuChar"/>
    <w:link w:val="2Nadpisgrafu"/>
    <w:rsid w:val="00287891"/>
    <w:rPr>
      <w:rFonts w:ascii="Verdana" w:eastAsiaTheme="majorEastAsia" w:hAnsi="Verdana" w:cstheme="majorBidi"/>
      <w:b/>
      <w:color w:val="0067AC" w:themeColor="accent1"/>
      <w:spacing w:val="-2"/>
      <w:sz w:val="20"/>
      <w:szCs w:val="20"/>
    </w:rPr>
  </w:style>
  <w:style w:type="character" w:customStyle="1" w:styleId="PodnadpisgrafuChar">
    <w:name w:val="Podnadpis grafu Char"/>
    <w:basedOn w:val="NadpisgrafuChar"/>
    <w:link w:val="Podnadpisgrafu"/>
    <w:rsid w:val="00E5786F"/>
    <w:rPr>
      <w:rFonts w:ascii="Verdana" w:eastAsiaTheme="majorEastAsia" w:hAnsi="Verdana" w:cstheme="majorBidi"/>
      <w:b w:val="0"/>
      <w:color w:val="0067AC" w:themeColor="accent1"/>
      <w:spacing w:val="-2"/>
      <w:sz w:val="18"/>
      <w:szCs w:val="20"/>
    </w:rPr>
  </w:style>
  <w:style w:type="paragraph" w:styleId="BalloonText">
    <w:name w:val="Balloon Text"/>
    <w:basedOn w:val="Normal"/>
    <w:link w:val="BalloonTextChar"/>
    <w:uiPriority w:val="99"/>
    <w:semiHidden/>
    <w:unhideWhenUsed/>
    <w:rsid w:val="007C0A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AE3"/>
    <w:rPr>
      <w:rFonts w:ascii="Segoe UI" w:hAnsi="Segoe UI" w:cs="Segoe UI"/>
      <w:spacing w:val="-2"/>
      <w:sz w:val="18"/>
      <w:szCs w:val="18"/>
    </w:rPr>
  </w:style>
  <w:style w:type="paragraph" w:customStyle="1" w:styleId="gpodgrafom">
    <w:name w:val="g pod grafom"/>
    <w:basedOn w:val="Normal"/>
    <w:rsid w:val="007E6B8A"/>
    <w:pPr>
      <w:spacing w:after="0" w:line="240" w:lineRule="auto"/>
    </w:pPr>
    <w:rPr>
      <w:rFonts w:ascii="Times New Roman Bold" w:hAnsi="Times New Roman Bold" w:cs="Times New Roman"/>
      <w:spacing w:val="0"/>
      <w:sz w:val="20"/>
      <w:szCs w:val="24"/>
    </w:rPr>
  </w:style>
  <w:style w:type="paragraph" w:customStyle="1" w:styleId="Grafnadpis">
    <w:name w:val="Graf nadpis"/>
    <w:basedOn w:val="Normal"/>
    <w:link w:val="GrafnadpisChar"/>
    <w:rsid w:val="007E6B8A"/>
    <w:pPr>
      <w:keepNext/>
      <w:spacing w:after="0" w:line="240" w:lineRule="auto"/>
    </w:pPr>
    <w:rPr>
      <w:rFonts w:ascii="Times New Roman Bold" w:hAnsi="Times New Roman Bold" w:cs="Times New Roman"/>
      <w:b/>
      <w:spacing w:val="0"/>
      <w:sz w:val="24"/>
      <w:szCs w:val="24"/>
      <w:lang w:val="hu-HU"/>
    </w:rPr>
  </w:style>
  <w:style w:type="character" w:customStyle="1" w:styleId="GrafnadpisChar">
    <w:name w:val="Graf nadpis Char"/>
    <w:basedOn w:val="DefaultParagraphFont"/>
    <w:link w:val="Grafnadpis"/>
    <w:rsid w:val="007E6B8A"/>
    <w:rPr>
      <w:rFonts w:ascii="Times New Roman Bold" w:hAnsi="Times New Roman Bold" w:cs="Times New Roman"/>
      <w:b/>
      <w:sz w:val="24"/>
      <w:szCs w:val="24"/>
      <w:lang w:val="hu-HU"/>
    </w:rPr>
  </w:style>
  <w:style w:type="paragraph" w:customStyle="1" w:styleId="Bold">
    <w:name w:val="Bold"/>
    <w:basedOn w:val="Normal"/>
    <w:link w:val="BoldChar"/>
    <w:qFormat/>
    <w:rsid w:val="007E6B8A"/>
    <w:pPr>
      <w:spacing w:after="0" w:line="240" w:lineRule="auto"/>
    </w:pPr>
    <w:rPr>
      <w:rFonts w:ascii="Times New Roman" w:hAnsi="Times New Roman"/>
      <w:b/>
      <w:spacing w:val="0"/>
      <w:sz w:val="24"/>
    </w:rPr>
  </w:style>
  <w:style w:type="character" w:customStyle="1" w:styleId="BoldChar">
    <w:name w:val="Bold Char"/>
    <w:basedOn w:val="DefaultParagraphFont"/>
    <w:link w:val="Bold"/>
    <w:rsid w:val="007E6B8A"/>
    <w:rPr>
      <w:rFonts w:ascii="Times New Roman" w:hAnsi="Times New Roman"/>
      <w:b/>
      <w:sz w:val="24"/>
    </w:rPr>
  </w:style>
  <w:style w:type="paragraph" w:customStyle="1" w:styleId="Graf-pod">
    <w:name w:val="Graf - pod"/>
    <w:basedOn w:val="Normal"/>
    <w:link w:val="Graf-podChar"/>
    <w:rsid w:val="007E6B8A"/>
    <w:pPr>
      <w:keepLines/>
      <w:spacing w:after="0" w:line="240" w:lineRule="auto"/>
    </w:pPr>
    <w:rPr>
      <w:rFonts w:ascii="Times New Roman" w:hAnsi="Times New Roman"/>
      <w:spacing w:val="0"/>
      <w:sz w:val="20"/>
      <w:szCs w:val="20"/>
    </w:rPr>
  </w:style>
  <w:style w:type="character" w:customStyle="1" w:styleId="Graf-podChar">
    <w:name w:val="Graf - pod Char"/>
    <w:basedOn w:val="DefaultParagraphFont"/>
    <w:link w:val="Graf-pod"/>
    <w:rsid w:val="007E6B8A"/>
    <w:rPr>
      <w:rFonts w:ascii="Times New Roman" w:hAnsi="Times New Roman"/>
      <w:sz w:val="20"/>
      <w:szCs w:val="20"/>
    </w:rPr>
  </w:style>
  <w:style w:type="paragraph" w:styleId="NormalWeb">
    <w:name w:val="Normal (Web)"/>
    <w:basedOn w:val="Normal"/>
    <w:uiPriority w:val="99"/>
    <w:semiHidden/>
    <w:unhideWhenUsed/>
    <w:rsid w:val="007E6B8A"/>
    <w:pPr>
      <w:spacing w:before="100" w:beforeAutospacing="1" w:after="100" w:afterAutospacing="1" w:line="240" w:lineRule="auto"/>
      <w:jc w:val="left"/>
    </w:pPr>
    <w:rPr>
      <w:rFonts w:ascii="Times New Roman" w:eastAsiaTheme="minorEastAsia" w:hAnsi="Times New Roman" w:cs="Times New Roman"/>
      <w:spacing w:val="0"/>
      <w:sz w:val="24"/>
      <w:szCs w:val="24"/>
      <w:lang w:eastAsia="sk-SK"/>
    </w:rPr>
  </w:style>
  <w:style w:type="table" w:styleId="TableGrid">
    <w:name w:val="Table Grid"/>
    <w:basedOn w:val="TableNormal"/>
    <w:uiPriority w:val="39"/>
    <w:rsid w:val="00866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720AF"/>
    <w:pPr>
      <w:spacing w:before="240" w:after="0" w:line="259" w:lineRule="auto"/>
      <w:outlineLvl w:val="9"/>
    </w:pPr>
    <w:rPr>
      <w:rFonts w:asciiTheme="majorHAnsi" w:hAnsiTheme="majorHAnsi"/>
      <w:spacing w:val="0"/>
      <w:sz w:val="32"/>
      <w:lang w:val="en-US"/>
    </w:rPr>
  </w:style>
  <w:style w:type="paragraph" w:styleId="TOC1">
    <w:name w:val="toc 1"/>
    <w:basedOn w:val="Normal"/>
    <w:next w:val="Normal"/>
    <w:autoRedefine/>
    <w:uiPriority w:val="39"/>
    <w:unhideWhenUsed/>
    <w:rsid w:val="00FB3002"/>
    <w:pPr>
      <w:tabs>
        <w:tab w:val="left" w:pos="340"/>
        <w:tab w:val="right" w:leader="dot" w:pos="9628"/>
      </w:tabs>
      <w:spacing w:before="167" w:after="60"/>
    </w:pPr>
    <w:rPr>
      <w:noProof/>
      <w:color w:val="0067AC" w:themeColor="accent1"/>
    </w:rPr>
  </w:style>
  <w:style w:type="paragraph" w:styleId="TOC2">
    <w:name w:val="toc 2"/>
    <w:basedOn w:val="Normal"/>
    <w:next w:val="Normal"/>
    <w:autoRedefine/>
    <w:uiPriority w:val="39"/>
    <w:unhideWhenUsed/>
    <w:rsid w:val="00FB3002"/>
    <w:pPr>
      <w:tabs>
        <w:tab w:val="left" w:pos="567"/>
        <w:tab w:val="right" w:leader="dot" w:pos="7360"/>
      </w:tabs>
      <w:spacing w:after="60"/>
    </w:pPr>
  </w:style>
  <w:style w:type="paragraph" w:styleId="TOC3">
    <w:name w:val="toc 3"/>
    <w:basedOn w:val="Normal"/>
    <w:next w:val="Normal"/>
    <w:autoRedefine/>
    <w:uiPriority w:val="39"/>
    <w:unhideWhenUsed/>
    <w:rsid w:val="006F6C27"/>
    <w:pPr>
      <w:tabs>
        <w:tab w:val="left" w:pos="851"/>
      </w:tabs>
      <w:spacing w:after="100"/>
    </w:pPr>
  </w:style>
  <w:style w:type="character" w:styleId="Hyperlink">
    <w:name w:val="Hyperlink"/>
    <w:basedOn w:val="DefaultParagraphFont"/>
    <w:uiPriority w:val="99"/>
    <w:unhideWhenUsed/>
    <w:rsid w:val="00B720AF"/>
    <w:rPr>
      <w:color w:val="0563C1" w:themeColor="hyperlink"/>
      <w:u w:val="single"/>
    </w:rPr>
  </w:style>
  <w:style w:type="paragraph" w:customStyle="1" w:styleId="Mimoobsahu">
    <w:name w:val="Mimo obsahu"/>
    <w:basedOn w:val="Heading1"/>
    <w:link w:val="MimoobsahuChar"/>
    <w:qFormat/>
    <w:rsid w:val="0011347D"/>
    <w:pPr>
      <w:numPr>
        <w:numId w:val="0"/>
      </w:numPr>
    </w:pPr>
  </w:style>
  <w:style w:type="character" w:customStyle="1" w:styleId="MimoobsahuChar">
    <w:name w:val="Mimo obsahu Char"/>
    <w:basedOn w:val="Heading1Char"/>
    <w:link w:val="Mimoobsahu"/>
    <w:rsid w:val="0011347D"/>
    <w:rPr>
      <w:rFonts w:ascii="Verdana" w:eastAsiaTheme="majorEastAsia" w:hAnsi="Verdana" w:cstheme="majorBidi"/>
      <w:color w:val="0067AC" w:themeColor="accent1"/>
      <w:spacing w:val="-2"/>
      <w:sz w:val="54"/>
      <w:szCs w:val="32"/>
    </w:rPr>
  </w:style>
  <w:style w:type="paragraph" w:styleId="Subtitle">
    <w:name w:val="Subtitle"/>
    <w:basedOn w:val="Normal"/>
    <w:next w:val="Normal"/>
    <w:link w:val="SubtitleChar"/>
    <w:uiPriority w:val="11"/>
    <w:qFormat/>
    <w:rsid w:val="00B720AF"/>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B720AF"/>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196A1B"/>
    <w:rPr>
      <w:color w:val="605E5C"/>
      <w:shd w:val="clear" w:color="auto" w:fill="E1DFDD"/>
    </w:rPr>
  </w:style>
  <w:style w:type="paragraph" w:customStyle="1" w:styleId="Nadpismimoobsahu">
    <w:name w:val="Nadpis mimo obsahu"/>
    <w:basedOn w:val="Heading1"/>
    <w:link w:val="NadpismimoobsahuChar"/>
    <w:rsid w:val="00E8468D"/>
  </w:style>
  <w:style w:type="character" w:customStyle="1" w:styleId="NadpismimoobsahuChar">
    <w:name w:val="Nadpis mimo obsahu Char"/>
    <w:basedOn w:val="Heading1Char"/>
    <w:link w:val="Nadpismimoobsahu"/>
    <w:rsid w:val="00E8468D"/>
    <w:rPr>
      <w:rFonts w:ascii="Verdana" w:eastAsiaTheme="majorEastAsia" w:hAnsi="Verdana" w:cstheme="majorBidi"/>
      <w:color w:val="004C80" w:themeColor="accent1" w:themeShade="BF"/>
      <w:spacing w:val="-2"/>
      <w:sz w:val="54"/>
      <w:szCs w:val="32"/>
    </w:rPr>
  </w:style>
  <w:style w:type="paragraph" w:styleId="NoSpacing">
    <w:name w:val="No Spacing"/>
    <w:uiPriority w:val="1"/>
    <w:qFormat/>
    <w:rsid w:val="008D7B37"/>
    <w:pPr>
      <w:spacing w:after="0" w:line="240" w:lineRule="auto"/>
      <w:jc w:val="both"/>
    </w:pPr>
    <w:rPr>
      <w:rFonts w:ascii="Cambria" w:hAnsi="Cambria"/>
      <w:spacing w:val="-2"/>
    </w:rPr>
  </w:style>
  <w:style w:type="paragraph" w:customStyle="1" w:styleId="Nadpistabuky">
    <w:name w:val="Nadpis tabuľky"/>
    <w:basedOn w:val="Normal"/>
    <w:link w:val="NadpistabukyChar"/>
    <w:qFormat/>
    <w:rsid w:val="00287891"/>
    <w:pPr>
      <w:spacing w:after="0" w:line="240" w:lineRule="auto"/>
      <w:jc w:val="center"/>
    </w:pPr>
    <w:rPr>
      <w:rFonts w:ascii="Verdana" w:hAnsi="Verdana"/>
      <w:color w:val="FFFFFF" w:themeColor="background1"/>
      <w:sz w:val="20"/>
      <w:szCs w:val="24"/>
    </w:rPr>
  </w:style>
  <w:style w:type="character" w:customStyle="1" w:styleId="NadpistabukyChar">
    <w:name w:val="Nadpis tabuľky Char"/>
    <w:basedOn w:val="CaptionChar"/>
    <w:link w:val="Nadpistabuky"/>
    <w:rsid w:val="00287891"/>
    <w:rPr>
      <w:rFonts w:ascii="Verdana" w:hAnsi="Verdana"/>
      <w:i w:val="0"/>
      <w:iCs w:val="0"/>
      <w:color w:val="FFFFFF" w:themeColor="background1"/>
      <w:spacing w:val="-2"/>
      <w:sz w:val="20"/>
      <w:szCs w:val="24"/>
    </w:rPr>
  </w:style>
  <w:style w:type="paragraph" w:customStyle="1" w:styleId="Heading1bezsla">
    <w:name w:val="Heading 1 bez čísla"/>
    <w:basedOn w:val="Heading1"/>
    <w:link w:val="Heading1bezslaChar"/>
    <w:qFormat/>
    <w:rsid w:val="00C023A1"/>
    <w:pPr>
      <w:numPr>
        <w:numId w:val="0"/>
      </w:numPr>
    </w:pPr>
    <w:rPr>
      <w:sz w:val="56"/>
    </w:rPr>
  </w:style>
  <w:style w:type="character" w:customStyle="1" w:styleId="Heading1bezslaChar">
    <w:name w:val="Heading 1 bez čísla Char"/>
    <w:basedOn w:val="Heading1Char"/>
    <w:link w:val="Heading1bezsla"/>
    <w:rsid w:val="00C023A1"/>
    <w:rPr>
      <w:rFonts w:ascii="Verdana" w:eastAsiaTheme="majorEastAsia" w:hAnsi="Verdana" w:cstheme="majorBidi"/>
      <w:color w:val="0067AC" w:themeColor="accent1"/>
      <w:spacing w:val="-2"/>
      <w:sz w:val="56"/>
      <w:szCs w:val="32"/>
    </w:rPr>
  </w:style>
  <w:style w:type="paragraph" w:customStyle="1" w:styleId="Nzovboxu">
    <w:name w:val="Názov boxu"/>
    <w:basedOn w:val="Heading2"/>
    <w:link w:val="NzovboxuChar"/>
    <w:qFormat/>
    <w:rsid w:val="00906D52"/>
    <w:pPr>
      <w:numPr>
        <w:ilvl w:val="0"/>
        <w:numId w:val="0"/>
      </w:numPr>
      <w:shd w:val="clear" w:color="auto" w:fill="FFFFFF" w:themeFill="background1"/>
      <w:ind w:left="-2268"/>
    </w:pPr>
    <w:rPr>
      <w:sz w:val="28"/>
    </w:rPr>
  </w:style>
  <w:style w:type="character" w:customStyle="1" w:styleId="NzovboxuChar">
    <w:name w:val="Názov boxu Char"/>
    <w:basedOn w:val="Heading2Char"/>
    <w:link w:val="Nzovboxu"/>
    <w:rsid w:val="00906D52"/>
    <w:rPr>
      <w:rFonts w:ascii="Verdana" w:eastAsiaTheme="majorEastAsia" w:hAnsi="Verdana" w:cstheme="majorBidi"/>
      <w:color w:val="0067AC" w:themeColor="accent1"/>
      <w:spacing w:val="-2"/>
      <w:sz w:val="28"/>
      <w:szCs w:val="26"/>
      <w:shd w:val="clear" w:color="auto" w:fill="FFFFFF" w:themeFill="background1"/>
    </w:rPr>
  </w:style>
  <w:style w:type="paragraph" w:customStyle="1" w:styleId="Textvboxe">
    <w:name w:val="Text v boxe"/>
    <w:basedOn w:val="Normal"/>
    <w:link w:val="TextvboxeChar"/>
    <w:qFormat/>
    <w:rsid w:val="00906D52"/>
    <w:pPr>
      <w:shd w:val="clear" w:color="auto" w:fill="FFFFFF" w:themeFill="background1"/>
      <w:ind w:left="-2268"/>
    </w:pPr>
  </w:style>
  <w:style w:type="character" w:customStyle="1" w:styleId="TextvboxeChar">
    <w:name w:val="Text v boxe Char"/>
    <w:basedOn w:val="DefaultParagraphFont"/>
    <w:link w:val="Textvboxe"/>
    <w:rsid w:val="00906D52"/>
    <w:rPr>
      <w:rFonts w:ascii="Cambria" w:hAnsi="Cambria"/>
      <w:spacing w:val="-2"/>
      <w:shd w:val="clear" w:color="auto" w:fill="FFFFFF" w:themeFill="background1"/>
    </w:rPr>
  </w:style>
  <w:style w:type="paragraph" w:customStyle="1" w:styleId="GPodgrafom0">
    <w:name w:val="G Pod grafom"/>
    <w:basedOn w:val="Normal"/>
    <w:link w:val="GPodgrafomChar"/>
    <w:rsid w:val="00271366"/>
    <w:pPr>
      <w:keepNext/>
      <w:keepLines/>
      <w:spacing w:after="0" w:line="240" w:lineRule="auto"/>
    </w:pPr>
    <w:rPr>
      <w:rFonts w:ascii="Times New Roman" w:hAnsi="Times New Roman"/>
      <w:spacing w:val="0"/>
      <w:sz w:val="20"/>
      <w:szCs w:val="20"/>
    </w:rPr>
  </w:style>
  <w:style w:type="character" w:customStyle="1" w:styleId="GPodgrafomChar">
    <w:name w:val="G Pod grafom Char"/>
    <w:basedOn w:val="DefaultParagraphFont"/>
    <w:link w:val="GPodgrafom0"/>
    <w:rsid w:val="00271366"/>
    <w:rPr>
      <w:rFonts w:ascii="Times New Roman" w:hAnsi="Times New Roman"/>
      <w:sz w:val="20"/>
      <w:szCs w:val="20"/>
    </w:rPr>
  </w:style>
  <w:style w:type="paragraph" w:customStyle="1" w:styleId="Prloha-nzovgrafu">
    <w:name w:val="Príloha - názov grafu"/>
    <w:basedOn w:val="Normal"/>
    <w:link w:val="Prloha-nzovgrafuChar"/>
    <w:qFormat/>
    <w:rsid w:val="00287891"/>
    <w:pPr>
      <w:keepNext/>
      <w:spacing w:after="0" w:line="240" w:lineRule="auto"/>
      <w:jc w:val="left"/>
    </w:pPr>
    <w:rPr>
      <w:rFonts w:ascii="Times New Roman" w:eastAsia="Times New Roman" w:hAnsi="Times New Roman" w:cs="Times New Roman"/>
      <w:b/>
      <w:color w:val="0067AC" w:themeColor="accent1"/>
      <w:spacing w:val="0"/>
      <w:sz w:val="24"/>
      <w:szCs w:val="24"/>
      <w:lang w:val="en-US" w:eastAsia="ar-SA"/>
    </w:rPr>
  </w:style>
  <w:style w:type="character" w:customStyle="1" w:styleId="Prloha-nzovgrafuChar">
    <w:name w:val="Príloha - názov grafu Char"/>
    <w:basedOn w:val="DefaultParagraphFont"/>
    <w:link w:val="Prloha-nzovgrafu"/>
    <w:rsid w:val="00287891"/>
    <w:rPr>
      <w:rFonts w:ascii="Times New Roman" w:eastAsia="Times New Roman" w:hAnsi="Times New Roman" w:cs="Times New Roman"/>
      <w:b/>
      <w:color w:val="0067AC" w:themeColor="accent1"/>
      <w:sz w:val="24"/>
      <w:szCs w:val="24"/>
      <w:lang w:val="en-US" w:eastAsia="ar-SA"/>
    </w:rPr>
  </w:style>
  <w:style w:type="paragraph" w:customStyle="1" w:styleId="Prloha-podgrafom">
    <w:name w:val="Príloha - pod grafom"/>
    <w:basedOn w:val="Normal"/>
    <w:link w:val="Prloha-podgrafomChar"/>
    <w:qFormat/>
    <w:rsid w:val="00287891"/>
    <w:pPr>
      <w:keepLines/>
      <w:tabs>
        <w:tab w:val="left" w:pos="0"/>
      </w:tabs>
      <w:spacing w:before="0" w:after="0" w:line="240" w:lineRule="auto"/>
      <w:jc w:val="left"/>
    </w:pPr>
    <w:rPr>
      <w:rFonts w:ascii="Verdana" w:eastAsia="Times New Roman" w:hAnsi="Verdana" w:cs="Times New Roman"/>
      <w:spacing w:val="0"/>
      <w:sz w:val="14"/>
      <w:szCs w:val="24"/>
    </w:rPr>
  </w:style>
  <w:style w:type="character" w:customStyle="1" w:styleId="Prloha-podgrafomChar">
    <w:name w:val="Príloha - pod grafom Char"/>
    <w:basedOn w:val="DefaultParagraphFont"/>
    <w:link w:val="Prloha-podgrafom"/>
    <w:rsid w:val="00287891"/>
    <w:rPr>
      <w:rFonts w:ascii="Verdana" w:eastAsia="Times New Roman" w:hAnsi="Verdana" w:cs="Times New Roman"/>
      <w:sz w:val="14"/>
      <w:szCs w:val="24"/>
    </w:rPr>
  </w:style>
  <w:style w:type="paragraph" w:customStyle="1" w:styleId="Prloha-nzovsekcie">
    <w:name w:val="Príloha - názov sekcie"/>
    <w:basedOn w:val="Normal"/>
    <w:link w:val="Prloha-nzovsekcieChar"/>
    <w:qFormat/>
    <w:rsid w:val="00287891"/>
    <w:pPr>
      <w:spacing w:after="120" w:line="240" w:lineRule="auto"/>
    </w:pPr>
    <w:rPr>
      <w:rFonts w:ascii="Verdana" w:hAnsi="Verdana" w:cs="Times New Roman"/>
      <w:b/>
      <w:spacing w:val="0"/>
      <w:sz w:val="20"/>
      <w:szCs w:val="24"/>
      <w:lang w:eastAsia="ar-SA"/>
    </w:rPr>
  </w:style>
  <w:style w:type="character" w:customStyle="1" w:styleId="Prloha-nzovsekcieChar">
    <w:name w:val="Príloha - názov sekcie Char"/>
    <w:basedOn w:val="DefaultParagraphFont"/>
    <w:link w:val="Prloha-nzovsekcie"/>
    <w:rsid w:val="00287891"/>
    <w:rPr>
      <w:rFonts w:ascii="Verdana" w:hAnsi="Verdana" w:cs="Times New Roman"/>
      <w:b/>
      <w:sz w:val="20"/>
      <w:szCs w:val="24"/>
      <w:lang w:eastAsia="ar-SA"/>
    </w:rPr>
  </w:style>
  <w:style w:type="paragraph" w:customStyle="1" w:styleId="ggraf">
    <w:name w:val="g_graf"/>
    <w:basedOn w:val="Normal"/>
    <w:rsid w:val="00271366"/>
    <w:pPr>
      <w:keepNext/>
      <w:spacing w:after="120" w:line="240" w:lineRule="auto"/>
      <w:jc w:val="left"/>
    </w:pPr>
    <w:rPr>
      <w:rFonts w:ascii="Times New Roman" w:eastAsia="Times New Roman" w:hAnsi="Times New Roman" w:cs="Times New Roman"/>
      <w:spacing w:val="0"/>
      <w:sz w:val="24"/>
      <w:szCs w:val="24"/>
      <w:lang w:val="en-US"/>
    </w:rPr>
  </w:style>
  <w:style w:type="paragraph" w:customStyle="1" w:styleId="gpodgrafompriloha">
    <w:name w:val="g_pod grafom_priloha"/>
    <w:basedOn w:val="Normal"/>
    <w:link w:val="gpodgrafomprilohaChar"/>
    <w:rsid w:val="00271366"/>
    <w:pPr>
      <w:keepLines/>
      <w:tabs>
        <w:tab w:val="left" w:pos="0"/>
      </w:tabs>
      <w:spacing w:after="0" w:line="240" w:lineRule="auto"/>
      <w:jc w:val="left"/>
    </w:pPr>
    <w:rPr>
      <w:rFonts w:ascii="Arial Narrow" w:eastAsia="Times New Roman" w:hAnsi="Arial Narrow" w:cs="Times New Roman"/>
      <w:spacing w:val="0"/>
      <w:sz w:val="14"/>
      <w:szCs w:val="24"/>
    </w:rPr>
  </w:style>
  <w:style w:type="character" w:customStyle="1" w:styleId="gpodgrafomprilohaChar">
    <w:name w:val="g_pod grafom_priloha Char"/>
    <w:basedOn w:val="DefaultParagraphFont"/>
    <w:link w:val="gpodgrafompriloha"/>
    <w:rsid w:val="00271366"/>
    <w:rPr>
      <w:rFonts w:ascii="Arial Narrow" w:eastAsia="Times New Roman" w:hAnsi="Arial Narrow" w:cs="Times New Roman"/>
      <w:sz w:val="14"/>
      <w:szCs w:val="24"/>
    </w:rPr>
  </w:style>
  <w:style w:type="paragraph" w:customStyle="1" w:styleId="BasicParagraph">
    <w:name w:val="[Basic Paragraph]"/>
    <w:basedOn w:val="Normal"/>
    <w:uiPriority w:val="99"/>
    <w:rsid w:val="003C63D8"/>
    <w:pPr>
      <w:autoSpaceDE w:val="0"/>
      <w:autoSpaceDN w:val="0"/>
      <w:adjustRightInd w:val="0"/>
      <w:spacing w:after="0" w:line="288" w:lineRule="auto"/>
      <w:jc w:val="left"/>
      <w:textAlignment w:val="center"/>
    </w:pPr>
    <w:rPr>
      <w:rFonts w:ascii="MinionPro-Regular" w:hAnsi="MinionPro-Regular" w:cs="MinionPro-Regular"/>
      <w:color w:val="000000"/>
      <w:spacing w:val="0"/>
      <w:sz w:val="24"/>
      <w:szCs w:val="24"/>
      <w:lang w:val="en-GB"/>
    </w:rPr>
  </w:style>
  <w:style w:type="paragraph" w:customStyle="1" w:styleId="sloboxu">
    <w:name w:val="Číslo boxu"/>
    <w:basedOn w:val="Nzovboxu"/>
    <w:link w:val="sloboxuChar"/>
    <w:qFormat/>
    <w:rsid w:val="00DC52F9"/>
    <w:pPr>
      <w:spacing w:before="0" w:after="0"/>
    </w:pPr>
    <w:rPr>
      <w:b/>
      <w:sz w:val="24"/>
      <w:szCs w:val="32"/>
    </w:rPr>
  </w:style>
  <w:style w:type="character" w:customStyle="1" w:styleId="sloboxuChar">
    <w:name w:val="Číslo boxu Char"/>
    <w:basedOn w:val="NzovboxuChar"/>
    <w:link w:val="sloboxu"/>
    <w:rsid w:val="00DC52F9"/>
    <w:rPr>
      <w:rFonts w:ascii="Verdana" w:eastAsiaTheme="majorEastAsia" w:hAnsi="Verdana" w:cstheme="majorBidi"/>
      <w:b/>
      <w:color w:val="0067AC" w:themeColor="accent1"/>
      <w:spacing w:val="-2"/>
      <w:sz w:val="24"/>
      <w:szCs w:val="32"/>
      <w:shd w:val="clear" w:color="auto" w:fill="FFFFFF" w:themeFill="background1"/>
    </w:rPr>
  </w:style>
  <w:style w:type="paragraph" w:customStyle="1" w:styleId="Boxnadpisgrafu">
    <w:name w:val="Box_nadpis grafu"/>
    <w:basedOn w:val="Nadpisgrafu"/>
    <w:link w:val="BoxnadpisgrafuChar"/>
    <w:qFormat/>
    <w:rsid w:val="00906D52"/>
    <w:pPr>
      <w:shd w:val="clear" w:color="auto" w:fill="FFFFFF" w:themeFill="background1"/>
      <w:spacing w:after="0" w:line="283" w:lineRule="auto"/>
      <w:ind w:left="-2268"/>
    </w:pPr>
  </w:style>
  <w:style w:type="character" w:customStyle="1" w:styleId="BoxnadpisgrafuChar">
    <w:name w:val="Box_nadpis grafu Char"/>
    <w:basedOn w:val="NadpisgrafuChar"/>
    <w:link w:val="Boxnadpisgrafu"/>
    <w:rsid w:val="00906D52"/>
    <w:rPr>
      <w:rFonts w:ascii="Verdana" w:eastAsiaTheme="majorEastAsia" w:hAnsi="Verdana" w:cstheme="majorBidi"/>
      <w:b/>
      <w:color w:val="0067AC" w:themeColor="accent1"/>
      <w:spacing w:val="-2"/>
      <w:sz w:val="20"/>
      <w:szCs w:val="20"/>
      <w:shd w:val="clear" w:color="auto" w:fill="FFFFFF" w:themeFill="background1"/>
    </w:rPr>
  </w:style>
  <w:style w:type="paragraph" w:customStyle="1" w:styleId="Boxpodnadpisgrafu">
    <w:name w:val="Box_podnadpis grafu"/>
    <w:basedOn w:val="Boxpodgrafom"/>
    <w:link w:val="BoxpodnadpisgrafuChar"/>
    <w:qFormat/>
    <w:rsid w:val="00C7300F"/>
    <w:pPr>
      <w:keepNext/>
    </w:pPr>
  </w:style>
  <w:style w:type="paragraph" w:customStyle="1" w:styleId="Boxpodgrafom">
    <w:name w:val="Box_pod grafom"/>
    <w:basedOn w:val="Podgrafom"/>
    <w:link w:val="BoxpodgrafomChar"/>
    <w:qFormat/>
    <w:rsid w:val="00906D52"/>
    <w:pPr>
      <w:keepLines/>
      <w:shd w:val="clear" w:color="auto" w:fill="FFFFFF" w:themeFill="background1"/>
      <w:spacing w:line="283" w:lineRule="auto"/>
      <w:ind w:left="-2268"/>
    </w:pPr>
  </w:style>
  <w:style w:type="character" w:customStyle="1" w:styleId="BoxpodgrafomChar">
    <w:name w:val="Box_pod grafom Char"/>
    <w:basedOn w:val="PodgrafomChar"/>
    <w:link w:val="Boxpodgrafom"/>
    <w:rsid w:val="00906D52"/>
    <w:rPr>
      <w:rFonts w:ascii="Verdana" w:hAnsi="Verdana"/>
      <w:spacing w:val="-2"/>
      <w:sz w:val="16"/>
      <w:szCs w:val="16"/>
      <w:shd w:val="clear" w:color="auto" w:fill="FFFFFF" w:themeFill="background1"/>
    </w:rPr>
  </w:style>
  <w:style w:type="character" w:customStyle="1" w:styleId="BoxpodnadpisgrafuChar">
    <w:name w:val="Box_podnadpis grafu Char"/>
    <w:basedOn w:val="PodnadpisgrafuChar"/>
    <w:link w:val="Boxpodnadpisgrafu"/>
    <w:rsid w:val="00C7300F"/>
    <w:rPr>
      <w:rFonts w:ascii="Verdana" w:eastAsiaTheme="majorEastAsia" w:hAnsi="Verdana" w:cstheme="majorBidi"/>
      <w:b w:val="0"/>
      <w:color w:val="0067AC" w:themeColor="accent1"/>
      <w:spacing w:val="-2"/>
      <w:sz w:val="18"/>
      <w:szCs w:val="18"/>
    </w:rPr>
  </w:style>
  <w:style w:type="character" w:styleId="CommentReference">
    <w:name w:val="annotation reference"/>
    <w:basedOn w:val="DefaultParagraphFont"/>
    <w:uiPriority w:val="99"/>
    <w:semiHidden/>
    <w:unhideWhenUsed/>
    <w:rsid w:val="00EC40C0"/>
    <w:rPr>
      <w:sz w:val="16"/>
      <w:szCs w:val="16"/>
    </w:rPr>
  </w:style>
  <w:style w:type="paragraph" w:customStyle="1" w:styleId="Poznamka">
    <w:name w:val="Poznamka"/>
    <w:link w:val="PoznamkaChar"/>
    <w:qFormat/>
    <w:rsid w:val="00EC40C0"/>
    <w:pPr>
      <w:spacing w:after="120" w:line="276" w:lineRule="auto"/>
    </w:pPr>
    <w:rPr>
      <w:rFonts w:ascii="Verdana" w:hAnsi="Verdana"/>
      <w:sz w:val="14"/>
      <w:szCs w:val="20"/>
    </w:rPr>
  </w:style>
  <w:style w:type="character" w:customStyle="1" w:styleId="PoznamkaChar">
    <w:name w:val="Poznamka Char"/>
    <w:basedOn w:val="DefaultParagraphFont"/>
    <w:link w:val="Poznamka"/>
    <w:rsid w:val="00EC40C0"/>
    <w:rPr>
      <w:rFonts w:ascii="Verdana" w:hAnsi="Verdana"/>
      <w:sz w:val="14"/>
      <w:szCs w:val="20"/>
    </w:rPr>
  </w:style>
  <w:style w:type="paragraph" w:styleId="CommentText">
    <w:name w:val="annotation text"/>
    <w:basedOn w:val="Normal"/>
    <w:link w:val="CommentTextChar"/>
    <w:uiPriority w:val="99"/>
    <w:semiHidden/>
    <w:unhideWhenUsed/>
    <w:rsid w:val="00EC40C0"/>
    <w:pPr>
      <w:suppressAutoHyphens/>
      <w:autoSpaceDN w:val="0"/>
      <w:spacing w:before="0" w:after="120" w:line="240" w:lineRule="auto"/>
      <w:jc w:val="left"/>
      <w:textAlignment w:val="baseline"/>
    </w:pPr>
    <w:rPr>
      <w:rFonts w:eastAsia="Calibri" w:cs="Times New Roman"/>
      <w:spacing w:val="0"/>
      <w:sz w:val="20"/>
      <w:szCs w:val="20"/>
    </w:rPr>
  </w:style>
  <w:style w:type="character" w:customStyle="1" w:styleId="CommentTextChar">
    <w:name w:val="Comment Text Char"/>
    <w:basedOn w:val="DefaultParagraphFont"/>
    <w:link w:val="CommentText"/>
    <w:uiPriority w:val="99"/>
    <w:semiHidden/>
    <w:rsid w:val="00EC40C0"/>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60675"/>
    <w:pPr>
      <w:suppressAutoHyphens w:val="0"/>
      <w:autoSpaceDN/>
      <w:spacing w:before="120" w:after="160"/>
      <w:jc w:val="both"/>
      <w:textAlignment w:val="auto"/>
    </w:pPr>
    <w:rPr>
      <w:rFonts w:eastAsiaTheme="minorHAnsi" w:cstheme="minorBidi"/>
      <w:b/>
      <w:bCs/>
      <w:spacing w:val="-2"/>
    </w:rPr>
  </w:style>
  <w:style w:type="character" w:customStyle="1" w:styleId="CommentSubjectChar">
    <w:name w:val="Comment Subject Char"/>
    <w:basedOn w:val="CommentTextChar"/>
    <w:link w:val="CommentSubject"/>
    <w:uiPriority w:val="99"/>
    <w:semiHidden/>
    <w:rsid w:val="00260675"/>
    <w:rPr>
      <w:rFonts w:ascii="Cambria" w:eastAsia="Calibri" w:hAnsi="Cambria" w:cs="Times New Roman"/>
      <w:b/>
      <w:bCs/>
      <w:spacing w:val="-2"/>
      <w:sz w:val="20"/>
      <w:szCs w:val="20"/>
    </w:rPr>
  </w:style>
  <w:style w:type="paragraph" w:styleId="TOC4">
    <w:name w:val="toc 4"/>
    <w:basedOn w:val="Normal"/>
    <w:next w:val="Normal"/>
    <w:autoRedefine/>
    <w:uiPriority w:val="39"/>
    <w:unhideWhenUsed/>
    <w:rsid w:val="00FB3002"/>
    <w:pPr>
      <w:spacing w:before="0" w:after="100" w:line="259" w:lineRule="auto"/>
      <w:ind w:left="660"/>
      <w:jc w:val="left"/>
    </w:pPr>
    <w:rPr>
      <w:rFonts w:asciiTheme="minorHAnsi" w:eastAsiaTheme="minorEastAsia" w:hAnsiTheme="minorHAnsi"/>
      <w:spacing w:val="0"/>
      <w:lang w:val="en-GB" w:eastAsia="en-GB"/>
    </w:rPr>
  </w:style>
  <w:style w:type="paragraph" w:styleId="TOC5">
    <w:name w:val="toc 5"/>
    <w:basedOn w:val="Normal"/>
    <w:next w:val="Normal"/>
    <w:autoRedefine/>
    <w:uiPriority w:val="39"/>
    <w:unhideWhenUsed/>
    <w:rsid w:val="00FB3002"/>
    <w:pPr>
      <w:spacing w:before="0" w:after="100" w:line="259" w:lineRule="auto"/>
      <w:ind w:left="880"/>
      <w:jc w:val="left"/>
    </w:pPr>
    <w:rPr>
      <w:rFonts w:asciiTheme="minorHAnsi" w:eastAsiaTheme="minorEastAsia" w:hAnsiTheme="minorHAnsi"/>
      <w:spacing w:val="0"/>
      <w:lang w:val="en-GB" w:eastAsia="en-GB"/>
    </w:rPr>
  </w:style>
  <w:style w:type="paragraph" w:styleId="TOC6">
    <w:name w:val="toc 6"/>
    <w:basedOn w:val="Normal"/>
    <w:next w:val="Normal"/>
    <w:autoRedefine/>
    <w:uiPriority w:val="39"/>
    <w:unhideWhenUsed/>
    <w:rsid w:val="00FB3002"/>
    <w:pPr>
      <w:spacing w:before="0" w:after="100" w:line="259" w:lineRule="auto"/>
      <w:ind w:left="1100"/>
      <w:jc w:val="left"/>
    </w:pPr>
    <w:rPr>
      <w:rFonts w:asciiTheme="minorHAnsi" w:eastAsiaTheme="minorEastAsia" w:hAnsiTheme="minorHAnsi"/>
      <w:spacing w:val="0"/>
      <w:lang w:val="en-GB" w:eastAsia="en-GB"/>
    </w:rPr>
  </w:style>
  <w:style w:type="paragraph" w:styleId="TOC7">
    <w:name w:val="toc 7"/>
    <w:basedOn w:val="Normal"/>
    <w:next w:val="Normal"/>
    <w:autoRedefine/>
    <w:uiPriority w:val="39"/>
    <w:unhideWhenUsed/>
    <w:rsid w:val="00FB3002"/>
    <w:pPr>
      <w:spacing w:before="0" w:after="100" w:line="259" w:lineRule="auto"/>
      <w:ind w:left="1320"/>
      <w:jc w:val="left"/>
    </w:pPr>
    <w:rPr>
      <w:rFonts w:asciiTheme="minorHAnsi" w:eastAsiaTheme="minorEastAsia" w:hAnsiTheme="minorHAnsi"/>
      <w:spacing w:val="0"/>
      <w:lang w:val="en-GB" w:eastAsia="en-GB"/>
    </w:rPr>
  </w:style>
  <w:style w:type="paragraph" w:styleId="TOC8">
    <w:name w:val="toc 8"/>
    <w:basedOn w:val="Normal"/>
    <w:next w:val="Normal"/>
    <w:autoRedefine/>
    <w:uiPriority w:val="39"/>
    <w:unhideWhenUsed/>
    <w:rsid w:val="00FB3002"/>
    <w:pPr>
      <w:spacing w:before="0" w:after="100" w:line="259" w:lineRule="auto"/>
      <w:ind w:left="1540"/>
      <w:jc w:val="left"/>
    </w:pPr>
    <w:rPr>
      <w:rFonts w:asciiTheme="minorHAnsi" w:eastAsiaTheme="minorEastAsia" w:hAnsiTheme="minorHAnsi"/>
      <w:spacing w:val="0"/>
      <w:lang w:val="en-GB" w:eastAsia="en-GB"/>
    </w:rPr>
  </w:style>
  <w:style w:type="paragraph" w:styleId="TOC9">
    <w:name w:val="toc 9"/>
    <w:basedOn w:val="Normal"/>
    <w:next w:val="Normal"/>
    <w:autoRedefine/>
    <w:uiPriority w:val="39"/>
    <w:unhideWhenUsed/>
    <w:rsid w:val="00FB3002"/>
    <w:pPr>
      <w:spacing w:before="0" w:after="100" w:line="259" w:lineRule="auto"/>
      <w:ind w:left="1760"/>
      <w:jc w:val="left"/>
    </w:pPr>
    <w:rPr>
      <w:rFonts w:asciiTheme="minorHAnsi" w:eastAsiaTheme="minorEastAsia" w:hAnsiTheme="minorHAnsi"/>
      <w:spacing w:val="0"/>
      <w:lang w:val="en-GB" w:eastAsia="en-GB"/>
    </w:rPr>
  </w:style>
  <w:style w:type="paragraph" w:styleId="Revision">
    <w:name w:val="Revision"/>
    <w:hidden/>
    <w:uiPriority w:val="99"/>
    <w:semiHidden/>
    <w:rsid w:val="00DB29DF"/>
    <w:pPr>
      <w:spacing w:after="0" w:line="240" w:lineRule="auto"/>
    </w:pPr>
    <w:rPr>
      <w:rFonts w:ascii="Cambria" w:hAnsi="Cambria"/>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796308">
      <w:bodyDiv w:val="1"/>
      <w:marLeft w:val="0"/>
      <w:marRight w:val="0"/>
      <w:marTop w:val="0"/>
      <w:marBottom w:val="0"/>
      <w:divBdr>
        <w:top w:val="none" w:sz="0" w:space="0" w:color="auto"/>
        <w:left w:val="none" w:sz="0" w:space="0" w:color="auto"/>
        <w:bottom w:val="none" w:sz="0" w:space="0" w:color="auto"/>
        <w:right w:val="none" w:sz="0" w:space="0" w:color="auto"/>
      </w:divBdr>
    </w:div>
    <w:div w:id="1191526362">
      <w:bodyDiv w:val="1"/>
      <w:marLeft w:val="0"/>
      <w:marRight w:val="0"/>
      <w:marTop w:val="0"/>
      <w:marBottom w:val="0"/>
      <w:divBdr>
        <w:top w:val="none" w:sz="0" w:space="0" w:color="auto"/>
        <w:left w:val="none" w:sz="0" w:space="0" w:color="auto"/>
        <w:bottom w:val="none" w:sz="0" w:space="0" w:color="auto"/>
        <w:right w:val="none" w:sz="0" w:space="0" w:color="auto"/>
      </w:divBdr>
    </w:div>
    <w:div w:id="207762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hart" Target="charts/chart7.xml"/><Relationship Id="rId26" Type="http://schemas.openxmlformats.org/officeDocument/2006/relationships/image" Target="media/image8.png"/><Relationship Id="rId39" Type="http://schemas.openxmlformats.org/officeDocument/2006/relationships/chart" Target="charts/chart2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7.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chart" Target="charts/chart16.xml"/><Relationship Id="rId38" Type="http://schemas.openxmlformats.org/officeDocument/2006/relationships/chart" Target="charts/chart2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5.emf"/><Relationship Id="rId29" Type="http://schemas.openxmlformats.org/officeDocument/2006/relationships/image" Target="media/image7.emf"/><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2.xml"/><Relationship Id="rId36" Type="http://schemas.openxmlformats.org/officeDocument/2006/relationships/chart" Target="charts/chart19.xm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1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nbs.sk/_img/Documents/_Legislativa/_Vestnik/ODP_1_2020.pdf" TargetMode="External"/><Relationship Id="rId2" Type="http://schemas.openxmlformats.org/officeDocument/2006/relationships/hyperlink" Target="https://www.employment.gov.sk/files/slovensky/ministerstvo/analyticke-centrum/analyticke-komentare/isp_2020_prva_pomoc_august2020_aktual3_final.pdf" TargetMode="External"/><Relationship Id="rId1" Type="http://schemas.openxmlformats.org/officeDocument/2006/relationships/hyperlink" Target="https://www.nbs.sk/_img/Documents/PUBLIK/OP_3-2020-Prieskum_zadlzenych_domacnosti.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2" Type="http://schemas.openxmlformats.org/officeDocument/2006/relationships/oleObject" Target="file:///\\fsarchivopm\archivopm\Data_a_monitoring\Data_Domacnosti\Monitoring_domacnosti\2020-06\grafy.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podniky%20v%20riziku.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podniky%20v%20riziku.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podniky%20v%20riziku.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ZISK%20a%20OP.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Hajdiak\Desktop\Analyzy\FSR\2020_06\Data_ZISK_OP.xlsm"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ychtarik\Desktop\podklad_PPT-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Kapit&#225;lov&#253;%20vank&#250;&#353;_30_6_2020.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17.xml.rels><?xml version="1.0" encoding="UTF-8" standalone="yes"?>
<Relationships xmlns="http://schemas.openxmlformats.org/package/2006/relationships"><Relationship Id="rId3" Type="http://schemas.openxmlformats.org/officeDocument/2006/relationships/oleObject" Target="file:///\\fshome\home\Rychtarik\buffer%20guide_karol+po%20evaku&#225;cii.xlsm"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4.xml"/></Relationships>
</file>

<file path=word/charts/_rels/chart18.xml.rels><?xml version="1.0" encoding="UTF-8" standalone="yes"?>
<Relationships xmlns="http://schemas.openxmlformats.org/package/2006/relationships"><Relationship Id="rId3" Type="http://schemas.openxmlformats.org/officeDocument/2006/relationships/oleObject" Target="file:///\\fshome\home\Rychtarik\Likvidita\likvidita-grafy-nov&#253;.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rychtarik\Downloads\statistics%20(44).csv"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sarchivopm\archivopm\Data_a_monitoring\Data_Domacnosti\Monitoring_domacnosti\2020-06\grafy.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sarchivopm\archivopm\Data_a_monitoring\Data%20poistovne\Monitoring%20pois&#357;ovn&#237;\2020-06\Spr&#225;va%20do%20vl&#225;dy\grafy2.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fsarchivopm\archivopm\Data_a_monitoring\Data%20poistovne\Monitoring%20pois&#357;ovn&#237;\2020-06\Spr&#225;va%20do%20vl&#225;dy\grfy.xlsx" TargetMode="External"/><Relationship Id="rId2" Type="http://schemas.microsoft.com/office/2011/relationships/chartColorStyle" Target="colors17.xml"/><Relationship Id="rId1" Type="http://schemas.microsoft.com/office/2011/relationships/chartStyle" Target="style17.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sarchivopm\archivopm\Data_a_monitoring\Data%20poistovne\Monitoring%20pois&#357;ovn&#237;\2020-06\Spr&#225;va%20do%20vl&#225;dy\grfy.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sarchivopm\archivopm\Anal&#253;zy%20a%20spr&#225;vy\2020-06\Sprava%20do%20vlady\Grafy\DSS,%20DDS,%20KI.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fsarchivopm\archivopm\Anal&#253;zy%20a%20spr&#225;vy\2020-06\Sprava%20do%20vlady\Grafy\DSS,%20DDS,%20KI.xlsx" TargetMode="External"/><Relationship Id="rId1" Type="http://schemas.openxmlformats.org/officeDocument/2006/relationships/themeOverride" Target="../theme/themeOverride7.xml"/></Relationships>
</file>

<file path=word/charts/_rels/chart3.xml.rels><?xml version="1.0" encoding="UTF-8" standalone="yes"?>
<Relationships xmlns="http://schemas.openxmlformats.org/package/2006/relationships"><Relationship Id="rId1" Type="http://schemas.openxmlformats.org/officeDocument/2006/relationships/oleObject" Target="file:///\\fsarchivopm\archivopm\Anal&#253;zy%20a%20spr&#225;vy\2020-06\Sprava%20do%20vlady\Grafy\Grafy%20-%20retail%20-%20prieskum%20Focu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archivopm\archivopm\Anal&#253;zy%20a%20spr&#225;vy\2020-06\Sprava%20do%20vlady\Grafy\Grafy%20-%20retail%20-%20prieskum%20Focu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retail%20-%20prieskum%20Focus.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retail%20-%20prieskum%20Focu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2" Type="http://schemas.openxmlformats.org/officeDocument/2006/relationships/oleObject" Target="file:///\\fsarchivopm\archivopm\Anal&#253;zy%20a%20spr&#225;vy\2020-06\Sprava%20do%20vlady\Grafy\Grafy%20-%20podniky.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podniky.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fsarchivopm\archivopm\Anal&#253;zy%20a%20spr&#225;vy\2020-06\Sprava%20do%20vlady\Grafy\Grafy%20-%20podniky%20v%20riziku.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070209973753292E-2"/>
          <c:y val="3.75116652085156E-2"/>
          <c:w val="0.87079803751661355"/>
          <c:h val="0.76230612811623799"/>
        </c:manualLayout>
      </c:layout>
      <c:lineChart>
        <c:grouping val="standard"/>
        <c:varyColors val="0"/>
        <c:ser>
          <c:idx val="5"/>
          <c:order val="0"/>
          <c:tx>
            <c:strRef>
              <c:f>uNb!$A$2</c:f>
              <c:strCache>
                <c:ptCount val="1"/>
                <c:pt idx="0">
                  <c:v>2017</c:v>
                </c:pt>
              </c:strCache>
            </c:strRef>
          </c:tx>
          <c:spPr>
            <a:ln>
              <a:solidFill>
                <a:srgbClr val="A2A9AD"/>
              </a:solidFill>
            </a:ln>
          </c:spPr>
          <c:marker>
            <c:symbol val="none"/>
          </c:marker>
          <c:cat>
            <c:strRef>
              <c:f>uNb!$B$1:$M$1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uNb!$B$2:$M$2</c:f>
              <c:numCache>
                <c:formatCode>#,##0</c:formatCode>
                <c:ptCount val="12"/>
                <c:pt idx="0">
                  <c:v>163035</c:v>
                </c:pt>
                <c:pt idx="1">
                  <c:v>207395</c:v>
                </c:pt>
                <c:pt idx="2">
                  <c:v>310160</c:v>
                </c:pt>
                <c:pt idx="3">
                  <c:v>227331</c:v>
                </c:pt>
                <c:pt idx="4">
                  <c:v>292175</c:v>
                </c:pt>
                <c:pt idx="5">
                  <c:v>279666</c:v>
                </c:pt>
                <c:pt idx="6">
                  <c:v>234397</c:v>
                </c:pt>
                <c:pt idx="7">
                  <c:v>249056</c:v>
                </c:pt>
                <c:pt idx="8">
                  <c:v>199744</c:v>
                </c:pt>
                <c:pt idx="9">
                  <c:v>245833</c:v>
                </c:pt>
                <c:pt idx="10">
                  <c:v>248942</c:v>
                </c:pt>
                <c:pt idx="11">
                  <c:v>253990</c:v>
                </c:pt>
              </c:numCache>
            </c:numRef>
          </c:val>
          <c:smooth val="0"/>
          <c:extLst>
            <c:ext xmlns:c16="http://schemas.microsoft.com/office/drawing/2014/chart" uri="{C3380CC4-5D6E-409C-BE32-E72D297353CC}">
              <c16:uniqueId val="{00000000-98BD-480A-8637-1F7B3F8194AE}"/>
            </c:ext>
          </c:extLst>
        </c:ser>
        <c:ser>
          <c:idx val="0"/>
          <c:order val="1"/>
          <c:tx>
            <c:strRef>
              <c:f>uNb!$A$3</c:f>
              <c:strCache>
                <c:ptCount val="1"/>
                <c:pt idx="0">
                  <c:v>2018</c:v>
                </c:pt>
              </c:strCache>
            </c:strRef>
          </c:tx>
          <c:spPr>
            <a:ln>
              <a:solidFill>
                <a:schemeClr val="accent4"/>
              </a:solidFill>
            </a:ln>
          </c:spPr>
          <c:marker>
            <c:symbol val="none"/>
          </c:marker>
          <c:cat>
            <c:strRef>
              <c:f>uNb!$B$1:$M$1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uNb!$B$3:$M$3</c:f>
              <c:numCache>
                <c:formatCode>#,##0</c:formatCode>
                <c:ptCount val="12"/>
                <c:pt idx="0">
                  <c:v>213489</c:v>
                </c:pt>
                <c:pt idx="1">
                  <c:v>188467</c:v>
                </c:pt>
                <c:pt idx="2">
                  <c:v>252015</c:v>
                </c:pt>
                <c:pt idx="3">
                  <c:v>236758</c:v>
                </c:pt>
                <c:pt idx="4">
                  <c:v>332321</c:v>
                </c:pt>
                <c:pt idx="5">
                  <c:v>349360</c:v>
                </c:pt>
                <c:pt idx="6">
                  <c:v>323077</c:v>
                </c:pt>
                <c:pt idx="7">
                  <c:v>283004</c:v>
                </c:pt>
                <c:pt idx="8">
                  <c:v>229835</c:v>
                </c:pt>
                <c:pt idx="9">
                  <c:v>268891</c:v>
                </c:pt>
                <c:pt idx="10">
                  <c:v>247542</c:v>
                </c:pt>
                <c:pt idx="11">
                  <c:v>187321</c:v>
                </c:pt>
              </c:numCache>
            </c:numRef>
          </c:val>
          <c:smooth val="0"/>
          <c:extLst>
            <c:ext xmlns:c16="http://schemas.microsoft.com/office/drawing/2014/chart" uri="{C3380CC4-5D6E-409C-BE32-E72D297353CC}">
              <c16:uniqueId val="{00000001-98BD-480A-8637-1F7B3F8194AE}"/>
            </c:ext>
          </c:extLst>
        </c:ser>
        <c:ser>
          <c:idx val="1"/>
          <c:order val="2"/>
          <c:tx>
            <c:strRef>
              <c:f>uNb!$A$4</c:f>
              <c:strCache>
                <c:ptCount val="1"/>
                <c:pt idx="0">
                  <c:v>2019</c:v>
                </c:pt>
              </c:strCache>
            </c:strRef>
          </c:tx>
          <c:spPr>
            <a:ln>
              <a:solidFill>
                <a:srgbClr val="D15F27"/>
              </a:solidFill>
            </a:ln>
          </c:spPr>
          <c:marker>
            <c:symbol val="none"/>
          </c:marker>
          <c:cat>
            <c:strRef>
              <c:f>uNb!$B$1:$M$1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uNb!$B$4:$M$4</c:f>
              <c:numCache>
                <c:formatCode>#,##0</c:formatCode>
                <c:ptCount val="12"/>
                <c:pt idx="0">
                  <c:v>190357</c:v>
                </c:pt>
                <c:pt idx="1">
                  <c:v>168452</c:v>
                </c:pt>
                <c:pt idx="2">
                  <c:v>245687</c:v>
                </c:pt>
                <c:pt idx="3">
                  <c:v>249593</c:v>
                </c:pt>
                <c:pt idx="4">
                  <c:v>299440</c:v>
                </c:pt>
                <c:pt idx="5">
                  <c:v>214924</c:v>
                </c:pt>
                <c:pt idx="6">
                  <c:v>292162</c:v>
                </c:pt>
                <c:pt idx="7">
                  <c:v>209780</c:v>
                </c:pt>
                <c:pt idx="8">
                  <c:v>289029</c:v>
                </c:pt>
                <c:pt idx="9">
                  <c:v>291441</c:v>
                </c:pt>
                <c:pt idx="10">
                  <c:v>249197</c:v>
                </c:pt>
                <c:pt idx="11">
                  <c:v>265559</c:v>
                </c:pt>
              </c:numCache>
            </c:numRef>
          </c:val>
          <c:smooth val="0"/>
          <c:extLst>
            <c:ext xmlns:c16="http://schemas.microsoft.com/office/drawing/2014/chart" uri="{C3380CC4-5D6E-409C-BE32-E72D297353CC}">
              <c16:uniqueId val="{00000002-98BD-480A-8637-1F7B3F8194AE}"/>
            </c:ext>
          </c:extLst>
        </c:ser>
        <c:ser>
          <c:idx val="2"/>
          <c:order val="3"/>
          <c:tx>
            <c:strRef>
              <c:f>uNb!$A$5</c:f>
              <c:strCache>
                <c:ptCount val="1"/>
                <c:pt idx="0">
                  <c:v>2020</c:v>
                </c:pt>
              </c:strCache>
            </c:strRef>
          </c:tx>
          <c:spPr>
            <a:ln w="38100">
              <a:solidFill>
                <a:schemeClr val="accent1"/>
              </a:solidFill>
            </a:ln>
          </c:spPr>
          <c:marker>
            <c:symbol val="none"/>
          </c:marker>
          <c:cat>
            <c:strRef>
              <c:f>uNb!$B$1:$M$1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uNb!$B$5:$M$5</c:f>
              <c:numCache>
                <c:formatCode>#,##0</c:formatCode>
                <c:ptCount val="12"/>
                <c:pt idx="0">
                  <c:v>267704</c:v>
                </c:pt>
                <c:pt idx="1">
                  <c:v>191822</c:v>
                </c:pt>
                <c:pt idx="2">
                  <c:v>241981</c:v>
                </c:pt>
                <c:pt idx="3">
                  <c:v>201493</c:v>
                </c:pt>
                <c:pt idx="4">
                  <c:v>213529</c:v>
                </c:pt>
                <c:pt idx="5">
                  <c:v>264781</c:v>
                </c:pt>
                <c:pt idx="6">
                  <c:v>275057</c:v>
                </c:pt>
              </c:numCache>
            </c:numRef>
          </c:val>
          <c:smooth val="0"/>
          <c:extLst>
            <c:ext xmlns:c16="http://schemas.microsoft.com/office/drawing/2014/chart" uri="{C3380CC4-5D6E-409C-BE32-E72D297353CC}">
              <c16:uniqueId val="{00000003-98BD-480A-8637-1F7B3F8194AE}"/>
            </c:ext>
          </c:extLst>
        </c:ser>
        <c:dLbls>
          <c:showLegendKey val="0"/>
          <c:showVal val="0"/>
          <c:showCatName val="0"/>
          <c:showSerName val="0"/>
          <c:showPercent val="0"/>
          <c:showBubbleSize val="0"/>
        </c:dLbls>
        <c:smooth val="0"/>
        <c:axId val="369751552"/>
        <c:axId val="369753088"/>
      </c:lineChart>
      <c:catAx>
        <c:axId val="369751552"/>
        <c:scaling>
          <c:orientation val="minMax"/>
        </c:scaling>
        <c:delete val="0"/>
        <c:axPos val="b"/>
        <c:numFmt formatCode="General" sourceLinked="1"/>
        <c:majorTickMark val="out"/>
        <c:minorTickMark val="none"/>
        <c:tickLblPos val="nextTo"/>
        <c:crossAx val="369753088"/>
        <c:crosses val="autoZero"/>
        <c:auto val="1"/>
        <c:lblAlgn val="ctr"/>
        <c:lblOffset val="100"/>
        <c:noMultiLvlLbl val="0"/>
      </c:catAx>
      <c:valAx>
        <c:axId val="369753088"/>
        <c:scaling>
          <c:orientation val="minMax"/>
          <c:max val="400000"/>
        </c:scaling>
        <c:delete val="0"/>
        <c:axPos val="l"/>
        <c:numFmt formatCode="#,##0" sourceLinked="1"/>
        <c:majorTickMark val="out"/>
        <c:minorTickMark val="none"/>
        <c:tickLblPos val="nextTo"/>
        <c:crossAx val="369751552"/>
        <c:crosses val="autoZero"/>
        <c:crossBetween val="between"/>
      </c:valAx>
      <c:spPr>
        <a:ln>
          <a:noFill/>
        </a:ln>
      </c:spPr>
    </c:plotArea>
    <c:legend>
      <c:legendPos val="b"/>
      <c:layout>
        <c:manualLayout>
          <c:xMode val="edge"/>
          <c:yMode val="edge"/>
          <c:x val="0.1368550704803613"/>
          <c:y val="0.66049983255909805"/>
          <c:w val="0.81421221841625124"/>
          <c:h val="8.0155628120025676E-2"/>
        </c:manualLayout>
      </c:layout>
      <c:overlay val="0"/>
    </c:legend>
    <c:plotVisOnly val="1"/>
    <c:dispBlanksAs val="gap"/>
    <c:showDLblsOverMax val="0"/>
  </c:chart>
  <c:spPr>
    <a:ln>
      <a:noFill/>
    </a:ln>
  </c:spPr>
  <c:txPr>
    <a:bodyPr/>
    <a:lstStyle/>
    <a:p>
      <a:pPr>
        <a:defRPr sz="800">
          <a:latin typeface="Verdana" panose="020B0604030504040204" pitchFamily="34" charset="0"/>
          <a:ea typeface="Verdana" panose="020B0604030504040204" pitchFamily="34" charset="0"/>
        </a:defRPr>
      </a:pPr>
      <a:endParaRPr lang="sk-SK"/>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38023388437693E-2"/>
          <c:y val="5.0925973911772934E-2"/>
          <c:w val="0.94099597683020741"/>
          <c:h val="0.72512184299147331"/>
        </c:manualLayout>
      </c:layout>
      <c:lineChart>
        <c:grouping val="standard"/>
        <c:varyColors val="0"/>
        <c:ser>
          <c:idx val="0"/>
          <c:order val="0"/>
          <c:tx>
            <c:strRef>
              <c:f>Sheet2!$D$29</c:f>
              <c:strCache>
                <c:ptCount val="1"/>
                <c:pt idx="0">
                  <c:v>Podniky bez mikropodnikov</c:v>
                </c:pt>
              </c:strCache>
            </c:strRef>
          </c:tx>
          <c:spPr>
            <a:ln w="28575" cap="rnd">
              <a:solidFill>
                <a:schemeClr val="accent1"/>
              </a:solidFill>
              <a:round/>
            </a:ln>
            <a:effectLst/>
          </c:spPr>
          <c:marker>
            <c:symbol val="none"/>
          </c:marker>
          <c:cat>
            <c:numRef>
              <c:f>Sheet2!$A$30:$A$50</c:f>
              <c:numCache>
                <c:formatCode>General</c:formatCode>
                <c:ptCount val="21"/>
                <c:pt idx="0">
                  <c:v>-1</c:v>
                </c:pt>
                <c:pt idx="1">
                  <c:v>-0.9</c:v>
                </c:pt>
                <c:pt idx="2">
                  <c:v>-0.8</c:v>
                </c:pt>
                <c:pt idx="3">
                  <c:v>-0.70000000000000007</c:v>
                </c:pt>
                <c:pt idx="4">
                  <c:v>-0.60000000000000009</c:v>
                </c:pt>
                <c:pt idx="5">
                  <c:v>-0.50000000000000011</c:v>
                </c:pt>
                <c:pt idx="6">
                  <c:v>-0.40000000000000013</c:v>
                </c:pt>
                <c:pt idx="7">
                  <c:v>-0.30000000000000016</c:v>
                </c:pt>
                <c:pt idx="8">
                  <c:v>-0.20000000000000015</c:v>
                </c:pt>
                <c:pt idx="9">
                  <c:v>-0.10000000000000014</c:v>
                </c:pt>
                <c:pt idx="10">
                  <c:v>0</c:v>
                </c:pt>
                <c:pt idx="11">
                  <c:v>0.1</c:v>
                </c:pt>
                <c:pt idx="12">
                  <c:v>0.2</c:v>
                </c:pt>
                <c:pt idx="13">
                  <c:v>0.30000000000000004</c:v>
                </c:pt>
                <c:pt idx="14">
                  <c:v>0.4</c:v>
                </c:pt>
                <c:pt idx="15">
                  <c:v>0.5</c:v>
                </c:pt>
                <c:pt idx="16">
                  <c:v>0.6</c:v>
                </c:pt>
                <c:pt idx="17">
                  <c:v>0.7</c:v>
                </c:pt>
                <c:pt idx="18">
                  <c:v>0.79999999999999993</c:v>
                </c:pt>
                <c:pt idx="19">
                  <c:v>0.89999999999999991</c:v>
                </c:pt>
                <c:pt idx="20">
                  <c:v>1</c:v>
                </c:pt>
              </c:numCache>
            </c:numRef>
          </c:cat>
          <c:val>
            <c:numRef>
              <c:f>Sheet2!$D$30:$D$50</c:f>
              <c:numCache>
                <c:formatCode>General</c:formatCode>
                <c:ptCount val="21"/>
                <c:pt idx="0">
                  <c:v>3.00393037619315E-2</c:v>
                </c:pt>
                <c:pt idx="1">
                  <c:v>1.656372824256036E-2</c:v>
                </c:pt>
                <c:pt idx="2">
                  <c:v>1.8809657495788883E-2</c:v>
                </c:pt>
                <c:pt idx="3">
                  <c:v>2.3862998315553059E-2</c:v>
                </c:pt>
                <c:pt idx="4">
                  <c:v>3.4531162268388545E-2</c:v>
                </c:pt>
                <c:pt idx="5">
                  <c:v>6.8781583380123523E-2</c:v>
                </c:pt>
                <c:pt idx="6">
                  <c:v>8.8714205502526663E-2</c:v>
                </c:pt>
                <c:pt idx="7">
                  <c:v>0.12605277933745088</c:v>
                </c:pt>
                <c:pt idx="8">
                  <c:v>0.14542391914654687</c:v>
                </c:pt>
                <c:pt idx="9">
                  <c:v>0.12914093206064009</c:v>
                </c:pt>
                <c:pt idx="10">
                  <c:v>0.10247052217855138</c:v>
                </c:pt>
                <c:pt idx="11">
                  <c:v>6.8220101066816391E-2</c:v>
                </c:pt>
                <c:pt idx="12">
                  <c:v>3.6215609208309942E-2</c:v>
                </c:pt>
                <c:pt idx="13">
                  <c:v>2.3020774845592364E-2</c:v>
                </c:pt>
                <c:pt idx="14">
                  <c:v>1.7405951712521055E-2</c:v>
                </c:pt>
                <c:pt idx="15">
                  <c:v>1.1229646266142616E-2</c:v>
                </c:pt>
                <c:pt idx="16">
                  <c:v>7.860752386299831E-3</c:v>
                </c:pt>
                <c:pt idx="17">
                  <c:v>5.8955642897248733E-3</c:v>
                </c:pt>
                <c:pt idx="18">
                  <c:v>8.4222346996069616E-3</c:v>
                </c:pt>
                <c:pt idx="19">
                  <c:v>3.368893879842785E-3</c:v>
                </c:pt>
                <c:pt idx="20">
                  <c:v>3.3969679955081412E-2</c:v>
                </c:pt>
              </c:numCache>
            </c:numRef>
          </c:val>
          <c:smooth val="1"/>
          <c:extLst>
            <c:ext xmlns:c16="http://schemas.microsoft.com/office/drawing/2014/chart" uri="{C3380CC4-5D6E-409C-BE32-E72D297353CC}">
              <c16:uniqueId val="{00000000-6687-4EE1-8453-67F7419A2983}"/>
            </c:ext>
          </c:extLst>
        </c:ser>
        <c:ser>
          <c:idx val="1"/>
          <c:order val="1"/>
          <c:tx>
            <c:strRef>
              <c:f>Sheet2!$E$29</c:f>
              <c:strCache>
                <c:ptCount val="1"/>
                <c:pt idx="0">
                  <c:v>Mikropodniky</c:v>
                </c:pt>
              </c:strCache>
            </c:strRef>
          </c:tx>
          <c:spPr>
            <a:ln w="28575" cap="rnd">
              <a:solidFill>
                <a:schemeClr val="accent2"/>
              </a:solidFill>
              <a:round/>
            </a:ln>
            <a:effectLst/>
          </c:spPr>
          <c:marker>
            <c:symbol val="none"/>
          </c:marker>
          <c:cat>
            <c:numRef>
              <c:f>Sheet2!$A$30:$A$50</c:f>
              <c:numCache>
                <c:formatCode>General</c:formatCode>
                <c:ptCount val="21"/>
                <c:pt idx="0">
                  <c:v>-1</c:v>
                </c:pt>
                <c:pt idx="1">
                  <c:v>-0.9</c:v>
                </c:pt>
                <c:pt idx="2">
                  <c:v>-0.8</c:v>
                </c:pt>
                <c:pt idx="3">
                  <c:v>-0.70000000000000007</c:v>
                </c:pt>
                <c:pt idx="4">
                  <c:v>-0.60000000000000009</c:v>
                </c:pt>
                <c:pt idx="5">
                  <c:v>-0.50000000000000011</c:v>
                </c:pt>
                <c:pt idx="6">
                  <c:v>-0.40000000000000013</c:v>
                </c:pt>
                <c:pt idx="7">
                  <c:v>-0.30000000000000016</c:v>
                </c:pt>
                <c:pt idx="8">
                  <c:v>-0.20000000000000015</c:v>
                </c:pt>
                <c:pt idx="9">
                  <c:v>-0.10000000000000014</c:v>
                </c:pt>
                <c:pt idx="10">
                  <c:v>0</c:v>
                </c:pt>
                <c:pt idx="11">
                  <c:v>0.1</c:v>
                </c:pt>
                <c:pt idx="12">
                  <c:v>0.2</c:v>
                </c:pt>
                <c:pt idx="13">
                  <c:v>0.30000000000000004</c:v>
                </c:pt>
                <c:pt idx="14">
                  <c:v>0.4</c:v>
                </c:pt>
                <c:pt idx="15">
                  <c:v>0.5</c:v>
                </c:pt>
                <c:pt idx="16">
                  <c:v>0.6</c:v>
                </c:pt>
                <c:pt idx="17">
                  <c:v>0.7</c:v>
                </c:pt>
                <c:pt idx="18">
                  <c:v>0.79999999999999993</c:v>
                </c:pt>
                <c:pt idx="19">
                  <c:v>0.89999999999999991</c:v>
                </c:pt>
                <c:pt idx="20">
                  <c:v>1</c:v>
                </c:pt>
              </c:numCache>
            </c:numRef>
          </c:cat>
          <c:val>
            <c:numRef>
              <c:f>Sheet2!$E$30:$E$50</c:f>
              <c:numCache>
                <c:formatCode>General</c:formatCode>
                <c:ptCount val="21"/>
                <c:pt idx="0">
                  <c:v>6.5185573982295519E-2</c:v>
                </c:pt>
                <c:pt idx="1">
                  <c:v>3.777089158280425E-2</c:v>
                </c:pt>
                <c:pt idx="2">
                  <c:v>4.5401782559982236E-2</c:v>
                </c:pt>
                <c:pt idx="3">
                  <c:v>5.900818604838954E-2</c:v>
                </c:pt>
                <c:pt idx="4">
                  <c:v>8.2173390800536983E-2</c:v>
                </c:pt>
                <c:pt idx="5">
                  <c:v>8.5201522140686978E-2</c:v>
                </c:pt>
                <c:pt idx="6">
                  <c:v>8.7815808864349809E-2</c:v>
                </c:pt>
                <c:pt idx="7">
                  <c:v>8.3657175157210481E-2</c:v>
                </c:pt>
                <c:pt idx="8">
                  <c:v>7.9599479161409498E-2</c:v>
                </c:pt>
                <c:pt idx="9">
                  <c:v>6.6265607493615694E-2</c:v>
                </c:pt>
                <c:pt idx="10">
                  <c:v>5.883659193911437E-2</c:v>
                </c:pt>
                <c:pt idx="11">
                  <c:v>4.8702445720745731E-2</c:v>
                </c:pt>
                <c:pt idx="12">
                  <c:v>4.5845908489870899E-2</c:v>
                </c:pt>
                <c:pt idx="13">
                  <c:v>3.1987160723117761E-2</c:v>
                </c:pt>
                <c:pt idx="14">
                  <c:v>2.5355553088189278E-2</c:v>
                </c:pt>
                <c:pt idx="15">
                  <c:v>1.8976289731606626E-2</c:v>
                </c:pt>
                <c:pt idx="16">
                  <c:v>2.176217056454462E-2</c:v>
                </c:pt>
                <c:pt idx="17">
                  <c:v>1.825963198110446E-2</c:v>
                </c:pt>
                <c:pt idx="18">
                  <c:v>1.4010154333760636E-2</c:v>
                </c:pt>
                <c:pt idx="19">
                  <c:v>8.8017684287026478E-3</c:v>
                </c:pt>
                <c:pt idx="20">
                  <c:v>1.5382907207961967E-2</c:v>
                </c:pt>
              </c:numCache>
            </c:numRef>
          </c:val>
          <c:smooth val="1"/>
          <c:extLst>
            <c:ext xmlns:c16="http://schemas.microsoft.com/office/drawing/2014/chart" uri="{C3380CC4-5D6E-409C-BE32-E72D297353CC}">
              <c16:uniqueId val="{00000001-6687-4EE1-8453-67F7419A2983}"/>
            </c:ext>
          </c:extLst>
        </c:ser>
        <c:dLbls>
          <c:showLegendKey val="0"/>
          <c:showVal val="0"/>
          <c:showCatName val="0"/>
          <c:showSerName val="0"/>
          <c:showPercent val="0"/>
          <c:showBubbleSize val="0"/>
        </c:dLbls>
        <c:smooth val="0"/>
        <c:axId val="1981007807"/>
        <c:axId val="1344593855"/>
      </c:lineChart>
      <c:catAx>
        <c:axId val="1981007807"/>
        <c:scaling>
          <c:orientation val="minMax"/>
        </c:scaling>
        <c:delete val="0"/>
        <c:axPos val="b"/>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1344593855"/>
        <c:crosses val="autoZero"/>
        <c:auto val="1"/>
        <c:lblAlgn val="ctr"/>
        <c:lblOffset val="100"/>
        <c:noMultiLvlLbl val="0"/>
      </c:catAx>
      <c:valAx>
        <c:axId val="1344593855"/>
        <c:scaling>
          <c:orientation val="minMax"/>
        </c:scaling>
        <c:delete val="1"/>
        <c:axPos val="l"/>
        <c:numFmt formatCode="General" sourceLinked="1"/>
        <c:majorTickMark val="out"/>
        <c:minorTickMark val="none"/>
        <c:tickLblPos val="nextTo"/>
        <c:crossAx val="1981007807"/>
        <c:crosses val="autoZero"/>
        <c:crossBetween val="between"/>
      </c:valAx>
      <c:spPr>
        <a:noFill/>
        <a:ln>
          <a:noFill/>
        </a:ln>
        <a:effectLst/>
      </c:spPr>
    </c:plotArea>
    <c:legend>
      <c:legendPos val="b"/>
      <c:layout>
        <c:manualLayout>
          <c:xMode val="edge"/>
          <c:yMode val="edge"/>
          <c:x val="0.5698662869790162"/>
          <c:y val="0"/>
          <c:w val="0.43013377083616022"/>
          <c:h val="0.36502989271759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304186935624233E-2"/>
          <c:y val="5.3895149436550709E-2"/>
          <c:w val="0.91014096377177789"/>
          <c:h val="0.58276744069411701"/>
        </c:manualLayout>
      </c:layout>
      <c:barChart>
        <c:barDir val="col"/>
        <c:grouping val="clustered"/>
        <c:varyColors val="0"/>
        <c:ser>
          <c:idx val="0"/>
          <c:order val="0"/>
          <c:tx>
            <c:strRef>
              <c:f>Sheet1!$C$2</c:f>
              <c:strCache>
                <c:ptCount val="1"/>
                <c:pt idx="0">
                  <c:v>Po zahrnutí kompenzácie nákladov na mzdy a nájomné</c:v>
                </c:pt>
              </c:strCache>
            </c:strRef>
          </c:tx>
          <c:spPr>
            <a:solidFill>
              <a:schemeClr val="accent1"/>
            </a:solidFill>
            <a:ln>
              <a:noFill/>
            </a:ln>
            <a:effectLst/>
          </c:spPr>
          <c:invertIfNegative val="0"/>
          <c:cat>
            <c:multiLvlStrRef>
              <c:f>Sheet1!$A$3:$B$12</c:f>
              <c:multiLvlStrCache>
                <c:ptCount val="10"/>
                <c:lvl>
                  <c:pt idx="0">
                    <c:v>Podniky spolu</c:v>
                  </c:pt>
                  <c:pt idx="1">
                    <c:v>Mikro podniky</c:v>
                  </c:pt>
                  <c:pt idx="2">
                    <c:v>Malé podniky</c:v>
                  </c:pt>
                  <c:pt idx="3">
                    <c:v>Stredné podniky</c:v>
                  </c:pt>
                  <c:pt idx="4">
                    <c:v>Veľké podniky</c:v>
                  </c:pt>
                  <c:pt idx="5">
                    <c:v>Podniky spolu</c:v>
                  </c:pt>
                  <c:pt idx="6">
                    <c:v>Mikro podniky</c:v>
                  </c:pt>
                  <c:pt idx="7">
                    <c:v>Malé podniky</c:v>
                  </c:pt>
                  <c:pt idx="8">
                    <c:v>Stredné podniky</c:v>
                  </c:pt>
                  <c:pt idx="9">
                    <c:v>Veľké podniky</c:v>
                  </c:pt>
                </c:lvl>
                <c:lvl>
                  <c:pt idx="0">
                    <c:v>Podiel na počte podnikov s úverom</c:v>
                  </c:pt>
                  <c:pt idx="5">
                    <c:v>Podiel na objeme úverov</c:v>
                  </c:pt>
                </c:lvl>
              </c:multiLvlStrCache>
            </c:multiLvlStrRef>
          </c:cat>
          <c:val>
            <c:numRef>
              <c:f>Sheet1!$C$3:$C$12</c:f>
              <c:numCache>
                <c:formatCode>0%</c:formatCode>
                <c:ptCount val="10"/>
                <c:pt idx="0">
                  <c:v>7.2862789289991875E-2</c:v>
                </c:pt>
                <c:pt idx="1">
                  <c:v>7.8051540680147954E-2</c:v>
                </c:pt>
                <c:pt idx="2">
                  <c:v>5.681920631087499E-2</c:v>
                </c:pt>
                <c:pt idx="3">
                  <c:v>4.4552338530066814E-2</c:v>
                </c:pt>
                <c:pt idx="4">
                  <c:v>3.0532303370786516E-2</c:v>
                </c:pt>
                <c:pt idx="5">
                  <c:v>3.5055852653576497E-2</c:v>
                </c:pt>
                <c:pt idx="6">
                  <c:v>8.0257121775891851E-2</c:v>
                </c:pt>
                <c:pt idx="7">
                  <c:v>2.7634298038680557E-2</c:v>
                </c:pt>
                <c:pt idx="8">
                  <c:v>2.4953345069208693E-2</c:v>
                </c:pt>
                <c:pt idx="9">
                  <c:v>1.534675224247195E-2</c:v>
                </c:pt>
              </c:numCache>
            </c:numRef>
          </c:val>
          <c:extLst>
            <c:ext xmlns:c16="http://schemas.microsoft.com/office/drawing/2014/chart" uri="{C3380CC4-5D6E-409C-BE32-E72D297353CC}">
              <c16:uniqueId val="{00000000-4216-4B3F-9A96-86B16E972084}"/>
            </c:ext>
          </c:extLst>
        </c:ser>
        <c:dLbls>
          <c:showLegendKey val="0"/>
          <c:showVal val="0"/>
          <c:showCatName val="0"/>
          <c:showSerName val="0"/>
          <c:showPercent val="0"/>
          <c:showBubbleSize val="0"/>
        </c:dLbls>
        <c:gapWidth val="219"/>
        <c:overlap val="-27"/>
        <c:axId val="903874888"/>
        <c:axId val="903872920"/>
      </c:barChart>
      <c:lineChart>
        <c:grouping val="standard"/>
        <c:varyColors val="0"/>
        <c:ser>
          <c:idx val="1"/>
          <c:order val="1"/>
          <c:tx>
            <c:strRef>
              <c:f>Sheet1!$D$2</c:f>
              <c:strCache>
                <c:ptCount val="1"/>
                <c:pt idx="0">
                  <c:v>Bez zahrnutia kompenzácie nákladov na mzdy a nájomné</c:v>
                </c:pt>
              </c:strCache>
            </c:strRef>
          </c:tx>
          <c:spPr>
            <a:ln w="28575" cap="rnd">
              <a:noFill/>
              <a:round/>
            </a:ln>
            <a:effectLst/>
          </c:spPr>
          <c:marker>
            <c:symbol val="diamond"/>
            <c:size val="7"/>
            <c:spPr>
              <a:solidFill>
                <a:schemeClr val="accent2"/>
              </a:solidFill>
              <a:ln w="9525">
                <a:solidFill>
                  <a:schemeClr val="accent2"/>
                </a:solidFill>
              </a:ln>
              <a:effectLst/>
            </c:spPr>
          </c:marker>
          <c:cat>
            <c:multiLvlStrRef>
              <c:f>Sheet1!$A$3:$B$12</c:f>
              <c:multiLvlStrCache>
                <c:ptCount val="10"/>
                <c:lvl>
                  <c:pt idx="0">
                    <c:v>Podniky spolu</c:v>
                  </c:pt>
                  <c:pt idx="1">
                    <c:v>Mikro podniky</c:v>
                  </c:pt>
                  <c:pt idx="2">
                    <c:v>Malé podniky</c:v>
                  </c:pt>
                  <c:pt idx="3">
                    <c:v>Stredné podniky</c:v>
                  </c:pt>
                  <c:pt idx="4">
                    <c:v>Veľké podniky</c:v>
                  </c:pt>
                  <c:pt idx="5">
                    <c:v>Podniky spolu</c:v>
                  </c:pt>
                  <c:pt idx="6">
                    <c:v>Mikro podniky</c:v>
                  </c:pt>
                  <c:pt idx="7">
                    <c:v>Malé podniky</c:v>
                  </c:pt>
                  <c:pt idx="8">
                    <c:v>Stredné podniky</c:v>
                  </c:pt>
                  <c:pt idx="9">
                    <c:v>Veľké podniky</c:v>
                  </c:pt>
                </c:lvl>
                <c:lvl>
                  <c:pt idx="0">
                    <c:v>Podiel na počte podnikov s úverom</c:v>
                  </c:pt>
                  <c:pt idx="5">
                    <c:v>Podiel na objeme úverov</c:v>
                  </c:pt>
                </c:lvl>
              </c:multiLvlStrCache>
            </c:multiLvlStrRef>
          </c:cat>
          <c:val>
            <c:numRef>
              <c:f>Sheet1!$D$3:$D$12</c:f>
              <c:numCache>
                <c:formatCode>0%</c:formatCode>
                <c:ptCount val="10"/>
                <c:pt idx="0">
                  <c:v>0.11989649310340386</c:v>
                </c:pt>
                <c:pt idx="1">
                  <c:v>0.11739068585116265</c:v>
                </c:pt>
                <c:pt idx="2">
                  <c:v>0.12525203252032521</c:v>
                </c:pt>
                <c:pt idx="3">
                  <c:v>0.14329653197581926</c:v>
                </c:pt>
                <c:pt idx="4">
                  <c:v>0.13913904494382021</c:v>
                </c:pt>
                <c:pt idx="5">
                  <c:v>6.0538825181988561E-2</c:v>
                </c:pt>
                <c:pt idx="6">
                  <c:v>9.3416764771098268E-2</c:v>
                </c:pt>
                <c:pt idx="7">
                  <c:v>4.7746989185446058E-2</c:v>
                </c:pt>
                <c:pt idx="8">
                  <c:v>6.259870014601919E-2</c:v>
                </c:pt>
                <c:pt idx="9">
                  <c:v>4.3502189754718798E-2</c:v>
                </c:pt>
              </c:numCache>
            </c:numRef>
          </c:val>
          <c:smooth val="0"/>
          <c:extLst>
            <c:ext xmlns:c16="http://schemas.microsoft.com/office/drawing/2014/chart" uri="{C3380CC4-5D6E-409C-BE32-E72D297353CC}">
              <c16:uniqueId val="{00000001-4216-4B3F-9A96-86B16E972084}"/>
            </c:ext>
          </c:extLst>
        </c:ser>
        <c:dLbls>
          <c:showLegendKey val="0"/>
          <c:showVal val="0"/>
          <c:showCatName val="0"/>
          <c:showSerName val="0"/>
          <c:showPercent val="0"/>
          <c:showBubbleSize val="0"/>
        </c:dLbls>
        <c:marker val="1"/>
        <c:smooth val="0"/>
        <c:axId val="903874888"/>
        <c:axId val="903872920"/>
      </c:lineChart>
      <c:catAx>
        <c:axId val="90387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03872920"/>
        <c:crosses val="autoZero"/>
        <c:auto val="1"/>
        <c:lblAlgn val="ctr"/>
        <c:lblOffset val="100"/>
        <c:noMultiLvlLbl val="0"/>
      </c:catAx>
      <c:valAx>
        <c:axId val="9038729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03874888"/>
        <c:crosses val="autoZero"/>
        <c:crossBetween val="between"/>
      </c:valAx>
      <c:spPr>
        <a:noFill/>
        <a:ln>
          <a:noFill/>
        </a:ln>
        <a:effectLst/>
      </c:spPr>
    </c:plotArea>
    <c:legend>
      <c:legendPos val="b"/>
      <c:layout>
        <c:manualLayout>
          <c:xMode val="edge"/>
          <c:yMode val="edge"/>
          <c:x val="0.19380831445689958"/>
          <c:y val="0.8787092941162854"/>
          <c:w val="0.63698866122358044"/>
          <c:h val="0.1212907058837145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Sheet1!$C$2</c:f>
              <c:strCache>
                <c:ptCount val="1"/>
                <c:pt idx="0">
                  <c:v>Po zahrnutí kompenzácie nákladov na mzdy a nájomné</c:v>
                </c:pt>
              </c:strCache>
            </c:strRef>
          </c:tx>
          <c:spPr>
            <a:solidFill>
              <a:schemeClr val="accent1"/>
            </a:solidFill>
            <a:ln>
              <a:noFill/>
            </a:ln>
            <a:effectLst/>
          </c:spPr>
          <c:invertIfNegative val="0"/>
          <c:cat>
            <c:strRef>
              <c:f>Sheet1!$B$17:$B$21</c:f>
              <c:strCache>
                <c:ptCount val="5"/>
                <c:pt idx="0">
                  <c:v>Podniky spolu</c:v>
                </c:pt>
                <c:pt idx="1">
                  <c:v>Mikro podniky</c:v>
                </c:pt>
                <c:pt idx="2">
                  <c:v>Malé podniky</c:v>
                </c:pt>
                <c:pt idx="3">
                  <c:v>Stredné podniky</c:v>
                </c:pt>
                <c:pt idx="4">
                  <c:v>Veľké podniky</c:v>
                </c:pt>
              </c:strCache>
            </c:strRef>
          </c:cat>
          <c:val>
            <c:numRef>
              <c:f>Sheet1!$C$17:$C$21</c:f>
              <c:numCache>
                <c:formatCode>0%</c:formatCode>
                <c:ptCount val="5"/>
                <c:pt idx="0">
                  <c:v>9.3309098846620836E-2</c:v>
                </c:pt>
                <c:pt idx="1">
                  <c:v>8.4268872439416762E-2</c:v>
                </c:pt>
                <c:pt idx="2">
                  <c:v>0.11656296526411961</c:v>
                </c:pt>
                <c:pt idx="3">
                  <c:v>0.15543601472141597</c:v>
                </c:pt>
                <c:pt idx="4">
                  <c:v>0.16929972865336446</c:v>
                </c:pt>
              </c:numCache>
            </c:numRef>
          </c:val>
          <c:extLst>
            <c:ext xmlns:c16="http://schemas.microsoft.com/office/drawing/2014/chart" uri="{C3380CC4-5D6E-409C-BE32-E72D297353CC}">
              <c16:uniqueId val="{00000000-4E79-4DDA-8886-81AA80142A41}"/>
            </c:ext>
          </c:extLst>
        </c:ser>
        <c:dLbls>
          <c:showLegendKey val="0"/>
          <c:showVal val="0"/>
          <c:showCatName val="0"/>
          <c:showSerName val="0"/>
          <c:showPercent val="0"/>
          <c:showBubbleSize val="0"/>
        </c:dLbls>
        <c:gapWidth val="219"/>
        <c:overlap val="-27"/>
        <c:axId val="903874888"/>
        <c:axId val="903872920"/>
      </c:barChart>
      <c:lineChart>
        <c:grouping val="standard"/>
        <c:varyColors val="0"/>
        <c:ser>
          <c:idx val="1"/>
          <c:order val="0"/>
          <c:tx>
            <c:strRef>
              <c:f>Sheet1!$D$2</c:f>
              <c:strCache>
                <c:ptCount val="1"/>
                <c:pt idx="0">
                  <c:v>Bez zahrnutia kompenzácie nákladov na mzdy a nájomné</c:v>
                </c:pt>
              </c:strCache>
            </c:strRef>
          </c:tx>
          <c:spPr>
            <a:ln w="25400" cap="rnd">
              <a:noFill/>
              <a:round/>
            </a:ln>
            <a:effectLst/>
          </c:spPr>
          <c:marker>
            <c:symbol val="diamond"/>
            <c:size val="7"/>
            <c:spPr>
              <a:solidFill>
                <a:schemeClr val="accent2"/>
              </a:solidFill>
              <a:ln w="9525">
                <a:solidFill>
                  <a:schemeClr val="accent2"/>
                </a:solidFill>
              </a:ln>
              <a:effectLst/>
            </c:spPr>
          </c:marker>
          <c:cat>
            <c:multiLvlStrRef>
              <c:f>Sheet1!$A$3:$B$12</c:f>
              <c:multiLvlStrCache>
                <c:ptCount val="10"/>
                <c:lvl>
                  <c:pt idx="0">
                    <c:v>Podniky spolu</c:v>
                  </c:pt>
                  <c:pt idx="1">
                    <c:v>Mikro podniky</c:v>
                  </c:pt>
                  <c:pt idx="2">
                    <c:v>Malé podniky</c:v>
                  </c:pt>
                  <c:pt idx="3">
                    <c:v>Stredné podniky</c:v>
                  </c:pt>
                  <c:pt idx="4">
                    <c:v>Veľké podniky</c:v>
                  </c:pt>
                  <c:pt idx="5">
                    <c:v>Podniky spolu</c:v>
                  </c:pt>
                  <c:pt idx="6">
                    <c:v>Mikro podniky</c:v>
                  </c:pt>
                  <c:pt idx="7">
                    <c:v>Malé podniky</c:v>
                  </c:pt>
                  <c:pt idx="8">
                    <c:v>Stredné podniky</c:v>
                  </c:pt>
                  <c:pt idx="9">
                    <c:v>Veľké podniky</c:v>
                  </c:pt>
                </c:lvl>
                <c:lvl>
                  <c:pt idx="0">
                    <c:v>Podiel na počte podnikov s úverom</c:v>
                  </c:pt>
                  <c:pt idx="5">
                    <c:v>Podiel na objeme úverov</c:v>
                  </c:pt>
                </c:lvl>
              </c:multiLvlStrCache>
            </c:multiLvlStrRef>
          </c:cat>
          <c:val>
            <c:numRef>
              <c:f>Sheet1!$D$17:$D$21</c:f>
              <c:numCache>
                <c:formatCode>0%</c:formatCode>
                <c:ptCount val="5"/>
                <c:pt idx="0">
                  <c:v>0.1307478100168199</c:v>
                </c:pt>
                <c:pt idx="1">
                  <c:v>0.11074124435420306</c:v>
                </c:pt>
                <c:pt idx="2">
                  <c:v>0.18591838736636829</c:v>
                </c:pt>
                <c:pt idx="3">
                  <c:v>0.2662849812765935</c:v>
                </c:pt>
                <c:pt idx="4">
                  <c:v>0.32516441438134347</c:v>
                </c:pt>
              </c:numCache>
            </c:numRef>
          </c:val>
          <c:smooth val="0"/>
          <c:extLst>
            <c:ext xmlns:c16="http://schemas.microsoft.com/office/drawing/2014/chart" uri="{C3380CC4-5D6E-409C-BE32-E72D297353CC}">
              <c16:uniqueId val="{00000001-4E79-4DDA-8886-81AA80142A41}"/>
            </c:ext>
          </c:extLst>
        </c:ser>
        <c:dLbls>
          <c:showLegendKey val="0"/>
          <c:showVal val="0"/>
          <c:showCatName val="0"/>
          <c:showSerName val="0"/>
          <c:showPercent val="0"/>
          <c:showBubbleSize val="0"/>
        </c:dLbls>
        <c:marker val="1"/>
        <c:smooth val="0"/>
        <c:axId val="903874888"/>
        <c:axId val="903872920"/>
      </c:lineChart>
      <c:catAx>
        <c:axId val="90387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03872920"/>
        <c:crosses val="autoZero"/>
        <c:auto val="1"/>
        <c:lblAlgn val="ctr"/>
        <c:lblOffset val="100"/>
        <c:noMultiLvlLbl val="0"/>
      </c:catAx>
      <c:valAx>
        <c:axId val="9038729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03874888"/>
        <c:crosses val="autoZero"/>
        <c:crossBetween val="between"/>
      </c:valAx>
      <c:spPr>
        <a:noFill/>
        <a:ln>
          <a:noFill/>
        </a:ln>
        <a:effectLst/>
      </c:spPr>
    </c:plotArea>
    <c:legend>
      <c:legendPos val="r"/>
      <c:layout>
        <c:manualLayout>
          <c:xMode val="edge"/>
          <c:yMode val="edge"/>
          <c:x val="0.65581037980795709"/>
          <c:y val="0.20833214030064423"/>
          <c:w val="0.33127945343572235"/>
          <c:h val="0.43182056788356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19616662571183E-2"/>
          <c:y val="5.7232049947970862E-2"/>
          <c:w val="0.85536854026218234"/>
          <c:h val="0.70780437044745048"/>
        </c:manualLayout>
      </c:layout>
      <c:areaChart>
        <c:grouping val="stacked"/>
        <c:varyColors val="0"/>
        <c:ser>
          <c:idx val="3"/>
          <c:order val="2"/>
          <c:tx>
            <c:strRef>
              <c:f>GRAF_RoE!$E$11</c:f>
              <c:strCache>
                <c:ptCount val="1"/>
                <c:pt idx="0">
                  <c:v>1Q </c:v>
                </c:pt>
              </c:strCache>
            </c:strRef>
          </c:tx>
          <c:spPr>
            <a:noFill/>
            <a:ln>
              <a:noFill/>
            </a:ln>
            <a:effectLst/>
          </c:spPr>
          <c:cat>
            <c:strRef>
              <c:f>GRAF_RoE!$A$12:$A$18</c:f>
              <c:strCache>
                <c:ptCount val="7"/>
                <c:pt idx="0">
                  <c:v>2014 Q4</c:v>
                </c:pt>
                <c:pt idx="1">
                  <c:v>2015 Q4</c:v>
                </c:pt>
                <c:pt idx="2">
                  <c:v>2016 Q4</c:v>
                </c:pt>
                <c:pt idx="3">
                  <c:v>2017 Q4</c:v>
                </c:pt>
                <c:pt idx="4">
                  <c:v>2018 Q4</c:v>
                </c:pt>
                <c:pt idx="5">
                  <c:v>2019 Q4</c:v>
                </c:pt>
                <c:pt idx="6">
                  <c:v>2020 Q1 (an.)</c:v>
                </c:pt>
              </c:strCache>
            </c:strRef>
          </c:cat>
          <c:val>
            <c:numRef>
              <c:f>GRAF_RoE!$E$12:$E$18</c:f>
              <c:numCache>
                <c:formatCode>0.00%</c:formatCode>
                <c:ptCount val="7"/>
                <c:pt idx="0">
                  <c:v>1.8E-3</c:v>
                </c:pt>
                <c:pt idx="1">
                  <c:v>3.1600000000000003E-2</c:v>
                </c:pt>
                <c:pt idx="2">
                  <c:v>5.9900000000000002E-2</c:v>
                </c:pt>
                <c:pt idx="3">
                  <c:v>5.8299999999999998E-2</c:v>
                </c:pt>
                <c:pt idx="4">
                  <c:v>5.7000000000000002E-2</c:v>
                </c:pt>
                <c:pt idx="5">
                  <c:v>4.9200000000000001E-2</c:v>
                </c:pt>
                <c:pt idx="6">
                  <c:v>8.8999999999999999E-3</c:v>
                </c:pt>
              </c:numCache>
            </c:numRef>
          </c:val>
          <c:extLst>
            <c:ext xmlns:c16="http://schemas.microsoft.com/office/drawing/2014/chart" uri="{C3380CC4-5D6E-409C-BE32-E72D297353CC}">
              <c16:uniqueId val="{00000000-A373-44AF-8FB4-5577513A1416}"/>
            </c:ext>
          </c:extLst>
        </c:ser>
        <c:ser>
          <c:idx val="2"/>
          <c:order val="3"/>
          <c:tx>
            <c:strRef>
              <c:f>GRAF_RoE!$D$11</c:f>
              <c:strCache>
                <c:ptCount val="1"/>
                <c:pt idx="0">
                  <c:v>Medzikvartilové rozpätie</c:v>
                </c:pt>
              </c:strCache>
            </c:strRef>
          </c:tx>
          <c:spPr>
            <a:solidFill>
              <a:schemeClr val="accent1">
                <a:lumMod val="40000"/>
                <a:lumOff val="60000"/>
                <a:alpha val="69000"/>
              </a:schemeClr>
            </a:solidFill>
            <a:ln>
              <a:noFill/>
            </a:ln>
            <a:effectLst/>
          </c:spPr>
          <c:cat>
            <c:strRef>
              <c:f>GRAF_RoE!$A$12:$A$18</c:f>
              <c:strCache>
                <c:ptCount val="7"/>
                <c:pt idx="0">
                  <c:v>2014 Q4</c:v>
                </c:pt>
                <c:pt idx="1">
                  <c:v>2015 Q4</c:v>
                </c:pt>
                <c:pt idx="2">
                  <c:v>2016 Q4</c:v>
                </c:pt>
                <c:pt idx="3">
                  <c:v>2017 Q4</c:v>
                </c:pt>
                <c:pt idx="4">
                  <c:v>2018 Q4</c:v>
                </c:pt>
                <c:pt idx="5">
                  <c:v>2019 Q4</c:v>
                </c:pt>
                <c:pt idx="6">
                  <c:v>2020 Q1 (an.)</c:v>
                </c:pt>
              </c:strCache>
            </c:strRef>
          </c:cat>
          <c:val>
            <c:numRef>
              <c:f>GRAF_RoE!$D$12:$D$18</c:f>
              <c:numCache>
                <c:formatCode>0.00%</c:formatCode>
                <c:ptCount val="7"/>
                <c:pt idx="0">
                  <c:v>8.5000000000000006E-2</c:v>
                </c:pt>
                <c:pt idx="1">
                  <c:v>4.9299999999999997E-2</c:v>
                </c:pt>
                <c:pt idx="2">
                  <c:v>4.7300000000000002E-2</c:v>
                </c:pt>
                <c:pt idx="3">
                  <c:v>3.3799999999999997E-2</c:v>
                </c:pt>
                <c:pt idx="4">
                  <c:v>4.3200000000000002E-2</c:v>
                </c:pt>
                <c:pt idx="5">
                  <c:v>4.8500000000000001E-2</c:v>
                </c:pt>
                <c:pt idx="6">
                  <c:v>5.7099999999999998E-2</c:v>
                </c:pt>
              </c:numCache>
            </c:numRef>
          </c:val>
          <c:extLst>
            <c:ext xmlns:c16="http://schemas.microsoft.com/office/drawing/2014/chart" uri="{C3380CC4-5D6E-409C-BE32-E72D297353CC}">
              <c16:uniqueId val="{00000001-A373-44AF-8FB4-5577513A1416}"/>
            </c:ext>
          </c:extLst>
        </c:ser>
        <c:dLbls>
          <c:showLegendKey val="0"/>
          <c:showVal val="0"/>
          <c:showCatName val="0"/>
          <c:showSerName val="0"/>
          <c:showPercent val="0"/>
          <c:showBubbleSize val="0"/>
        </c:dLbls>
        <c:axId val="199182895"/>
        <c:axId val="199333791"/>
      </c:areaChart>
      <c:lineChart>
        <c:grouping val="standard"/>
        <c:varyColors val="0"/>
        <c:ser>
          <c:idx val="0"/>
          <c:order val="0"/>
          <c:tx>
            <c:strRef>
              <c:f>GRAF_RoE!$B$11</c:f>
              <c:strCache>
                <c:ptCount val="1"/>
                <c:pt idx="0">
                  <c:v>SK</c:v>
                </c:pt>
              </c:strCache>
            </c:strRef>
          </c:tx>
          <c:spPr>
            <a:ln w="28575" cap="rnd">
              <a:solidFill>
                <a:schemeClr val="accent2"/>
              </a:solidFill>
              <a:round/>
            </a:ln>
            <a:effectLst/>
          </c:spPr>
          <c:marker>
            <c:symbol val="none"/>
          </c:marker>
          <c:cat>
            <c:strRef>
              <c:f>GRAF_RoE!$A$12:$A$18</c:f>
              <c:strCache>
                <c:ptCount val="7"/>
                <c:pt idx="0">
                  <c:v>2014 Q4</c:v>
                </c:pt>
                <c:pt idx="1">
                  <c:v>2015 Q4</c:v>
                </c:pt>
                <c:pt idx="2">
                  <c:v>2016 Q4</c:v>
                </c:pt>
                <c:pt idx="3">
                  <c:v>2017 Q4</c:v>
                </c:pt>
                <c:pt idx="4">
                  <c:v>2018 Q4</c:v>
                </c:pt>
                <c:pt idx="5">
                  <c:v>2019 Q4</c:v>
                </c:pt>
                <c:pt idx="6">
                  <c:v>2020 Q1 (an.)</c:v>
                </c:pt>
              </c:strCache>
            </c:strRef>
          </c:cat>
          <c:val>
            <c:numRef>
              <c:f>GRAF_RoE!$B$12:$B$18</c:f>
              <c:numCache>
                <c:formatCode>0.00%</c:formatCode>
                <c:ptCount val="7"/>
                <c:pt idx="0">
                  <c:v>7.5607002943715279E-2</c:v>
                </c:pt>
                <c:pt idx="1">
                  <c:v>8.3567570872290053E-2</c:v>
                </c:pt>
                <c:pt idx="2">
                  <c:v>8.0959674505454757E-2</c:v>
                </c:pt>
                <c:pt idx="3">
                  <c:v>7.9782455507575983E-2</c:v>
                </c:pt>
                <c:pt idx="4">
                  <c:v>7.9408423567278008E-2</c:v>
                </c:pt>
                <c:pt idx="5">
                  <c:v>7.237564151972288E-2</c:v>
                </c:pt>
                <c:pt idx="6">
                  <c:v>2.8102064378026485E-2</c:v>
                </c:pt>
              </c:numCache>
            </c:numRef>
          </c:val>
          <c:smooth val="0"/>
          <c:extLst>
            <c:ext xmlns:c16="http://schemas.microsoft.com/office/drawing/2014/chart" uri="{C3380CC4-5D6E-409C-BE32-E72D297353CC}">
              <c16:uniqueId val="{00000002-A373-44AF-8FB4-5577513A1416}"/>
            </c:ext>
          </c:extLst>
        </c:ser>
        <c:ser>
          <c:idx val="1"/>
          <c:order val="1"/>
          <c:tx>
            <c:strRef>
              <c:f>GRAF_RoE!$C$11</c:f>
              <c:strCache>
                <c:ptCount val="1"/>
                <c:pt idx="0">
                  <c:v>Medián EÚ</c:v>
                </c:pt>
              </c:strCache>
            </c:strRef>
          </c:tx>
          <c:spPr>
            <a:ln w="28575" cap="rnd">
              <a:solidFill>
                <a:schemeClr val="accent1"/>
              </a:solidFill>
              <a:round/>
            </a:ln>
            <a:effectLst/>
          </c:spPr>
          <c:marker>
            <c:symbol val="none"/>
          </c:marker>
          <c:cat>
            <c:strRef>
              <c:f>GRAF_RoE!$A$12:$A$18</c:f>
              <c:strCache>
                <c:ptCount val="7"/>
                <c:pt idx="0">
                  <c:v>2014 Q4</c:v>
                </c:pt>
                <c:pt idx="1">
                  <c:v>2015 Q4</c:v>
                </c:pt>
                <c:pt idx="2">
                  <c:v>2016 Q4</c:v>
                </c:pt>
                <c:pt idx="3">
                  <c:v>2017 Q4</c:v>
                </c:pt>
                <c:pt idx="4">
                  <c:v>2018 Q4</c:v>
                </c:pt>
                <c:pt idx="5">
                  <c:v>2019 Q4</c:v>
                </c:pt>
                <c:pt idx="6">
                  <c:v>2020 Q1 (an.)</c:v>
                </c:pt>
              </c:strCache>
            </c:strRef>
          </c:cat>
          <c:val>
            <c:numRef>
              <c:f>GRAF_RoE!$C$12:$C$18</c:f>
              <c:numCache>
                <c:formatCode>0.00%</c:formatCode>
                <c:ptCount val="7"/>
                <c:pt idx="0">
                  <c:v>4.5499999999999999E-2</c:v>
                </c:pt>
                <c:pt idx="1">
                  <c:v>6.8199999999999997E-2</c:v>
                </c:pt>
                <c:pt idx="2">
                  <c:v>7.9699999999999993E-2</c:v>
                </c:pt>
                <c:pt idx="3">
                  <c:v>8.1600000000000006E-2</c:v>
                </c:pt>
                <c:pt idx="4">
                  <c:v>8.1699999999999995E-2</c:v>
                </c:pt>
                <c:pt idx="5">
                  <c:v>7.7499999999999999E-2</c:v>
                </c:pt>
                <c:pt idx="6">
                  <c:v>3.0700000000000002E-2</c:v>
                </c:pt>
              </c:numCache>
            </c:numRef>
          </c:val>
          <c:smooth val="0"/>
          <c:extLst>
            <c:ext xmlns:c16="http://schemas.microsoft.com/office/drawing/2014/chart" uri="{C3380CC4-5D6E-409C-BE32-E72D297353CC}">
              <c16:uniqueId val="{00000003-A373-44AF-8FB4-5577513A1416}"/>
            </c:ext>
          </c:extLst>
        </c:ser>
        <c:dLbls>
          <c:showLegendKey val="0"/>
          <c:showVal val="0"/>
          <c:showCatName val="0"/>
          <c:showSerName val="0"/>
          <c:showPercent val="0"/>
          <c:showBubbleSize val="0"/>
        </c:dLbls>
        <c:marker val="1"/>
        <c:smooth val="0"/>
        <c:axId val="199182895"/>
        <c:axId val="199333791"/>
      </c:lineChart>
      <c:catAx>
        <c:axId val="199182895"/>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199333791"/>
        <c:crosses val="autoZero"/>
        <c:auto val="1"/>
        <c:lblAlgn val="ctr"/>
        <c:lblOffset val="100"/>
        <c:noMultiLvlLbl val="0"/>
      </c:catAx>
      <c:valAx>
        <c:axId val="19933379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199182895"/>
        <c:crosses val="autoZero"/>
        <c:crossBetween val="midCat"/>
      </c:valAx>
      <c:spPr>
        <a:noFill/>
        <a:ln>
          <a:noFill/>
        </a:ln>
        <a:effectLst/>
      </c:spPr>
    </c:plotArea>
    <c:legend>
      <c:legendPos val="b"/>
      <c:legendEntry>
        <c:idx val="0"/>
        <c:delete val="1"/>
      </c:legendEntry>
      <c:layout>
        <c:manualLayout>
          <c:xMode val="edge"/>
          <c:yMode val="edge"/>
          <c:x val="0.28892894154852083"/>
          <c:y val="0.55968930002376127"/>
          <c:w val="0.47641620102778864"/>
          <c:h val="0.190570845657820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GRAF_Q_zisk!$B$1</c:f>
              <c:strCache>
                <c:ptCount val="1"/>
                <c:pt idx="0">
                  <c:v>1. štvrťrok</c:v>
                </c:pt>
              </c:strCache>
            </c:strRef>
          </c:tx>
          <c:spPr>
            <a:solidFill>
              <a:schemeClr val="accent1"/>
            </a:solidFill>
            <a:ln>
              <a:noFill/>
            </a:ln>
            <a:effectLst/>
          </c:spPr>
          <c:invertIfNegative val="0"/>
          <c:cat>
            <c:numRef>
              <c:f>GRAF_Q_zisk!$A$2:$A$10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GRAF_Q_zisk!$B$2:$B$10</c:f>
              <c:numCache>
                <c:formatCode>_-* #,##0_-;\-* #,##0_-;_-* "-"??_-;_-@_-</c:formatCode>
                <c:ptCount val="9"/>
                <c:pt idx="0">
                  <c:v>11331</c:v>
                </c:pt>
                <c:pt idx="1">
                  <c:v>43524</c:v>
                </c:pt>
                <c:pt idx="2">
                  <c:v>61641</c:v>
                </c:pt>
                <c:pt idx="3">
                  <c:v>75311</c:v>
                </c:pt>
                <c:pt idx="4">
                  <c:v>59403</c:v>
                </c:pt>
                <c:pt idx="5">
                  <c:v>30067</c:v>
                </c:pt>
                <c:pt idx="6">
                  <c:v>40378</c:v>
                </c:pt>
                <c:pt idx="7">
                  <c:v>29686</c:v>
                </c:pt>
                <c:pt idx="8">
                  <c:v>64507</c:v>
                </c:pt>
              </c:numCache>
            </c:numRef>
          </c:val>
          <c:extLst>
            <c:ext xmlns:c16="http://schemas.microsoft.com/office/drawing/2014/chart" uri="{C3380CC4-5D6E-409C-BE32-E72D297353CC}">
              <c16:uniqueId val="{00000000-5163-42AE-A78B-94DBE9D2DC57}"/>
            </c:ext>
          </c:extLst>
        </c:ser>
        <c:ser>
          <c:idx val="1"/>
          <c:order val="1"/>
          <c:tx>
            <c:strRef>
              <c:f>GRAF_Q_zisk!$C$1</c:f>
              <c:strCache>
                <c:ptCount val="1"/>
                <c:pt idx="0">
                  <c:v>2. štvrťrok</c:v>
                </c:pt>
              </c:strCache>
            </c:strRef>
          </c:tx>
          <c:spPr>
            <a:solidFill>
              <a:schemeClr val="accent2"/>
            </a:solidFill>
            <a:ln>
              <a:noFill/>
            </a:ln>
            <a:effectLst/>
          </c:spPr>
          <c:invertIfNegative val="0"/>
          <c:cat>
            <c:numRef>
              <c:f>GRAF_Q_zisk!$A$2:$A$10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GRAF_Q_zisk!$C$2:$C$10</c:f>
              <c:numCache>
                <c:formatCode>_-* #,##0_-;\-* #,##0_-;_-* "-"??_-;_-@_-</c:formatCode>
                <c:ptCount val="9"/>
                <c:pt idx="0">
                  <c:v>32651</c:v>
                </c:pt>
                <c:pt idx="1">
                  <c:v>67381</c:v>
                </c:pt>
                <c:pt idx="2">
                  <c:v>50928</c:v>
                </c:pt>
                <c:pt idx="3">
                  <c:v>41135</c:v>
                </c:pt>
                <c:pt idx="4">
                  <c:v>40745</c:v>
                </c:pt>
                <c:pt idx="5">
                  <c:v>24780</c:v>
                </c:pt>
                <c:pt idx="6">
                  <c:v>40562</c:v>
                </c:pt>
                <c:pt idx="7">
                  <c:v>45850</c:v>
                </c:pt>
                <c:pt idx="8">
                  <c:v>187672</c:v>
                </c:pt>
              </c:numCache>
            </c:numRef>
          </c:val>
          <c:extLst>
            <c:ext xmlns:c16="http://schemas.microsoft.com/office/drawing/2014/chart" uri="{C3380CC4-5D6E-409C-BE32-E72D297353CC}">
              <c16:uniqueId val="{00000001-5163-42AE-A78B-94DBE9D2DC57}"/>
            </c:ext>
          </c:extLst>
        </c:ser>
        <c:ser>
          <c:idx val="2"/>
          <c:order val="2"/>
          <c:tx>
            <c:strRef>
              <c:f>GRAF_Q_zisk!$D$1</c:f>
              <c:strCache>
                <c:ptCount val="1"/>
                <c:pt idx="0">
                  <c:v>3. štvrťrok</c:v>
                </c:pt>
              </c:strCache>
            </c:strRef>
          </c:tx>
          <c:spPr>
            <a:solidFill>
              <a:schemeClr val="accent3"/>
            </a:solidFill>
            <a:ln>
              <a:noFill/>
            </a:ln>
            <a:effectLst/>
          </c:spPr>
          <c:invertIfNegative val="0"/>
          <c:cat>
            <c:numRef>
              <c:f>GRAF_Q_zisk!$A$2:$A$10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GRAF_Q_zisk!$D$2:$D$10</c:f>
              <c:numCache>
                <c:formatCode>_-* #,##0_-;\-* #,##0_-;_-* "-"??_-;_-@_-</c:formatCode>
                <c:ptCount val="9"/>
                <c:pt idx="0">
                  <c:v>38273</c:v>
                </c:pt>
                <c:pt idx="1">
                  <c:v>34603</c:v>
                </c:pt>
                <c:pt idx="2">
                  <c:v>59952</c:v>
                </c:pt>
                <c:pt idx="3">
                  <c:v>51643</c:v>
                </c:pt>
                <c:pt idx="4">
                  <c:v>48430</c:v>
                </c:pt>
                <c:pt idx="5">
                  <c:v>73531</c:v>
                </c:pt>
                <c:pt idx="6">
                  <c:v>23085</c:v>
                </c:pt>
                <c:pt idx="7">
                  <c:v>39800</c:v>
                </c:pt>
              </c:numCache>
            </c:numRef>
          </c:val>
          <c:extLst>
            <c:ext xmlns:c16="http://schemas.microsoft.com/office/drawing/2014/chart" uri="{C3380CC4-5D6E-409C-BE32-E72D297353CC}">
              <c16:uniqueId val="{00000002-5163-42AE-A78B-94DBE9D2DC57}"/>
            </c:ext>
          </c:extLst>
        </c:ser>
        <c:ser>
          <c:idx val="3"/>
          <c:order val="3"/>
          <c:tx>
            <c:strRef>
              <c:f>GRAF_Q_zisk!$E$1</c:f>
              <c:strCache>
                <c:ptCount val="1"/>
                <c:pt idx="0">
                  <c:v>4. štvrťrok</c:v>
                </c:pt>
              </c:strCache>
            </c:strRef>
          </c:tx>
          <c:spPr>
            <a:solidFill>
              <a:schemeClr val="accent4"/>
            </a:solidFill>
            <a:ln>
              <a:noFill/>
            </a:ln>
            <a:effectLst/>
          </c:spPr>
          <c:invertIfNegative val="0"/>
          <c:cat>
            <c:numRef>
              <c:f>GRAF_Q_zisk!$A$2:$A$10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GRAF_Q_zisk!$E$2:$E$10</c:f>
              <c:numCache>
                <c:formatCode>_-* #,##0_-;\-* #,##0_-;_-* "-"??_-;_-@_-</c:formatCode>
                <c:ptCount val="9"/>
                <c:pt idx="0">
                  <c:v>52091</c:v>
                </c:pt>
                <c:pt idx="1">
                  <c:v>52568</c:v>
                </c:pt>
                <c:pt idx="2">
                  <c:v>13595</c:v>
                </c:pt>
                <c:pt idx="3">
                  <c:v>2875</c:v>
                </c:pt>
                <c:pt idx="4">
                  <c:v>89576</c:v>
                </c:pt>
                <c:pt idx="5">
                  <c:v>1634</c:v>
                </c:pt>
                <c:pt idx="6">
                  <c:v>54559</c:v>
                </c:pt>
                <c:pt idx="7">
                  <c:v>20025</c:v>
                </c:pt>
              </c:numCache>
            </c:numRef>
          </c:val>
          <c:extLst>
            <c:ext xmlns:c16="http://schemas.microsoft.com/office/drawing/2014/chart" uri="{C3380CC4-5D6E-409C-BE32-E72D297353CC}">
              <c16:uniqueId val="{00000003-5163-42AE-A78B-94DBE9D2DC57}"/>
            </c:ext>
          </c:extLst>
        </c:ser>
        <c:dLbls>
          <c:showLegendKey val="0"/>
          <c:showVal val="0"/>
          <c:showCatName val="0"/>
          <c:showSerName val="0"/>
          <c:showPercent val="0"/>
          <c:showBubbleSize val="0"/>
        </c:dLbls>
        <c:gapWidth val="18"/>
        <c:overlap val="100"/>
        <c:axId val="890799583"/>
        <c:axId val="669197679"/>
      </c:barChart>
      <c:catAx>
        <c:axId val="89079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crossAx val="669197679"/>
        <c:crosses val="autoZero"/>
        <c:auto val="1"/>
        <c:lblAlgn val="ctr"/>
        <c:lblOffset val="100"/>
        <c:noMultiLvlLbl val="0"/>
      </c:catAx>
      <c:valAx>
        <c:axId val="669197679"/>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crossAx val="890799583"/>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06082329939418E-2"/>
          <c:y val="0.12261526271480218"/>
          <c:w val="0.77807291429611747"/>
          <c:h val="0.50760545716768335"/>
        </c:manualLayout>
      </c:layout>
      <c:barChart>
        <c:barDir val="col"/>
        <c:grouping val="clustered"/>
        <c:varyColors val="0"/>
        <c:ser>
          <c:idx val="1"/>
          <c:order val="2"/>
          <c:tx>
            <c:strRef>
              <c:f>dividend_policy!$A$51</c:f>
              <c:strCache>
                <c:ptCount val="1"/>
                <c:pt idx="0">
                  <c:v> dividend payout ratio (očistené o iné kap. transakcie) </c:v>
                </c:pt>
              </c:strCache>
            </c:strRef>
          </c:tx>
          <c:spPr>
            <a:solidFill>
              <a:schemeClr val="accent2"/>
            </a:solidFill>
            <a:ln>
              <a:noFill/>
            </a:ln>
            <a:effectLst/>
          </c:spPr>
          <c:invertIfNegative val="0"/>
          <c:cat>
            <c:numRef>
              <c:f>dividend_policy!$B$49:$R$49</c:f>
              <c:numCache>
                <c:formatCode>yyyy</c:formatCode>
                <c:ptCount val="17"/>
                <c:pt idx="0" formatCode="m/d/yyyy">
                  <c:v>38352</c:v>
                </c:pt>
                <c:pt idx="1">
                  <c:v>38717</c:v>
                </c:pt>
                <c:pt idx="2">
                  <c:v>39082</c:v>
                </c:pt>
                <c:pt idx="3">
                  <c:v>39447</c:v>
                </c:pt>
                <c:pt idx="4">
                  <c:v>39813</c:v>
                </c:pt>
                <c:pt idx="5">
                  <c:v>40178</c:v>
                </c:pt>
                <c:pt idx="6">
                  <c:v>40543</c:v>
                </c:pt>
                <c:pt idx="7">
                  <c:v>40908</c:v>
                </c:pt>
                <c:pt idx="8">
                  <c:v>41274</c:v>
                </c:pt>
                <c:pt idx="9">
                  <c:v>41639</c:v>
                </c:pt>
                <c:pt idx="10">
                  <c:v>42004</c:v>
                </c:pt>
                <c:pt idx="11">
                  <c:v>42369</c:v>
                </c:pt>
                <c:pt idx="12">
                  <c:v>42735</c:v>
                </c:pt>
                <c:pt idx="13">
                  <c:v>43100</c:v>
                </c:pt>
                <c:pt idx="14">
                  <c:v>43465</c:v>
                </c:pt>
                <c:pt idx="15">
                  <c:v>43830</c:v>
                </c:pt>
                <c:pt idx="16">
                  <c:v>44196</c:v>
                </c:pt>
              </c:numCache>
            </c:numRef>
          </c:cat>
          <c:val>
            <c:numRef>
              <c:f>dividend_policy!$B$51:$R$51</c:f>
            </c:numRef>
          </c:val>
          <c:extLst>
            <c:ext xmlns:c16="http://schemas.microsoft.com/office/drawing/2014/chart" uri="{C3380CC4-5D6E-409C-BE32-E72D297353CC}">
              <c16:uniqueId val="{00000000-8D63-45C8-94FF-C833D9431795}"/>
            </c:ext>
          </c:extLst>
        </c:ser>
        <c:dLbls>
          <c:showLegendKey val="0"/>
          <c:showVal val="0"/>
          <c:showCatName val="0"/>
          <c:showSerName val="0"/>
          <c:showPercent val="0"/>
          <c:showBubbleSize val="0"/>
        </c:dLbls>
        <c:gapWidth val="120"/>
        <c:overlap val="-27"/>
        <c:axId val="1699562768"/>
        <c:axId val="2063864544"/>
      </c:barChart>
      <c:barChart>
        <c:barDir val="col"/>
        <c:grouping val="stacked"/>
        <c:varyColors val="0"/>
        <c:ser>
          <c:idx val="4"/>
          <c:order val="0"/>
          <c:tx>
            <c:strRef>
              <c:f>dividend_policy!$A$117</c:f>
              <c:strCache>
                <c:ptCount val="1"/>
                <c:pt idx="0">
                  <c:v>Ostatné kapitálové vankúše (pravá os)</c:v>
                </c:pt>
              </c:strCache>
            </c:strRef>
          </c:tx>
          <c:spPr>
            <a:solidFill>
              <a:schemeClr val="accent2"/>
            </a:solidFill>
            <a:ln>
              <a:noFill/>
            </a:ln>
            <a:effectLst/>
          </c:spPr>
          <c:invertIfNegative val="0"/>
          <c:cat>
            <c:numRef>
              <c:f>dividend_policy!$B$49:$R$49</c:f>
              <c:numCache>
                <c:formatCode>yyyy</c:formatCode>
                <c:ptCount val="17"/>
                <c:pt idx="0" formatCode="m/d/yyyy">
                  <c:v>38352</c:v>
                </c:pt>
                <c:pt idx="1">
                  <c:v>38717</c:v>
                </c:pt>
                <c:pt idx="2">
                  <c:v>39082</c:v>
                </c:pt>
                <c:pt idx="3">
                  <c:v>39447</c:v>
                </c:pt>
                <c:pt idx="4">
                  <c:v>39813</c:v>
                </c:pt>
                <c:pt idx="5">
                  <c:v>40178</c:v>
                </c:pt>
                <c:pt idx="6">
                  <c:v>40543</c:v>
                </c:pt>
                <c:pt idx="7">
                  <c:v>40908</c:v>
                </c:pt>
                <c:pt idx="8">
                  <c:v>41274</c:v>
                </c:pt>
                <c:pt idx="9">
                  <c:v>41639</c:v>
                </c:pt>
                <c:pt idx="10">
                  <c:v>42004</c:v>
                </c:pt>
                <c:pt idx="11">
                  <c:v>42369</c:v>
                </c:pt>
                <c:pt idx="12">
                  <c:v>42735</c:v>
                </c:pt>
                <c:pt idx="13">
                  <c:v>43100</c:v>
                </c:pt>
                <c:pt idx="14">
                  <c:v>43465</c:v>
                </c:pt>
                <c:pt idx="15">
                  <c:v>43830</c:v>
                </c:pt>
                <c:pt idx="16">
                  <c:v>44196</c:v>
                </c:pt>
              </c:numCache>
            </c:numRef>
          </c:cat>
          <c:val>
            <c:numRef>
              <c:f>dividend_policy!$B$117:$R$117</c:f>
              <c:numCache>
                <c:formatCode>General</c:formatCode>
                <c:ptCount val="17"/>
                <c:pt idx="10" formatCode="0.00%">
                  <c:v>0</c:v>
                </c:pt>
                <c:pt idx="11" formatCode="0.00%">
                  <c:v>0</c:v>
                </c:pt>
                <c:pt idx="12" formatCode="0.00%">
                  <c:v>0.01</c:v>
                </c:pt>
                <c:pt idx="13" formatCode="0.00%">
                  <c:v>2.1999999999999999E-2</c:v>
                </c:pt>
                <c:pt idx="14" formatCode="0.00%">
                  <c:v>1.9E-2</c:v>
                </c:pt>
                <c:pt idx="15" formatCode="0.00%">
                  <c:v>1.9E-2</c:v>
                </c:pt>
                <c:pt idx="16" formatCode="0.00%">
                  <c:v>1.9E-2</c:v>
                </c:pt>
              </c:numCache>
            </c:numRef>
          </c:val>
          <c:extLst>
            <c:ext xmlns:c16="http://schemas.microsoft.com/office/drawing/2014/chart" uri="{C3380CC4-5D6E-409C-BE32-E72D297353CC}">
              <c16:uniqueId val="{00000001-8D63-45C8-94FF-C833D9431795}"/>
            </c:ext>
          </c:extLst>
        </c:ser>
        <c:ser>
          <c:idx val="3"/>
          <c:order val="1"/>
          <c:tx>
            <c:strRef>
              <c:f>dividend_policy!$A$116</c:f>
              <c:strCache>
                <c:ptCount val="1"/>
                <c:pt idx="0">
                  <c:v>Proticyklický kapitálový vankúš (pravá os)</c:v>
                </c:pt>
              </c:strCache>
            </c:strRef>
          </c:tx>
          <c:spPr>
            <a:solidFill>
              <a:schemeClr val="accent1"/>
            </a:solidFill>
            <a:ln>
              <a:noFill/>
            </a:ln>
            <a:effectLst/>
          </c:spPr>
          <c:invertIfNegative val="0"/>
          <c:cat>
            <c:numRef>
              <c:f>dividend_policy!$B$49:$R$49</c:f>
              <c:numCache>
                <c:formatCode>yyyy</c:formatCode>
                <c:ptCount val="17"/>
                <c:pt idx="0" formatCode="m/d/yyyy">
                  <c:v>38352</c:v>
                </c:pt>
                <c:pt idx="1">
                  <c:v>38717</c:v>
                </c:pt>
                <c:pt idx="2">
                  <c:v>39082</c:v>
                </c:pt>
                <c:pt idx="3">
                  <c:v>39447</c:v>
                </c:pt>
                <c:pt idx="4">
                  <c:v>39813</c:v>
                </c:pt>
                <c:pt idx="5">
                  <c:v>40178</c:v>
                </c:pt>
                <c:pt idx="6">
                  <c:v>40543</c:v>
                </c:pt>
                <c:pt idx="7">
                  <c:v>40908</c:v>
                </c:pt>
                <c:pt idx="8">
                  <c:v>41274</c:v>
                </c:pt>
                <c:pt idx="9">
                  <c:v>41639</c:v>
                </c:pt>
                <c:pt idx="10">
                  <c:v>42004</c:v>
                </c:pt>
                <c:pt idx="11">
                  <c:v>42369</c:v>
                </c:pt>
                <c:pt idx="12">
                  <c:v>42735</c:v>
                </c:pt>
                <c:pt idx="13">
                  <c:v>43100</c:v>
                </c:pt>
                <c:pt idx="14">
                  <c:v>43465</c:v>
                </c:pt>
                <c:pt idx="15">
                  <c:v>43830</c:v>
                </c:pt>
                <c:pt idx="16">
                  <c:v>44196</c:v>
                </c:pt>
              </c:numCache>
            </c:numRef>
          </c:cat>
          <c:val>
            <c:numRef>
              <c:f>dividend_policy!$B$116:$R$116</c:f>
              <c:numCache>
                <c:formatCode>General</c:formatCode>
                <c:ptCount val="17"/>
                <c:pt idx="10" formatCode="0.00%">
                  <c:v>0</c:v>
                </c:pt>
                <c:pt idx="11" formatCode="0.00%">
                  <c:v>0</c:v>
                </c:pt>
                <c:pt idx="12" formatCode="0.00%">
                  <c:v>5.0000000000000001E-3</c:v>
                </c:pt>
                <c:pt idx="13" formatCode="0.00%">
                  <c:v>1.2500000000000001E-2</c:v>
                </c:pt>
                <c:pt idx="14" formatCode="0.00%">
                  <c:v>1.4999999999999999E-2</c:v>
                </c:pt>
                <c:pt idx="15" formatCode="0.00%">
                  <c:v>0.02</c:v>
                </c:pt>
                <c:pt idx="16" formatCode="0.00%">
                  <c:v>0.01</c:v>
                </c:pt>
              </c:numCache>
            </c:numRef>
          </c:val>
          <c:extLst>
            <c:ext xmlns:c16="http://schemas.microsoft.com/office/drawing/2014/chart" uri="{C3380CC4-5D6E-409C-BE32-E72D297353CC}">
              <c16:uniqueId val="{00000002-8D63-45C8-94FF-C833D9431795}"/>
            </c:ext>
          </c:extLst>
        </c:ser>
        <c:dLbls>
          <c:showLegendKey val="0"/>
          <c:showVal val="0"/>
          <c:showCatName val="0"/>
          <c:showSerName val="0"/>
          <c:showPercent val="0"/>
          <c:showBubbleSize val="0"/>
        </c:dLbls>
        <c:gapWidth val="150"/>
        <c:overlap val="100"/>
        <c:axId val="650033272"/>
        <c:axId val="650035896"/>
      </c:barChart>
      <c:lineChart>
        <c:grouping val="standard"/>
        <c:varyColors val="0"/>
        <c:ser>
          <c:idx val="2"/>
          <c:order val="3"/>
          <c:tx>
            <c:strRef>
              <c:f>dividend_policy!$A$111</c:f>
              <c:strCache>
                <c:ptCount val="1"/>
                <c:pt idx="0">
                  <c:v>Miera vyplácania dividend</c:v>
                </c:pt>
              </c:strCache>
            </c:strRef>
          </c:tx>
          <c:spPr>
            <a:ln w="28575" cap="rnd">
              <a:solidFill>
                <a:schemeClr val="accent1"/>
              </a:solidFill>
              <a:round/>
            </a:ln>
            <a:effectLst/>
          </c:spPr>
          <c:marker>
            <c:symbol val="none"/>
          </c:marker>
          <c:val>
            <c:numRef>
              <c:f>dividend_policy!$B$111:$R$111</c:f>
              <c:numCache>
                <c:formatCode>0.00%</c:formatCode>
                <c:ptCount val="17"/>
                <c:pt idx="1">
                  <c:v>0.71707559108815011</c:v>
                </c:pt>
                <c:pt idx="2">
                  <c:v>0.85039347504691909</c:v>
                </c:pt>
                <c:pt idx="3">
                  <c:v>0.63702762565098414</c:v>
                </c:pt>
                <c:pt idx="4">
                  <c:v>0.50899958409316315</c:v>
                </c:pt>
                <c:pt idx="5">
                  <c:v>0.20811153409824867</c:v>
                </c:pt>
                <c:pt idx="6">
                  <c:v>0.14088988938913899</c:v>
                </c:pt>
                <c:pt idx="7">
                  <c:v>0.60216434487669712</c:v>
                </c:pt>
                <c:pt idx="8">
                  <c:v>0.48837045956640779</c:v>
                </c:pt>
                <c:pt idx="9">
                  <c:v>0.7766410125599954</c:v>
                </c:pt>
                <c:pt idx="10">
                  <c:v>0.94869086186869933</c:v>
                </c:pt>
                <c:pt idx="11">
                  <c:v>0.85487995835245312</c:v>
                </c:pt>
                <c:pt idx="12">
                  <c:v>0.99501756084825899</c:v>
                </c:pt>
                <c:pt idx="13">
                  <c:v>0.60647645358845703</c:v>
                </c:pt>
                <c:pt idx="14">
                  <c:v>0.66673947737748829</c:v>
                </c:pt>
                <c:pt idx="15">
                  <c:v>0.64719318648586421</c:v>
                </c:pt>
                <c:pt idx="16">
                  <c:v>0</c:v>
                </c:pt>
              </c:numCache>
            </c:numRef>
          </c:val>
          <c:smooth val="0"/>
          <c:extLst>
            <c:ext xmlns:c16="http://schemas.microsoft.com/office/drawing/2014/chart" uri="{C3380CC4-5D6E-409C-BE32-E72D297353CC}">
              <c16:uniqueId val="{00000003-8D63-45C8-94FF-C833D9431795}"/>
            </c:ext>
          </c:extLst>
        </c:ser>
        <c:ser>
          <c:idx val="6"/>
          <c:order val="4"/>
          <c:tx>
            <c:strRef>
              <c:f>dividend_policy!$A$130</c:f>
              <c:strCache>
                <c:ptCount val="1"/>
                <c:pt idx="0">
                  <c:v>čiara</c:v>
                </c:pt>
              </c:strCache>
            </c:strRef>
          </c:tx>
          <c:spPr>
            <a:ln w="6350" cap="rnd">
              <a:solidFill>
                <a:srgbClr val="FF0000"/>
              </a:solidFill>
              <a:round/>
            </a:ln>
            <a:effectLst/>
          </c:spPr>
          <c:marker>
            <c:symbol val="none"/>
          </c:marker>
          <c:cat>
            <c:numRef>
              <c:f>dividend_policy!$B$49:$R$49</c:f>
              <c:numCache>
                <c:formatCode>yyyy</c:formatCode>
                <c:ptCount val="17"/>
                <c:pt idx="0" formatCode="m/d/yyyy">
                  <c:v>38352</c:v>
                </c:pt>
                <c:pt idx="1">
                  <c:v>38717</c:v>
                </c:pt>
                <c:pt idx="2">
                  <c:v>39082</c:v>
                </c:pt>
                <c:pt idx="3">
                  <c:v>39447</c:v>
                </c:pt>
                <c:pt idx="4">
                  <c:v>39813</c:v>
                </c:pt>
                <c:pt idx="5">
                  <c:v>40178</c:v>
                </c:pt>
                <c:pt idx="6">
                  <c:v>40543</c:v>
                </c:pt>
                <c:pt idx="7">
                  <c:v>40908</c:v>
                </c:pt>
                <c:pt idx="8">
                  <c:v>41274</c:v>
                </c:pt>
                <c:pt idx="9">
                  <c:v>41639</c:v>
                </c:pt>
                <c:pt idx="10">
                  <c:v>42004</c:v>
                </c:pt>
                <c:pt idx="11">
                  <c:v>42369</c:v>
                </c:pt>
                <c:pt idx="12">
                  <c:v>42735</c:v>
                </c:pt>
                <c:pt idx="13">
                  <c:v>43100</c:v>
                </c:pt>
                <c:pt idx="14">
                  <c:v>43465</c:v>
                </c:pt>
                <c:pt idx="15">
                  <c:v>43830</c:v>
                </c:pt>
                <c:pt idx="16">
                  <c:v>44196</c:v>
                </c:pt>
              </c:numCache>
            </c:numRef>
          </c:cat>
          <c:val>
            <c:numRef>
              <c:f>dividend_policy!$B$130:$R$130</c:f>
              <c:numCache>
                <c:formatCode>General</c:formatCode>
                <c:ptCount val="17"/>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numCache>
            </c:numRef>
          </c:val>
          <c:smooth val="0"/>
          <c:extLst>
            <c:ext xmlns:c16="http://schemas.microsoft.com/office/drawing/2014/chart" uri="{C3380CC4-5D6E-409C-BE32-E72D297353CC}">
              <c16:uniqueId val="{00000004-8D63-45C8-94FF-C833D9431795}"/>
            </c:ext>
          </c:extLst>
        </c:ser>
        <c:dLbls>
          <c:showLegendKey val="0"/>
          <c:showVal val="0"/>
          <c:showCatName val="0"/>
          <c:showSerName val="0"/>
          <c:showPercent val="0"/>
          <c:showBubbleSize val="0"/>
        </c:dLbls>
        <c:marker val="1"/>
        <c:smooth val="0"/>
        <c:axId val="1699562768"/>
        <c:axId val="2063864544"/>
      </c:lineChart>
      <c:catAx>
        <c:axId val="1699562768"/>
        <c:scaling>
          <c:orientation val="minMax"/>
          <c:min val="2"/>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2063864544"/>
        <c:crosses val="autoZero"/>
        <c:auto val="1"/>
        <c:lblAlgn val="ctr"/>
        <c:lblOffset val="100"/>
        <c:noMultiLvlLbl val="0"/>
      </c:catAx>
      <c:valAx>
        <c:axId val="20638645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1699562768"/>
        <c:crosses val="autoZero"/>
        <c:crossBetween val="between"/>
      </c:valAx>
      <c:valAx>
        <c:axId val="650035896"/>
        <c:scaling>
          <c:orientation val="minMax"/>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650033272"/>
        <c:crosses val="max"/>
        <c:crossBetween val="between"/>
      </c:valAx>
      <c:dateAx>
        <c:axId val="650033272"/>
        <c:scaling>
          <c:orientation val="minMax"/>
        </c:scaling>
        <c:delete val="1"/>
        <c:axPos val="b"/>
        <c:numFmt formatCode="m/d/yyyy" sourceLinked="1"/>
        <c:majorTickMark val="out"/>
        <c:minorTickMark val="none"/>
        <c:tickLblPos val="nextTo"/>
        <c:crossAx val="650035896"/>
        <c:crosses val="autoZero"/>
        <c:auto val="1"/>
        <c:lblOffset val="100"/>
        <c:baseTimeUnit val="years"/>
        <c:majorUnit val="1"/>
        <c:minorUnit val="1"/>
      </c:dateAx>
      <c:spPr>
        <a:gradFill>
          <a:gsLst>
            <a:gs pos="20000">
              <a:schemeClr val="bg1">
                <a:lumMod val="75000"/>
              </a:schemeClr>
            </a:gs>
            <a:gs pos="19000">
              <a:schemeClr val="bg1"/>
            </a:gs>
            <a:gs pos="37000">
              <a:schemeClr val="bg1">
                <a:lumMod val="75000"/>
              </a:schemeClr>
            </a:gs>
            <a:gs pos="37000">
              <a:schemeClr val="bg1"/>
            </a:gs>
            <a:gs pos="94000">
              <a:schemeClr val="bg1"/>
            </a:gs>
            <a:gs pos="94000">
              <a:schemeClr val="bg1">
                <a:lumMod val="75000"/>
              </a:schemeClr>
            </a:gs>
          </a:gsLst>
          <a:lin ang="0" scaled="0"/>
        </a:grad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26443010637299E-2"/>
          <c:y val="5.2083333333333336E-2"/>
          <c:w val="0.57024082594445713"/>
          <c:h val="0.84932339623966024"/>
        </c:manualLayout>
      </c:layout>
      <c:barChart>
        <c:barDir val="col"/>
        <c:grouping val="stacked"/>
        <c:varyColors val="0"/>
        <c:ser>
          <c:idx val="0"/>
          <c:order val="0"/>
          <c:tx>
            <c:strRef>
              <c:f>'odolnosť 19, 20 Jún 2020'!$B$39</c:f>
              <c:strCache>
                <c:ptCount val="1"/>
                <c:pt idx="0">
                  <c:v>Minimálna požiavka na CAR k 31.12.2019</c:v>
                </c:pt>
              </c:strCache>
            </c:strRef>
          </c:tx>
          <c:spPr>
            <a:solidFill>
              <a:schemeClr val="accent1"/>
            </a:solidFill>
            <a:ln>
              <a:noFill/>
            </a:ln>
            <a:effectLst/>
          </c:spPr>
          <c:invertIfNegative val="0"/>
          <c:cat>
            <c:strRef>
              <c:f>'odolnosť 19, 20 Jún 2020'!$A$40:$A$41</c:f>
              <c:strCache>
                <c:ptCount val="2"/>
                <c:pt idx="0">
                  <c:v>Sektor k 31.12.2019</c:v>
                </c:pt>
                <c:pt idx="1">
                  <c:v>Sektor k 30.6.2020</c:v>
                </c:pt>
              </c:strCache>
            </c:strRef>
          </c:cat>
          <c:val>
            <c:numRef>
              <c:f>'odolnosť 19, 20 Jún 2020'!$B$40:$B$41</c:f>
              <c:numCache>
                <c:formatCode>General</c:formatCode>
                <c:ptCount val="2"/>
                <c:pt idx="0" formatCode="0.00%">
                  <c:v>0.15920767013014925</c:v>
                </c:pt>
              </c:numCache>
            </c:numRef>
          </c:val>
          <c:extLst>
            <c:ext xmlns:c16="http://schemas.microsoft.com/office/drawing/2014/chart" uri="{C3380CC4-5D6E-409C-BE32-E72D297353CC}">
              <c16:uniqueId val="{00000000-956B-41EE-9853-E285FD539D48}"/>
            </c:ext>
          </c:extLst>
        </c:ser>
        <c:ser>
          <c:idx val="1"/>
          <c:order val="1"/>
          <c:tx>
            <c:strRef>
              <c:f>'odolnosť 19, 20 Jún 2020'!$C$39</c:f>
              <c:strCache>
                <c:ptCount val="1"/>
                <c:pt idx="0">
                  <c:v>Minimálna požiadavka na CAR po krokoch ECB a NBS</c:v>
                </c:pt>
              </c:strCache>
            </c:strRef>
          </c:tx>
          <c:spPr>
            <a:solidFill>
              <a:schemeClr val="accent6">
                <a:lumMod val="75000"/>
              </a:schemeClr>
            </a:solidFill>
            <a:ln>
              <a:noFill/>
            </a:ln>
            <a:effectLst/>
          </c:spPr>
          <c:invertIfNegative val="0"/>
          <c:cat>
            <c:strRef>
              <c:f>'odolnosť 19, 20 Jún 2020'!$A$40:$A$41</c:f>
              <c:strCache>
                <c:ptCount val="2"/>
                <c:pt idx="0">
                  <c:v>Sektor k 31.12.2019</c:v>
                </c:pt>
                <c:pt idx="1">
                  <c:v>Sektor k 30.6.2020</c:v>
                </c:pt>
              </c:strCache>
            </c:strRef>
          </c:cat>
          <c:val>
            <c:numRef>
              <c:f>'odolnosť 19, 20 Jún 2020'!$C$40:$C$41</c:f>
              <c:numCache>
                <c:formatCode>0.00%</c:formatCode>
                <c:ptCount val="2"/>
                <c:pt idx="1">
                  <c:v>0.1206</c:v>
                </c:pt>
              </c:numCache>
            </c:numRef>
          </c:val>
          <c:extLst>
            <c:ext xmlns:c16="http://schemas.microsoft.com/office/drawing/2014/chart" uri="{C3380CC4-5D6E-409C-BE32-E72D297353CC}">
              <c16:uniqueId val="{00000001-956B-41EE-9853-E285FD539D48}"/>
            </c:ext>
          </c:extLst>
        </c:ser>
        <c:ser>
          <c:idx val="2"/>
          <c:order val="2"/>
          <c:tx>
            <c:strRef>
              <c:f>'odolnosť 19, 20 Jún 2020'!$D$39</c:f>
              <c:strCache>
                <c:ptCount val="1"/>
                <c:pt idx="0">
                  <c:v>Hodnota CAR k 31.12.2019</c:v>
                </c:pt>
              </c:strCache>
            </c:strRef>
          </c:tx>
          <c:spPr>
            <a:solidFill>
              <a:schemeClr val="accent3"/>
            </a:solidFill>
            <a:ln>
              <a:noFill/>
            </a:ln>
            <a:effectLst/>
          </c:spPr>
          <c:invertIfNegative val="0"/>
          <c:cat>
            <c:strRef>
              <c:f>'odolnosť 19, 20 Jún 2020'!$A$40:$A$41</c:f>
              <c:strCache>
                <c:ptCount val="2"/>
                <c:pt idx="0">
                  <c:v>Sektor k 31.12.2019</c:v>
                </c:pt>
                <c:pt idx="1">
                  <c:v>Sektor k 30.6.2020</c:v>
                </c:pt>
              </c:strCache>
            </c:strRef>
          </c:cat>
          <c:val>
            <c:numRef>
              <c:f>'odolnosť 19, 20 Jún 2020'!$D$40:$D$41</c:f>
              <c:numCache>
                <c:formatCode>General</c:formatCode>
                <c:ptCount val="2"/>
                <c:pt idx="0">
                  <c:v>2.24E-2</c:v>
                </c:pt>
              </c:numCache>
            </c:numRef>
          </c:val>
          <c:extLst>
            <c:ext xmlns:c16="http://schemas.microsoft.com/office/drawing/2014/chart" uri="{C3380CC4-5D6E-409C-BE32-E72D297353CC}">
              <c16:uniqueId val="{00000002-956B-41EE-9853-E285FD539D48}"/>
            </c:ext>
          </c:extLst>
        </c:ser>
        <c:ser>
          <c:idx val="3"/>
          <c:order val="3"/>
          <c:tx>
            <c:strRef>
              <c:f>'odolnosť 19, 20 Jún 2020'!$E$39</c:f>
              <c:strCache>
                <c:ptCount val="1"/>
                <c:pt idx="0">
                  <c:v>Hodnota CAR k 30.6.2020</c:v>
                </c:pt>
              </c:strCache>
            </c:strRef>
          </c:tx>
          <c:spPr>
            <a:solidFill>
              <a:schemeClr val="accent2">
                <a:lumMod val="40000"/>
                <a:lumOff val="60000"/>
              </a:schemeClr>
            </a:solidFill>
            <a:ln>
              <a:noFill/>
            </a:ln>
            <a:effectLst/>
          </c:spPr>
          <c:invertIfNegative val="0"/>
          <c:cat>
            <c:strRef>
              <c:f>'odolnosť 19, 20 Jún 2020'!$A$40:$A$41</c:f>
              <c:strCache>
                <c:ptCount val="2"/>
                <c:pt idx="0">
                  <c:v>Sektor k 31.12.2019</c:v>
                </c:pt>
                <c:pt idx="1">
                  <c:v>Sektor k 30.6.2020</c:v>
                </c:pt>
              </c:strCache>
            </c:strRef>
          </c:cat>
          <c:val>
            <c:numRef>
              <c:f>'odolnosť 19, 20 Jún 2020'!$E$40:$E$41</c:f>
              <c:numCache>
                <c:formatCode>0.00%</c:formatCode>
                <c:ptCount val="2"/>
                <c:pt idx="1">
                  <c:v>7.4399999999999994E-2</c:v>
                </c:pt>
              </c:numCache>
            </c:numRef>
          </c:val>
          <c:extLst>
            <c:ext xmlns:c16="http://schemas.microsoft.com/office/drawing/2014/chart" uri="{C3380CC4-5D6E-409C-BE32-E72D297353CC}">
              <c16:uniqueId val="{00000003-956B-41EE-9853-E285FD539D48}"/>
            </c:ext>
          </c:extLst>
        </c:ser>
        <c:dLbls>
          <c:showLegendKey val="0"/>
          <c:showVal val="0"/>
          <c:showCatName val="0"/>
          <c:showSerName val="0"/>
          <c:showPercent val="0"/>
          <c:showBubbleSize val="0"/>
        </c:dLbls>
        <c:gapWidth val="150"/>
        <c:overlap val="100"/>
        <c:axId val="1918045407"/>
        <c:axId val="1880205535"/>
      </c:barChart>
      <c:catAx>
        <c:axId val="191804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1880205535"/>
        <c:crosses val="autoZero"/>
        <c:auto val="1"/>
        <c:lblAlgn val="ctr"/>
        <c:lblOffset val="100"/>
        <c:noMultiLvlLbl val="0"/>
      </c:catAx>
      <c:valAx>
        <c:axId val="1880205535"/>
        <c:scaling>
          <c:orientation val="minMax"/>
          <c:max val="0.22000000000000003"/>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1918045407"/>
        <c:crosses val="autoZero"/>
        <c:crossBetween val="between"/>
      </c:valAx>
      <c:spPr>
        <a:noFill/>
        <a:ln>
          <a:noFill/>
        </a:ln>
        <a:effectLst/>
      </c:spPr>
    </c:plotArea>
    <c:legend>
      <c:legendPos val="r"/>
      <c:layout>
        <c:manualLayout>
          <c:xMode val="edge"/>
          <c:yMode val="edge"/>
          <c:x val="0.60620889169092362"/>
          <c:y val="0.1696671438797423"/>
          <c:w val="0.37675533318130805"/>
          <c:h val="0.660665712240515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00036866905262E-2"/>
          <c:y val="2.6400827810057863E-2"/>
          <c:w val="0.7128113268709938"/>
          <c:h val="0.6979697139313803"/>
        </c:manualLayout>
      </c:layout>
      <c:lineChart>
        <c:grouping val="standard"/>
        <c:varyColors val="0"/>
        <c:ser>
          <c:idx val="0"/>
          <c:order val="0"/>
          <c:tx>
            <c:strRef>
              <c:f>Rozpúšťadlo!$B$29</c:f>
              <c:strCache>
                <c:ptCount val="1"/>
                <c:pt idx="0">
                  <c:v>Anualizovaná čistá tvorba opravných položiek / RWA</c:v>
                </c:pt>
              </c:strCache>
            </c:strRef>
          </c:tx>
          <c:spPr>
            <a:ln w="28575" cap="rnd">
              <a:solidFill>
                <a:schemeClr val="accent1"/>
              </a:solidFill>
              <a:prstDash val="solid"/>
              <a:round/>
            </a:ln>
            <a:effectLst/>
          </c:spPr>
          <c:marker>
            <c:symbol val="none"/>
          </c:marker>
          <c:dPt>
            <c:idx val="197"/>
            <c:marker>
              <c:symbol val="none"/>
            </c:marker>
            <c:bubble3D val="0"/>
            <c:spPr>
              <a:ln w="28575" cap="rnd">
                <a:solidFill>
                  <a:schemeClr val="accent1"/>
                </a:solidFill>
                <a:prstDash val="solid"/>
                <a:round/>
              </a:ln>
              <a:effectLst/>
            </c:spPr>
            <c:extLst>
              <c:ext xmlns:c16="http://schemas.microsoft.com/office/drawing/2014/chart" uri="{C3380CC4-5D6E-409C-BE32-E72D297353CC}">
                <c16:uniqueId val="{00000001-E837-4200-82E6-4F115BF5BE69}"/>
              </c:ext>
            </c:extLst>
          </c:dPt>
          <c:cat>
            <c:numRef>
              <c:f>Rozpúšťadlo!$F$1:$GX$1</c:f>
              <c:numCache>
                <c:formatCode>mmm\-yy</c:formatCode>
                <c:ptCount val="201"/>
                <c:pt idx="0">
                  <c:v>37956</c:v>
                </c:pt>
                <c:pt idx="1">
                  <c:v>37987</c:v>
                </c:pt>
                <c:pt idx="2">
                  <c:v>38018</c:v>
                </c:pt>
                <c:pt idx="3">
                  <c:v>38047</c:v>
                </c:pt>
                <c:pt idx="4">
                  <c:v>38078</c:v>
                </c:pt>
                <c:pt idx="5">
                  <c:v>38108</c:v>
                </c:pt>
                <c:pt idx="6">
                  <c:v>38139</c:v>
                </c:pt>
                <c:pt idx="7">
                  <c:v>38169</c:v>
                </c:pt>
                <c:pt idx="8">
                  <c:v>38200</c:v>
                </c:pt>
                <c:pt idx="9">
                  <c:v>38231</c:v>
                </c:pt>
                <c:pt idx="10">
                  <c:v>38261</c:v>
                </c:pt>
                <c:pt idx="11">
                  <c:v>38292</c:v>
                </c:pt>
                <c:pt idx="12">
                  <c:v>38322</c:v>
                </c:pt>
                <c:pt idx="13">
                  <c:v>38353</c:v>
                </c:pt>
                <c:pt idx="14">
                  <c:v>38384</c:v>
                </c:pt>
                <c:pt idx="15">
                  <c:v>38412</c:v>
                </c:pt>
                <c:pt idx="16">
                  <c:v>38443</c:v>
                </c:pt>
                <c:pt idx="17">
                  <c:v>38473</c:v>
                </c:pt>
                <c:pt idx="18">
                  <c:v>38504</c:v>
                </c:pt>
                <c:pt idx="19">
                  <c:v>38534</c:v>
                </c:pt>
                <c:pt idx="20">
                  <c:v>38565</c:v>
                </c:pt>
                <c:pt idx="21">
                  <c:v>38596</c:v>
                </c:pt>
                <c:pt idx="22">
                  <c:v>38626</c:v>
                </c:pt>
                <c:pt idx="23">
                  <c:v>38657</c:v>
                </c:pt>
                <c:pt idx="24">
                  <c:v>38687</c:v>
                </c:pt>
                <c:pt idx="25">
                  <c:v>38718</c:v>
                </c:pt>
                <c:pt idx="26">
                  <c:v>38749</c:v>
                </c:pt>
                <c:pt idx="27">
                  <c:v>38777</c:v>
                </c:pt>
                <c:pt idx="28">
                  <c:v>38808</c:v>
                </c:pt>
                <c:pt idx="29">
                  <c:v>38838</c:v>
                </c:pt>
                <c:pt idx="30">
                  <c:v>38869</c:v>
                </c:pt>
                <c:pt idx="31">
                  <c:v>38899</c:v>
                </c:pt>
                <c:pt idx="32">
                  <c:v>38930</c:v>
                </c:pt>
                <c:pt idx="33">
                  <c:v>38961</c:v>
                </c:pt>
                <c:pt idx="34">
                  <c:v>38991</c:v>
                </c:pt>
                <c:pt idx="35">
                  <c:v>39022</c:v>
                </c:pt>
                <c:pt idx="36">
                  <c:v>39052</c:v>
                </c:pt>
                <c:pt idx="37">
                  <c:v>39083</c:v>
                </c:pt>
                <c:pt idx="38">
                  <c:v>39114</c:v>
                </c:pt>
                <c:pt idx="39">
                  <c:v>39142</c:v>
                </c:pt>
                <c:pt idx="40">
                  <c:v>39173</c:v>
                </c:pt>
                <c:pt idx="41">
                  <c:v>39203</c:v>
                </c:pt>
                <c:pt idx="42">
                  <c:v>39234</c:v>
                </c:pt>
                <c:pt idx="43">
                  <c:v>39264</c:v>
                </c:pt>
                <c:pt idx="44">
                  <c:v>39295</c:v>
                </c:pt>
                <c:pt idx="45">
                  <c:v>39326</c:v>
                </c:pt>
                <c:pt idx="46">
                  <c:v>39356</c:v>
                </c:pt>
                <c:pt idx="47">
                  <c:v>39387</c:v>
                </c:pt>
                <c:pt idx="48">
                  <c:v>39417</c:v>
                </c:pt>
                <c:pt idx="49">
                  <c:v>39448</c:v>
                </c:pt>
                <c:pt idx="50">
                  <c:v>39479</c:v>
                </c:pt>
                <c:pt idx="51">
                  <c:v>39508</c:v>
                </c:pt>
                <c:pt idx="52">
                  <c:v>39539</c:v>
                </c:pt>
                <c:pt idx="53">
                  <c:v>39569</c:v>
                </c:pt>
                <c:pt idx="54">
                  <c:v>39600</c:v>
                </c:pt>
                <c:pt idx="55">
                  <c:v>39630</c:v>
                </c:pt>
                <c:pt idx="56">
                  <c:v>39661</c:v>
                </c:pt>
                <c:pt idx="57">
                  <c:v>39692</c:v>
                </c:pt>
                <c:pt idx="58">
                  <c:v>39722</c:v>
                </c:pt>
                <c:pt idx="59">
                  <c:v>39753</c:v>
                </c:pt>
                <c:pt idx="60">
                  <c:v>39783</c:v>
                </c:pt>
                <c:pt idx="61">
                  <c:v>39814</c:v>
                </c:pt>
                <c:pt idx="62">
                  <c:v>39845</c:v>
                </c:pt>
                <c:pt idx="63">
                  <c:v>39873</c:v>
                </c:pt>
                <c:pt idx="64">
                  <c:v>39904</c:v>
                </c:pt>
                <c:pt idx="65">
                  <c:v>39934</c:v>
                </c:pt>
                <c:pt idx="66">
                  <c:v>39965</c:v>
                </c:pt>
                <c:pt idx="67">
                  <c:v>39995</c:v>
                </c:pt>
                <c:pt idx="68">
                  <c:v>40026</c:v>
                </c:pt>
                <c:pt idx="69">
                  <c:v>40057</c:v>
                </c:pt>
                <c:pt idx="70">
                  <c:v>40087</c:v>
                </c:pt>
                <c:pt idx="71">
                  <c:v>40118</c:v>
                </c:pt>
                <c:pt idx="72">
                  <c:v>40148</c:v>
                </c:pt>
                <c:pt idx="73">
                  <c:v>40179</c:v>
                </c:pt>
                <c:pt idx="74">
                  <c:v>40210</c:v>
                </c:pt>
                <c:pt idx="75">
                  <c:v>40238</c:v>
                </c:pt>
                <c:pt idx="76">
                  <c:v>40269</c:v>
                </c:pt>
                <c:pt idx="77">
                  <c:v>40299</c:v>
                </c:pt>
                <c:pt idx="78">
                  <c:v>40330</c:v>
                </c:pt>
                <c:pt idx="79">
                  <c:v>40360</c:v>
                </c:pt>
                <c:pt idx="80">
                  <c:v>40391</c:v>
                </c:pt>
                <c:pt idx="81">
                  <c:v>40422</c:v>
                </c:pt>
                <c:pt idx="82">
                  <c:v>40452</c:v>
                </c:pt>
                <c:pt idx="83">
                  <c:v>40483</c:v>
                </c:pt>
                <c:pt idx="84">
                  <c:v>40513</c:v>
                </c:pt>
                <c:pt idx="85">
                  <c:v>40544</c:v>
                </c:pt>
                <c:pt idx="86">
                  <c:v>40575</c:v>
                </c:pt>
                <c:pt idx="87">
                  <c:v>40603</c:v>
                </c:pt>
                <c:pt idx="88">
                  <c:v>40634</c:v>
                </c:pt>
                <c:pt idx="89">
                  <c:v>40664</c:v>
                </c:pt>
                <c:pt idx="90">
                  <c:v>40695</c:v>
                </c:pt>
                <c:pt idx="91">
                  <c:v>40725</c:v>
                </c:pt>
                <c:pt idx="92">
                  <c:v>40756</c:v>
                </c:pt>
                <c:pt idx="93">
                  <c:v>40787</c:v>
                </c:pt>
                <c:pt idx="94">
                  <c:v>40817</c:v>
                </c:pt>
                <c:pt idx="95">
                  <c:v>40848</c:v>
                </c:pt>
                <c:pt idx="96">
                  <c:v>40878</c:v>
                </c:pt>
                <c:pt idx="97">
                  <c:v>40909</c:v>
                </c:pt>
                <c:pt idx="98">
                  <c:v>40940</c:v>
                </c:pt>
                <c:pt idx="99">
                  <c:v>40969</c:v>
                </c:pt>
                <c:pt idx="100">
                  <c:v>41000</c:v>
                </c:pt>
                <c:pt idx="101">
                  <c:v>41030</c:v>
                </c:pt>
                <c:pt idx="102">
                  <c:v>41061</c:v>
                </c:pt>
                <c:pt idx="103">
                  <c:v>41091</c:v>
                </c:pt>
                <c:pt idx="104">
                  <c:v>41122</c:v>
                </c:pt>
                <c:pt idx="105">
                  <c:v>41153</c:v>
                </c:pt>
                <c:pt idx="106">
                  <c:v>41183</c:v>
                </c:pt>
                <c:pt idx="107">
                  <c:v>41214</c:v>
                </c:pt>
                <c:pt idx="108">
                  <c:v>41244</c:v>
                </c:pt>
                <c:pt idx="109">
                  <c:v>41275</c:v>
                </c:pt>
                <c:pt idx="110">
                  <c:v>41306</c:v>
                </c:pt>
                <c:pt idx="111">
                  <c:v>41334</c:v>
                </c:pt>
                <c:pt idx="112">
                  <c:v>41365</c:v>
                </c:pt>
                <c:pt idx="113">
                  <c:v>41395</c:v>
                </c:pt>
                <c:pt idx="114">
                  <c:v>41426</c:v>
                </c:pt>
                <c:pt idx="115">
                  <c:v>41456</c:v>
                </c:pt>
                <c:pt idx="116">
                  <c:v>41487</c:v>
                </c:pt>
                <c:pt idx="117">
                  <c:v>41518</c:v>
                </c:pt>
                <c:pt idx="118">
                  <c:v>41548</c:v>
                </c:pt>
                <c:pt idx="119">
                  <c:v>41579</c:v>
                </c:pt>
                <c:pt idx="120">
                  <c:v>41609</c:v>
                </c:pt>
                <c:pt idx="121">
                  <c:v>41640</c:v>
                </c:pt>
                <c:pt idx="122">
                  <c:v>41671</c:v>
                </c:pt>
                <c:pt idx="123">
                  <c:v>41699</c:v>
                </c:pt>
                <c:pt idx="124">
                  <c:v>41730</c:v>
                </c:pt>
                <c:pt idx="125">
                  <c:v>41760</c:v>
                </c:pt>
                <c:pt idx="126">
                  <c:v>41791</c:v>
                </c:pt>
                <c:pt idx="127">
                  <c:v>41821</c:v>
                </c:pt>
                <c:pt idx="128">
                  <c:v>41852</c:v>
                </c:pt>
                <c:pt idx="129">
                  <c:v>41883</c:v>
                </c:pt>
                <c:pt idx="130">
                  <c:v>41913</c:v>
                </c:pt>
                <c:pt idx="131">
                  <c:v>41944</c:v>
                </c:pt>
                <c:pt idx="132">
                  <c:v>41974</c:v>
                </c:pt>
                <c:pt idx="133">
                  <c:v>42005</c:v>
                </c:pt>
                <c:pt idx="134">
                  <c:v>42036</c:v>
                </c:pt>
                <c:pt idx="135">
                  <c:v>42064</c:v>
                </c:pt>
                <c:pt idx="136">
                  <c:v>42095</c:v>
                </c:pt>
                <c:pt idx="137">
                  <c:v>42125</c:v>
                </c:pt>
                <c:pt idx="138">
                  <c:v>42156</c:v>
                </c:pt>
                <c:pt idx="139">
                  <c:v>42186</c:v>
                </c:pt>
                <c:pt idx="140">
                  <c:v>42217</c:v>
                </c:pt>
                <c:pt idx="141">
                  <c:v>42248</c:v>
                </c:pt>
                <c:pt idx="142">
                  <c:v>42278</c:v>
                </c:pt>
                <c:pt idx="143">
                  <c:v>42309</c:v>
                </c:pt>
                <c:pt idx="144">
                  <c:v>42339</c:v>
                </c:pt>
                <c:pt idx="145">
                  <c:v>42370</c:v>
                </c:pt>
                <c:pt idx="146">
                  <c:v>42401</c:v>
                </c:pt>
                <c:pt idx="147">
                  <c:v>42430</c:v>
                </c:pt>
                <c:pt idx="148">
                  <c:v>42461</c:v>
                </c:pt>
                <c:pt idx="149">
                  <c:v>42491</c:v>
                </c:pt>
                <c:pt idx="150">
                  <c:v>42522</c:v>
                </c:pt>
                <c:pt idx="151">
                  <c:v>42552</c:v>
                </c:pt>
                <c:pt idx="152">
                  <c:v>42583</c:v>
                </c:pt>
                <c:pt idx="153">
                  <c:v>42614</c:v>
                </c:pt>
                <c:pt idx="154">
                  <c:v>42644</c:v>
                </c:pt>
                <c:pt idx="155">
                  <c:v>42675</c:v>
                </c:pt>
                <c:pt idx="156">
                  <c:v>42705</c:v>
                </c:pt>
                <c:pt idx="157">
                  <c:v>42736</c:v>
                </c:pt>
                <c:pt idx="158">
                  <c:v>42767</c:v>
                </c:pt>
                <c:pt idx="159">
                  <c:v>42795</c:v>
                </c:pt>
                <c:pt idx="160">
                  <c:v>42826</c:v>
                </c:pt>
                <c:pt idx="161">
                  <c:v>42856</c:v>
                </c:pt>
                <c:pt idx="162">
                  <c:v>42887</c:v>
                </c:pt>
                <c:pt idx="163">
                  <c:v>42917</c:v>
                </c:pt>
                <c:pt idx="164">
                  <c:v>42948</c:v>
                </c:pt>
                <c:pt idx="165">
                  <c:v>42979</c:v>
                </c:pt>
                <c:pt idx="166">
                  <c:v>43009</c:v>
                </c:pt>
                <c:pt idx="167">
                  <c:v>43040</c:v>
                </c:pt>
                <c:pt idx="168">
                  <c:v>43070</c:v>
                </c:pt>
                <c:pt idx="169">
                  <c:v>43101</c:v>
                </c:pt>
                <c:pt idx="170">
                  <c:v>43132</c:v>
                </c:pt>
                <c:pt idx="171">
                  <c:v>43160</c:v>
                </c:pt>
                <c:pt idx="172">
                  <c:v>43191</c:v>
                </c:pt>
                <c:pt idx="173">
                  <c:v>43221</c:v>
                </c:pt>
                <c:pt idx="174">
                  <c:v>43252</c:v>
                </c:pt>
                <c:pt idx="175">
                  <c:v>43282</c:v>
                </c:pt>
                <c:pt idx="176">
                  <c:v>43313</c:v>
                </c:pt>
                <c:pt idx="177">
                  <c:v>43344</c:v>
                </c:pt>
                <c:pt idx="178">
                  <c:v>43374</c:v>
                </c:pt>
                <c:pt idx="179">
                  <c:v>43405</c:v>
                </c:pt>
                <c:pt idx="180">
                  <c:v>43435</c:v>
                </c:pt>
                <c:pt idx="181">
                  <c:v>43466</c:v>
                </c:pt>
                <c:pt idx="182">
                  <c:v>43497</c:v>
                </c:pt>
                <c:pt idx="183">
                  <c:v>43525</c:v>
                </c:pt>
                <c:pt idx="184">
                  <c:v>43556</c:v>
                </c:pt>
                <c:pt idx="185">
                  <c:v>43586</c:v>
                </c:pt>
                <c:pt idx="186">
                  <c:v>43617</c:v>
                </c:pt>
                <c:pt idx="187">
                  <c:v>43647</c:v>
                </c:pt>
                <c:pt idx="188">
                  <c:v>43678</c:v>
                </c:pt>
                <c:pt idx="189">
                  <c:v>43709</c:v>
                </c:pt>
                <c:pt idx="190">
                  <c:v>43739</c:v>
                </c:pt>
                <c:pt idx="191">
                  <c:v>43770</c:v>
                </c:pt>
                <c:pt idx="192">
                  <c:v>43800</c:v>
                </c:pt>
                <c:pt idx="193">
                  <c:v>43831</c:v>
                </c:pt>
                <c:pt idx="194">
                  <c:v>43862</c:v>
                </c:pt>
                <c:pt idx="195">
                  <c:v>43891</c:v>
                </c:pt>
                <c:pt idx="196">
                  <c:v>43922</c:v>
                </c:pt>
                <c:pt idx="197">
                  <c:v>43952</c:v>
                </c:pt>
                <c:pt idx="198">
                  <c:v>43983</c:v>
                </c:pt>
                <c:pt idx="199">
                  <c:v>44013</c:v>
                </c:pt>
                <c:pt idx="200">
                  <c:v>44044</c:v>
                </c:pt>
              </c:numCache>
            </c:numRef>
          </c:cat>
          <c:val>
            <c:numRef>
              <c:f>Rozpúšťadlo!$F$29:$GX$29</c:f>
              <c:numCache>
                <c:formatCode>General</c:formatCode>
                <c:ptCount val="201"/>
                <c:pt idx="0">
                  <c:v>5.0000000000000001E-3</c:v>
                </c:pt>
                <c:pt idx="1">
                  <c:v>3.0000000000000001E-3</c:v>
                </c:pt>
                <c:pt idx="2">
                  <c:v>5.0000000000000001E-3</c:v>
                </c:pt>
                <c:pt idx="3">
                  <c:v>4.0000000000000001E-3</c:v>
                </c:pt>
                <c:pt idx="4">
                  <c:v>3.0000000000000001E-3</c:v>
                </c:pt>
                <c:pt idx="5">
                  <c:v>6.0000000000000001E-3</c:v>
                </c:pt>
                <c:pt idx="6">
                  <c:v>3.0000000000000001E-3</c:v>
                </c:pt>
                <c:pt idx="7">
                  <c:v>5.160064436357764E-3</c:v>
                </c:pt>
                <c:pt idx="8">
                  <c:v>3.9150348386938648E-3</c:v>
                </c:pt>
                <c:pt idx="9">
                  <c:v>4.0868570364057397E-3</c:v>
                </c:pt>
                <c:pt idx="10">
                  <c:v>3.9202785399045413E-3</c:v>
                </c:pt>
                <c:pt idx="11">
                  <c:v>3.4724131597812292E-3</c:v>
                </c:pt>
                <c:pt idx="12">
                  <c:v>5.1150523118585626E-3</c:v>
                </c:pt>
                <c:pt idx="13">
                  <c:v>2.2683528544124548E-3</c:v>
                </c:pt>
                <c:pt idx="14">
                  <c:v>9.1218612245642361E-5</c:v>
                </c:pt>
                <c:pt idx="15">
                  <c:v>1.2467001102855117E-3</c:v>
                </c:pt>
                <c:pt idx="16">
                  <c:v>-5.4028193825005413E-4</c:v>
                </c:pt>
                <c:pt idx="17">
                  <c:v>5.0189443914697097E-4</c:v>
                </c:pt>
                <c:pt idx="18">
                  <c:v>1.5245085477454863E-3</c:v>
                </c:pt>
                <c:pt idx="19">
                  <c:v>6.8105046303898519E-4</c:v>
                </c:pt>
                <c:pt idx="20">
                  <c:v>8.1743599864792177E-4</c:v>
                </c:pt>
                <c:pt idx="21">
                  <c:v>1.2026887766219722E-3</c:v>
                </c:pt>
                <c:pt idx="22">
                  <c:v>1.9603433031104163E-3</c:v>
                </c:pt>
                <c:pt idx="23">
                  <c:v>2.6154552252317781E-3</c:v>
                </c:pt>
                <c:pt idx="24">
                  <c:v>-9.6410148738376895E-4</c:v>
                </c:pt>
                <c:pt idx="25">
                  <c:v>6.3080638198207461E-3</c:v>
                </c:pt>
                <c:pt idx="26">
                  <c:v>2.7081250546574934E-3</c:v>
                </c:pt>
                <c:pt idx="27">
                  <c:v>5.1444990131200626E-3</c:v>
                </c:pt>
                <c:pt idx="28">
                  <c:v>5.5545059952952789E-3</c:v>
                </c:pt>
                <c:pt idx="29">
                  <c:v>4.3922313148642778E-3</c:v>
                </c:pt>
                <c:pt idx="30">
                  <c:v>5.1801795302742638E-3</c:v>
                </c:pt>
                <c:pt idx="31">
                  <c:v>4.8632685199910012E-3</c:v>
                </c:pt>
                <c:pt idx="32">
                  <c:v>4.746856901029742E-3</c:v>
                </c:pt>
                <c:pt idx="33">
                  <c:v>4.5816002720976516E-3</c:v>
                </c:pt>
                <c:pt idx="34">
                  <c:v>4.8334343491631586E-3</c:v>
                </c:pt>
                <c:pt idx="35">
                  <c:v>4.8828973100491233E-3</c:v>
                </c:pt>
                <c:pt idx="36">
                  <c:v>3.4992516182767129E-3</c:v>
                </c:pt>
                <c:pt idx="37">
                  <c:v>6.3002609887713992E-3</c:v>
                </c:pt>
                <c:pt idx="38">
                  <c:v>1.0165622268885298E-3</c:v>
                </c:pt>
                <c:pt idx="39">
                  <c:v>1.813321920275814E-3</c:v>
                </c:pt>
                <c:pt idx="40">
                  <c:v>2.8788463847727241E-3</c:v>
                </c:pt>
                <c:pt idx="41">
                  <c:v>2.9744518252060631E-3</c:v>
                </c:pt>
                <c:pt idx="42">
                  <c:v>3.1328900794007886E-3</c:v>
                </c:pt>
                <c:pt idx="43">
                  <c:v>3.5545599116708526E-3</c:v>
                </c:pt>
                <c:pt idx="44">
                  <c:v>3.7468130945030845E-3</c:v>
                </c:pt>
                <c:pt idx="45">
                  <c:v>3.9143679176810832E-3</c:v>
                </c:pt>
                <c:pt idx="46">
                  <c:v>3.7289356462903746E-3</c:v>
                </c:pt>
                <c:pt idx="47">
                  <c:v>3.4796597167037801E-3</c:v>
                </c:pt>
                <c:pt idx="48">
                  <c:v>2.9555371060044746E-3</c:v>
                </c:pt>
                <c:pt idx="49">
                  <c:v>3.5060083005259575E-3</c:v>
                </c:pt>
                <c:pt idx="50">
                  <c:v>3.6106950000884767E-3</c:v>
                </c:pt>
                <c:pt idx="51">
                  <c:v>4.9859489307850198E-3</c:v>
                </c:pt>
                <c:pt idx="52">
                  <c:v>5.0017654970334674E-3</c:v>
                </c:pt>
                <c:pt idx="53">
                  <c:v>4.9798616986929034E-3</c:v>
                </c:pt>
                <c:pt idx="54">
                  <c:v>4.738844681358643E-3</c:v>
                </c:pt>
                <c:pt idx="55">
                  <c:v>4.3520982450003286E-3</c:v>
                </c:pt>
                <c:pt idx="56">
                  <c:v>4.477353391089958E-3</c:v>
                </c:pt>
                <c:pt idx="57">
                  <c:v>4.327326868143147E-3</c:v>
                </c:pt>
                <c:pt idx="58">
                  <c:v>4.8449025109789379E-3</c:v>
                </c:pt>
                <c:pt idx="59">
                  <c:v>4.3845011301345427E-3</c:v>
                </c:pt>
                <c:pt idx="60">
                  <c:v>8.1754184440092446E-3</c:v>
                </c:pt>
                <c:pt idx="61">
                  <c:v>7.8491000871990842E-3</c:v>
                </c:pt>
                <c:pt idx="62">
                  <c:v>8.9258720233591615E-3</c:v>
                </c:pt>
                <c:pt idx="63">
                  <c:v>9.1740396883246058E-3</c:v>
                </c:pt>
                <c:pt idx="64">
                  <c:v>9.6626797659908129E-3</c:v>
                </c:pt>
                <c:pt idx="65">
                  <c:v>9.9954436812740039E-3</c:v>
                </c:pt>
                <c:pt idx="66">
                  <c:v>1.0646746674594412E-2</c:v>
                </c:pt>
                <c:pt idx="67">
                  <c:v>1.1583356055378953E-2</c:v>
                </c:pt>
                <c:pt idx="68">
                  <c:v>1.1751175850231459E-2</c:v>
                </c:pt>
                <c:pt idx="69">
                  <c:v>1.1706458899650741E-2</c:v>
                </c:pt>
                <c:pt idx="70">
                  <c:v>1.1576913527105064E-2</c:v>
                </c:pt>
                <c:pt idx="71">
                  <c:v>1.1377918120347866E-2</c:v>
                </c:pt>
                <c:pt idx="72">
                  <c:v>1.1070701544351629E-2</c:v>
                </c:pt>
                <c:pt idx="73">
                  <c:v>1.1898651436884995E-2</c:v>
                </c:pt>
                <c:pt idx="74">
                  <c:v>1.1683918013390882E-2</c:v>
                </c:pt>
                <c:pt idx="75">
                  <c:v>1.113458054048125E-2</c:v>
                </c:pt>
                <c:pt idx="76">
                  <c:v>1.10045292057464E-2</c:v>
                </c:pt>
                <c:pt idx="77">
                  <c:v>1.0464644798614094E-2</c:v>
                </c:pt>
                <c:pt idx="78">
                  <c:v>1.0359008133300849E-2</c:v>
                </c:pt>
                <c:pt idx="79">
                  <c:v>1.0117041505490193E-2</c:v>
                </c:pt>
                <c:pt idx="80">
                  <c:v>1.0095746076797829E-2</c:v>
                </c:pt>
                <c:pt idx="81">
                  <c:v>9.2254787251842031E-3</c:v>
                </c:pt>
                <c:pt idx="82">
                  <c:v>8.4333649060486775E-3</c:v>
                </c:pt>
                <c:pt idx="83">
                  <c:v>8.071614789694084E-3</c:v>
                </c:pt>
                <c:pt idx="84">
                  <c:v>6.3320150174846742E-3</c:v>
                </c:pt>
                <c:pt idx="85">
                  <c:v>2.5727171978184816E-3</c:v>
                </c:pt>
                <c:pt idx="86">
                  <c:v>4.7608219502415748E-3</c:v>
                </c:pt>
                <c:pt idx="87">
                  <c:v>4.0845889519157286E-3</c:v>
                </c:pt>
                <c:pt idx="88">
                  <c:v>4.0852176812440095E-3</c:v>
                </c:pt>
                <c:pt idx="89">
                  <c:v>4.6167683601151333E-3</c:v>
                </c:pt>
                <c:pt idx="90">
                  <c:v>4.4121645770998467E-3</c:v>
                </c:pt>
                <c:pt idx="91">
                  <c:v>4.7214752259336105E-3</c:v>
                </c:pt>
                <c:pt idx="92">
                  <c:v>5.1634518119031136E-3</c:v>
                </c:pt>
                <c:pt idx="93">
                  <c:v>4.8169135452191267E-3</c:v>
                </c:pt>
                <c:pt idx="94">
                  <c:v>4.8798664219840953E-3</c:v>
                </c:pt>
                <c:pt idx="95">
                  <c:v>4.9795756319932216E-3</c:v>
                </c:pt>
                <c:pt idx="96">
                  <c:v>1.0241867565429842E-2</c:v>
                </c:pt>
                <c:pt idx="97">
                  <c:v>8.3635021649581306E-3</c:v>
                </c:pt>
                <c:pt idx="98">
                  <c:v>7.5006666219968182E-3</c:v>
                </c:pt>
                <c:pt idx="99">
                  <c:v>1.0968739573403246E-3</c:v>
                </c:pt>
                <c:pt idx="100">
                  <c:v>1.9756715804023399E-3</c:v>
                </c:pt>
                <c:pt idx="101">
                  <c:v>1.9879210262984674E-3</c:v>
                </c:pt>
                <c:pt idx="102">
                  <c:v>2.1297412180998564E-3</c:v>
                </c:pt>
                <c:pt idx="103">
                  <c:v>3.0380031604221583E-3</c:v>
                </c:pt>
                <c:pt idx="104">
                  <c:v>3.3713746550094741E-3</c:v>
                </c:pt>
                <c:pt idx="105">
                  <c:v>3.7949951639464513E-3</c:v>
                </c:pt>
                <c:pt idx="106">
                  <c:v>4.2241096730487116E-3</c:v>
                </c:pt>
                <c:pt idx="107">
                  <c:v>4.8680269469885953E-3</c:v>
                </c:pt>
                <c:pt idx="108">
                  <c:v>4.5063915866093481E-3</c:v>
                </c:pt>
                <c:pt idx="109">
                  <c:v>3.9995092580503017E-3</c:v>
                </c:pt>
                <c:pt idx="110">
                  <c:v>5.2439523670411445E-3</c:v>
                </c:pt>
                <c:pt idx="111">
                  <c:v>4.9637014061457438E-3</c:v>
                </c:pt>
                <c:pt idx="112">
                  <c:v>4.689414524492984E-3</c:v>
                </c:pt>
                <c:pt idx="113">
                  <c:v>5.5097292966034689E-3</c:v>
                </c:pt>
                <c:pt idx="114">
                  <c:v>6.001967730257695E-3</c:v>
                </c:pt>
                <c:pt idx="115">
                  <c:v>6.3000813698584042E-3</c:v>
                </c:pt>
                <c:pt idx="116">
                  <c:v>5.6902310516334879E-3</c:v>
                </c:pt>
                <c:pt idx="117">
                  <c:v>5.3709537214464203E-3</c:v>
                </c:pt>
                <c:pt idx="118">
                  <c:v>5.0736313563895007E-3</c:v>
                </c:pt>
                <c:pt idx="119">
                  <c:v>4.7728323225999974E-3</c:v>
                </c:pt>
                <c:pt idx="120">
                  <c:v>5.9345010313838851E-3</c:v>
                </c:pt>
                <c:pt idx="121">
                  <c:v>7.4505084979260214E-3</c:v>
                </c:pt>
                <c:pt idx="122">
                  <c:v>8.0606123020229292E-3</c:v>
                </c:pt>
                <c:pt idx="123">
                  <c:v>7.6379400835428213E-3</c:v>
                </c:pt>
                <c:pt idx="124">
                  <c:v>6.4290817901678527E-3</c:v>
                </c:pt>
                <c:pt idx="125">
                  <c:v>6.5242867724623031E-3</c:v>
                </c:pt>
                <c:pt idx="126">
                  <c:v>6.4358822391504108E-3</c:v>
                </c:pt>
                <c:pt idx="127">
                  <c:v>6.6814790629486642E-3</c:v>
                </c:pt>
                <c:pt idx="128">
                  <c:v>7.1532539488828803E-3</c:v>
                </c:pt>
                <c:pt idx="129">
                  <c:v>6.6036408280950925E-3</c:v>
                </c:pt>
                <c:pt idx="130">
                  <c:v>5.3210928618611002E-3</c:v>
                </c:pt>
                <c:pt idx="131">
                  <c:v>4.9364950471448591E-3</c:v>
                </c:pt>
                <c:pt idx="132">
                  <c:v>5.1366164437069402E-3</c:v>
                </c:pt>
                <c:pt idx="133">
                  <c:v>8.2108690516715689E-3</c:v>
                </c:pt>
                <c:pt idx="134">
                  <c:v>8.6194297830587095E-3</c:v>
                </c:pt>
                <c:pt idx="135">
                  <c:v>8.3183784683450862E-3</c:v>
                </c:pt>
                <c:pt idx="136">
                  <c:v>6.2892775196132754E-3</c:v>
                </c:pt>
                <c:pt idx="137">
                  <c:v>6.0344228986181705E-3</c:v>
                </c:pt>
                <c:pt idx="138">
                  <c:v>6.1352921352459166E-3</c:v>
                </c:pt>
                <c:pt idx="139">
                  <c:v>5.4474308771691156E-3</c:v>
                </c:pt>
                <c:pt idx="140">
                  <c:v>5.621641865848381E-3</c:v>
                </c:pt>
                <c:pt idx="141">
                  <c:v>6.0496726743600191E-3</c:v>
                </c:pt>
                <c:pt idx="142">
                  <c:v>6.284920529425744E-3</c:v>
                </c:pt>
                <c:pt idx="143">
                  <c:v>5.8633752117841749E-3</c:v>
                </c:pt>
                <c:pt idx="144">
                  <c:v>4.7375494406442743E-3</c:v>
                </c:pt>
                <c:pt idx="145">
                  <c:v>4.0521508266626082E-3</c:v>
                </c:pt>
                <c:pt idx="146">
                  <c:v>5.9232394775702805E-3</c:v>
                </c:pt>
                <c:pt idx="147">
                  <c:v>7.0675901146493789E-3</c:v>
                </c:pt>
                <c:pt idx="148">
                  <c:v>6.4183951016246665E-3</c:v>
                </c:pt>
                <c:pt idx="149">
                  <c:v>5.6016096400311509E-3</c:v>
                </c:pt>
                <c:pt idx="150">
                  <c:v>5.6156917502646559E-3</c:v>
                </c:pt>
                <c:pt idx="151">
                  <c:v>5.9917284876355049E-3</c:v>
                </c:pt>
                <c:pt idx="152">
                  <c:v>5.9068431990936896E-3</c:v>
                </c:pt>
                <c:pt idx="153">
                  <c:v>5.7380445076678031E-3</c:v>
                </c:pt>
                <c:pt idx="154">
                  <c:v>5.6363291897280673E-3</c:v>
                </c:pt>
                <c:pt idx="155">
                  <c:v>5.858733092048346E-3</c:v>
                </c:pt>
                <c:pt idx="156">
                  <c:v>6.6374136319422598E-3</c:v>
                </c:pt>
                <c:pt idx="157">
                  <c:v>4.638276983474892E-3</c:v>
                </c:pt>
                <c:pt idx="158">
                  <c:v>3.6714892603349246E-3</c:v>
                </c:pt>
                <c:pt idx="159">
                  <c:v>3.8066851097127373E-3</c:v>
                </c:pt>
                <c:pt idx="160">
                  <c:v>2.9448332762643191E-3</c:v>
                </c:pt>
                <c:pt idx="161">
                  <c:v>3.1617165722194773E-3</c:v>
                </c:pt>
                <c:pt idx="162">
                  <c:v>3.357131337301352E-3</c:v>
                </c:pt>
                <c:pt idx="163">
                  <c:v>4.1371620346707582E-3</c:v>
                </c:pt>
                <c:pt idx="164">
                  <c:v>3.5360087003112155E-3</c:v>
                </c:pt>
                <c:pt idx="165">
                  <c:v>4.7329421833512113E-3</c:v>
                </c:pt>
                <c:pt idx="166">
                  <c:v>3.8095377889516271E-3</c:v>
                </c:pt>
                <c:pt idx="167">
                  <c:v>3.6587004236399512E-3</c:v>
                </c:pt>
                <c:pt idx="168">
                  <c:v>3.2726809301539595E-3</c:v>
                </c:pt>
                <c:pt idx="169">
                  <c:v>4.1329149472762537E-3</c:v>
                </c:pt>
                <c:pt idx="170">
                  <c:v>2.6646979654966667E-3</c:v>
                </c:pt>
                <c:pt idx="171">
                  <c:v>3.5876303684828485E-3</c:v>
                </c:pt>
                <c:pt idx="172">
                  <c:v>3.5416710400004029E-3</c:v>
                </c:pt>
                <c:pt idx="173">
                  <c:v>3.1233353328167508E-3</c:v>
                </c:pt>
                <c:pt idx="174">
                  <c:v>3.735910447854113E-3</c:v>
                </c:pt>
                <c:pt idx="175">
                  <c:v>3.5458418874835225E-3</c:v>
                </c:pt>
                <c:pt idx="176">
                  <c:v>3.3693862806610997E-3</c:v>
                </c:pt>
                <c:pt idx="177">
                  <c:v>3.0491664529942986E-3</c:v>
                </c:pt>
                <c:pt idx="178">
                  <c:v>3.1151007022404359E-3</c:v>
                </c:pt>
                <c:pt idx="179">
                  <c:v>3.6159489685791504E-3</c:v>
                </c:pt>
                <c:pt idx="180">
                  <c:v>3.7522161525775518E-3</c:v>
                </c:pt>
                <c:pt idx="181">
                  <c:v>3.9468755527071638E-3</c:v>
                </c:pt>
                <c:pt idx="182">
                  <c:v>3.3101905246741927E-3</c:v>
                </c:pt>
                <c:pt idx="183">
                  <c:v>3.1453826998632745E-3</c:v>
                </c:pt>
                <c:pt idx="184">
                  <c:v>3.0129953969441721E-3</c:v>
                </c:pt>
                <c:pt idx="185">
                  <c:v>3.026441891364957E-3</c:v>
                </c:pt>
                <c:pt idx="186">
                  <c:v>4.0822532518301896E-3</c:v>
                </c:pt>
                <c:pt idx="187">
                  <c:v>3.896250744106529E-3</c:v>
                </c:pt>
                <c:pt idx="188">
                  <c:v>3.7870435743566897E-3</c:v>
                </c:pt>
                <c:pt idx="189">
                  <c:v>3.8958045027537211E-3</c:v>
                </c:pt>
                <c:pt idx="190">
                  <c:v>3.9441158259413724E-3</c:v>
                </c:pt>
                <c:pt idx="191">
                  <c:v>2.9281735550124367E-3</c:v>
                </c:pt>
                <c:pt idx="192" formatCode="0.00%">
                  <c:v>2.6557240042481252E-3</c:v>
                </c:pt>
                <c:pt idx="193">
                  <c:v>4.9979779160992588E-3</c:v>
                </c:pt>
                <c:pt idx="194">
                  <c:v>5.0673987605957599E-3</c:v>
                </c:pt>
                <c:pt idx="195">
                  <c:v>4.665991233224742E-3</c:v>
                </c:pt>
                <c:pt idx="196">
                  <c:v>5.7345793445350473E-3</c:v>
                </c:pt>
                <c:pt idx="197">
                  <c:v>7.8646958909111119E-3</c:v>
                </c:pt>
                <c:pt idx="198">
                  <c:v>1.1773737816178322E-2</c:v>
                </c:pt>
                <c:pt idx="199">
                  <c:v>1.0587442750347027E-2</c:v>
                </c:pt>
                <c:pt idx="200">
                  <c:v>9.9580426282730328E-3</c:v>
                </c:pt>
              </c:numCache>
            </c:numRef>
          </c:val>
          <c:smooth val="0"/>
          <c:extLst>
            <c:ext xmlns:c16="http://schemas.microsoft.com/office/drawing/2014/chart" uri="{C3380CC4-5D6E-409C-BE32-E72D297353CC}">
              <c16:uniqueId val="{00000002-E837-4200-82E6-4F115BF5BE69}"/>
            </c:ext>
          </c:extLst>
        </c:ser>
        <c:ser>
          <c:idx val="1"/>
          <c:order val="1"/>
          <c:tx>
            <c:strRef>
              <c:f>Rozpúšťadlo!$B$30</c:f>
              <c:strCache>
                <c:ptCount val="1"/>
                <c:pt idx="0">
                  <c:v>Priemerná tvorba opravných položiek v období 2011 - 2019</c:v>
                </c:pt>
              </c:strCache>
            </c:strRef>
          </c:tx>
          <c:spPr>
            <a:ln w="19050" cap="rnd">
              <a:solidFill>
                <a:srgbClr val="FF0000"/>
              </a:solidFill>
              <a:round/>
            </a:ln>
            <a:effectLst/>
          </c:spPr>
          <c:marker>
            <c:symbol val="none"/>
          </c:marker>
          <c:cat>
            <c:numRef>
              <c:f>Rozpúšťadlo!$F$1:$GX$1</c:f>
              <c:numCache>
                <c:formatCode>mmm\-yy</c:formatCode>
                <c:ptCount val="201"/>
                <c:pt idx="0">
                  <c:v>37956</c:v>
                </c:pt>
                <c:pt idx="1">
                  <c:v>37987</c:v>
                </c:pt>
                <c:pt idx="2">
                  <c:v>38018</c:v>
                </c:pt>
                <c:pt idx="3">
                  <c:v>38047</c:v>
                </c:pt>
                <c:pt idx="4">
                  <c:v>38078</c:v>
                </c:pt>
                <c:pt idx="5">
                  <c:v>38108</c:v>
                </c:pt>
                <c:pt idx="6">
                  <c:v>38139</c:v>
                </c:pt>
                <c:pt idx="7">
                  <c:v>38169</c:v>
                </c:pt>
                <c:pt idx="8">
                  <c:v>38200</c:v>
                </c:pt>
                <c:pt idx="9">
                  <c:v>38231</c:v>
                </c:pt>
                <c:pt idx="10">
                  <c:v>38261</c:v>
                </c:pt>
                <c:pt idx="11">
                  <c:v>38292</c:v>
                </c:pt>
                <c:pt idx="12">
                  <c:v>38322</c:v>
                </c:pt>
                <c:pt idx="13">
                  <c:v>38353</c:v>
                </c:pt>
                <c:pt idx="14">
                  <c:v>38384</c:v>
                </c:pt>
                <c:pt idx="15">
                  <c:v>38412</c:v>
                </c:pt>
                <c:pt idx="16">
                  <c:v>38443</c:v>
                </c:pt>
                <c:pt idx="17">
                  <c:v>38473</c:v>
                </c:pt>
                <c:pt idx="18">
                  <c:v>38504</c:v>
                </c:pt>
                <c:pt idx="19">
                  <c:v>38534</c:v>
                </c:pt>
                <c:pt idx="20">
                  <c:v>38565</c:v>
                </c:pt>
                <c:pt idx="21">
                  <c:v>38596</c:v>
                </c:pt>
                <c:pt idx="22">
                  <c:v>38626</c:v>
                </c:pt>
                <c:pt idx="23">
                  <c:v>38657</c:v>
                </c:pt>
                <c:pt idx="24">
                  <c:v>38687</c:v>
                </c:pt>
                <c:pt idx="25">
                  <c:v>38718</c:v>
                </c:pt>
                <c:pt idx="26">
                  <c:v>38749</c:v>
                </c:pt>
                <c:pt idx="27">
                  <c:v>38777</c:v>
                </c:pt>
                <c:pt idx="28">
                  <c:v>38808</c:v>
                </c:pt>
                <c:pt idx="29">
                  <c:v>38838</c:v>
                </c:pt>
                <c:pt idx="30">
                  <c:v>38869</c:v>
                </c:pt>
                <c:pt idx="31">
                  <c:v>38899</c:v>
                </c:pt>
                <c:pt idx="32">
                  <c:v>38930</c:v>
                </c:pt>
                <c:pt idx="33">
                  <c:v>38961</c:v>
                </c:pt>
                <c:pt idx="34">
                  <c:v>38991</c:v>
                </c:pt>
                <c:pt idx="35">
                  <c:v>39022</c:v>
                </c:pt>
                <c:pt idx="36">
                  <c:v>39052</c:v>
                </c:pt>
                <c:pt idx="37">
                  <c:v>39083</c:v>
                </c:pt>
                <c:pt idx="38">
                  <c:v>39114</c:v>
                </c:pt>
                <c:pt idx="39">
                  <c:v>39142</c:v>
                </c:pt>
                <c:pt idx="40">
                  <c:v>39173</c:v>
                </c:pt>
                <c:pt idx="41">
                  <c:v>39203</c:v>
                </c:pt>
                <c:pt idx="42">
                  <c:v>39234</c:v>
                </c:pt>
                <c:pt idx="43">
                  <c:v>39264</c:v>
                </c:pt>
                <c:pt idx="44">
                  <c:v>39295</c:v>
                </c:pt>
                <c:pt idx="45">
                  <c:v>39326</c:v>
                </c:pt>
                <c:pt idx="46">
                  <c:v>39356</c:v>
                </c:pt>
                <c:pt idx="47">
                  <c:v>39387</c:v>
                </c:pt>
                <c:pt idx="48">
                  <c:v>39417</c:v>
                </c:pt>
                <c:pt idx="49">
                  <c:v>39448</c:v>
                </c:pt>
                <c:pt idx="50">
                  <c:v>39479</c:v>
                </c:pt>
                <c:pt idx="51">
                  <c:v>39508</c:v>
                </c:pt>
                <c:pt idx="52">
                  <c:v>39539</c:v>
                </c:pt>
                <c:pt idx="53">
                  <c:v>39569</c:v>
                </c:pt>
                <c:pt idx="54">
                  <c:v>39600</c:v>
                </c:pt>
                <c:pt idx="55">
                  <c:v>39630</c:v>
                </c:pt>
                <c:pt idx="56">
                  <c:v>39661</c:v>
                </c:pt>
                <c:pt idx="57">
                  <c:v>39692</c:v>
                </c:pt>
                <c:pt idx="58">
                  <c:v>39722</c:v>
                </c:pt>
                <c:pt idx="59">
                  <c:v>39753</c:v>
                </c:pt>
                <c:pt idx="60">
                  <c:v>39783</c:v>
                </c:pt>
                <c:pt idx="61">
                  <c:v>39814</c:v>
                </c:pt>
                <c:pt idx="62">
                  <c:v>39845</c:v>
                </c:pt>
                <c:pt idx="63">
                  <c:v>39873</c:v>
                </c:pt>
                <c:pt idx="64">
                  <c:v>39904</c:v>
                </c:pt>
                <c:pt idx="65">
                  <c:v>39934</c:v>
                </c:pt>
                <c:pt idx="66">
                  <c:v>39965</c:v>
                </c:pt>
                <c:pt idx="67">
                  <c:v>39995</c:v>
                </c:pt>
                <c:pt idx="68">
                  <c:v>40026</c:v>
                </c:pt>
                <c:pt idx="69">
                  <c:v>40057</c:v>
                </c:pt>
                <c:pt idx="70">
                  <c:v>40087</c:v>
                </c:pt>
                <c:pt idx="71">
                  <c:v>40118</c:v>
                </c:pt>
                <c:pt idx="72">
                  <c:v>40148</c:v>
                </c:pt>
                <c:pt idx="73">
                  <c:v>40179</c:v>
                </c:pt>
                <c:pt idx="74">
                  <c:v>40210</c:v>
                </c:pt>
                <c:pt idx="75">
                  <c:v>40238</c:v>
                </c:pt>
                <c:pt idx="76">
                  <c:v>40269</c:v>
                </c:pt>
                <c:pt idx="77">
                  <c:v>40299</c:v>
                </c:pt>
                <c:pt idx="78">
                  <c:v>40330</c:v>
                </c:pt>
                <c:pt idx="79">
                  <c:v>40360</c:v>
                </c:pt>
                <c:pt idx="80">
                  <c:v>40391</c:v>
                </c:pt>
                <c:pt idx="81">
                  <c:v>40422</c:v>
                </c:pt>
                <c:pt idx="82">
                  <c:v>40452</c:v>
                </c:pt>
                <c:pt idx="83">
                  <c:v>40483</c:v>
                </c:pt>
                <c:pt idx="84">
                  <c:v>40513</c:v>
                </c:pt>
                <c:pt idx="85">
                  <c:v>40544</c:v>
                </c:pt>
                <c:pt idx="86">
                  <c:v>40575</c:v>
                </c:pt>
                <c:pt idx="87">
                  <c:v>40603</c:v>
                </c:pt>
                <c:pt idx="88">
                  <c:v>40634</c:v>
                </c:pt>
                <c:pt idx="89">
                  <c:v>40664</c:v>
                </c:pt>
                <c:pt idx="90">
                  <c:v>40695</c:v>
                </c:pt>
                <c:pt idx="91">
                  <c:v>40725</c:v>
                </c:pt>
                <c:pt idx="92">
                  <c:v>40756</c:v>
                </c:pt>
                <c:pt idx="93">
                  <c:v>40787</c:v>
                </c:pt>
                <c:pt idx="94">
                  <c:v>40817</c:v>
                </c:pt>
                <c:pt idx="95">
                  <c:v>40848</c:v>
                </c:pt>
                <c:pt idx="96">
                  <c:v>40878</c:v>
                </c:pt>
                <c:pt idx="97">
                  <c:v>40909</c:v>
                </c:pt>
                <c:pt idx="98">
                  <c:v>40940</c:v>
                </c:pt>
                <c:pt idx="99">
                  <c:v>40969</c:v>
                </c:pt>
                <c:pt idx="100">
                  <c:v>41000</c:v>
                </c:pt>
                <c:pt idx="101">
                  <c:v>41030</c:v>
                </c:pt>
                <c:pt idx="102">
                  <c:v>41061</c:v>
                </c:pt>
                <c:pt idx="103">
                  <c:v>41091</c:v>
                </c:pt>
                <c:pt idx="104">
                  <c:v>41122</c:v>
                </c:pt>
                <c:pt idx="105">
                  <c:v>41153</c:v>
                </c:pt>
                <c:pt idx="106">
                  <c:v>41183</c:v>
                </c:pt>
                <c:pt idx="107">
                  <c:v>41214</c:v>
                </c:pt>
                <c:pt idx="108">
                  <c:v>41244</c:v>
                </c:pt>
                <c:pt idx="109">
                  <c:v>41275</c:v>
                </c:pt>
                <c:pt idx="110">
                  <c:v>41306</c:v>
                </c:pt>
                <c:pt idx="111">
                  <c:v>41334</c:v>
                </c:pt>
                <c:pt idx="112">
                  <c:v>41365</c:v>
                </c:pt>
                <c:pt idx="113">
                  <c:v>41395</c:v>
                </c:pt>
                <c:pt idx="114">
                  <c:v>41426</c:v>
                </c:pt>
                <c:pt idx="115">
                  <c:v>41456</c:v>
                </c:pt>
                <c:pt idx="116">
                  <c:v>41487</c:v>
                </c:pt>
                <c:pt idx="117">
                  <c:v>41518</c:v>
                </c:pt>
                <c:pt idx="118">
                  <c:v>41548</c:v>
                </c:pt>
                <c:pt idx="119">
                  <c:v>41579</c:v>
                </c:pt>
                <c:pt idx="120">
                  <c:v>41609</c:v>
                </c:pt>
                <c:pt idx="121">
                  <c:v>41640</c:v>
                </c:pt>
                <c:pt idx="122">
                  <c:v>41671</c:v>
                </c:pt>
                <c:pt idx="123">
                  <c:v>41699</c:v>
                </c:pt>
                <c:pt idx="124">
                  <c:v>41730</c:v>
                </c:pt>
                <c:pt idx="125">
                  <c:v>41760</c:v>
                </c:pt>
                <c:pt idx="126">
                  <c:v>41791</c:v>
                </c:pt>
                <c:pt idx="127">
                  <c:v>41821</c:v>
                </c:pt>
                <c:pt idx="128">
                  <c:v>41852</c:v>
                </c:pt>
                <c:pt idx="129">
                  <c:v>41883</c:v>
                </c:pt>
                <c:pt idx="130">
                  <c:v>41913</c:v>
                </c:pt>
                <c:pt idx="131">
                  <c:v>41944</c:v>
                </c:pt>
                <c:pt idx="132">
                  <c:v>41974</c:v>
                </c:pt>
                <c:pt idx="133">
                  <c:v>42005</c:v>
                </c:pt>
                <c:pt idx="134">
                  <c:v>42036</c:v>
                </c:pt>
                <c:pt idx="135">
                  <c:v>42064</c:v>
                </c:pt>
                <c:pt idx="136">
                  <c:v>42095</c:v>
                </c:pt>
                <c:pt idx="137">
                  <c:v>42125</c:v>
                </c:pt>
                <c:pt idx="138">
                  <c:v>42156</c:v>
                </c:pt>
                <c:pt idx="139">
                  <c:v>42186</c:v>
                </c:pt>
                <c:pt idx="140">
                  <c:v>42217</c:v>
                </c:pt>
                <c:pt idx="141">
                  <c:v>42248</c:v>
                </c:pt>
                <c:pt idx="142">
                  <c:v>42278</c:v>
                </c:pt>
                <c:pt idx="143">
                  <c:v>42309</c:v>
                </c:pt>
                <c:pt idx="144">
                  <c:v>42339</c:v>
                </c:pt>
                <c:pt idx="145">
                  <c:v>42370</c:v>
                </c:pt>
                <c:pt idx="146">
                  <c:v>42401</c:v>
                </c:pt>
                <c:pt idx="147">
                  <c:v>42430</c:v>
                </c:pt>
                <c:pt idx="148">
                  <c:v>42461</c:v>
                </c:pt>
                <c:pt idx="149">
                  <c:v>42491</c:v>
                </c:pt>
                <c:pt idx="150">
                  <c:v>42522</c:v>
                </c:pt>
                <c:pt idx="151">
                  <c:v>42552</c:v>
                </c:pt>
                <c:pt idx="152">
                  <c:v>42583</c:v>
                </c:pt>
                <c:pt idx="153">
                  <c:v>42614</c:v>
                </c:pt>
                <c:pt idx="154">
                  <c:v>42644</c:v>
                </c:pt>
                <c:pt idx="155">
                  <c:v>42675</c:v>
                </c:pt>
                <c:pt idx="156">
                  <c:v>42705</c:v>
                </c:pt>
                <c:pt idx="157">
                  <c:v>42736</c:v>
                </c:pt>
                <c:pt idx="158">
                  <c:v>42767</c:v>
                </c:pt>
                <c:pt idx="159">
                  <c:v>42795</c:v>
                </c:pt>
                <c:pt idx="160">
                  <c:v>42826</c:v>
                </c:pt>
                <c:pt idx="161">
                  <c:v>42856</c:v>
                </c:pt>
                <c:pt idx="162">
                  <c:v>42887</c:v>
                </c:pt>
                <c:pt idx="163">
                  <c:v>42917</c:v>
                </c:pt>
                <c:pt idx="164">
                  <c:v>42948</c:v>
                </c:pt>
                <c:pt idx="165">
                  <c:v>42979</c:v>
                </c:pt>
                <c:pt idx="166">
                  <c:v>43009</c:v>
                </c:pt>
                <c:pt idx="167">
                  <c:v>43040</c:v>
                </c:pt>
                <c:pt idx="168">
                  <c:v>43070</c:v>
                </c:pt>
                <c:pt idx="169">
                  <c:v>43101</c:v>
                </c:pt>
                <c:pt idx="170">
                  <c:v>43132</c:v>
                </c:pt>
                <c:pt idx="171">
                  <c:v>43160</c:v>
                </c:pt>
                <c:pt idx="172">
                  <c:v>43191</c:v>
                </c:pt>
                <c:pt idx="173">
                  <c:v>43221</c:v>
                </c:pt>
                <c:pt idx="174">
                  <c:v>43252</c:v>
                </c:pt>
                <c:pt idx="175">
                  <c:v>43282</c:v>
                </c:pt>
                <c:pt idx="176">
                  <c:v>43313</c:v>
                </c:pt>
                <c:pt idx="177">
                  <c:v>43344</c:v>
                </c:pt>
                <c:pt idx="178">
                  <c:v>43374</c:v>
                </c:pt>
                <c:pt idx="179">
                  <c:v>43405</c:v>
                </c:pt>
                <c:pt idx="180">
                  <c:v>43435</c:v>
                </c:pt>
                <c:pt idx="181">
                  <c:v>43466</c:v>
                </c:pt>
                <c:pt idx="182">
                  <c:v>43497</c:v>
                </c:pt>
                <c:pt idx="183">
                  <c:v>43525</c:v>
                </c:pt>
                <c:pt idx="184">
                  <c:v>43556</c:v>
                </c:pt>
                <c:pt idx="185">
                  <c:v>43586</c:v>
                </c:pt>
                <c:pt idx="186">
                  <c:v>43617</c:v>
                </c:pt>
                <c:pt idx="187">
                  <c:v>43647</c:v>
                </c:pt>
                <c:pt idx="188">
                  <c:v>43678</c:v>
                </c:pt>
                <c:pt idx="189">
                  <c:v>43709</c:v>
                </c:pt>
                <c:pt idx="190">
                  <c:v>43739</c:v>
                </c:pt>
                <c:pt idx="191">
                  <c:v>43770</c:v>
                </c:pt>
                <c:pt idx="192">
                  <c:v>43800</c:v>
                </c:pt>
                <c:pt idx="193">
                  <c:v>43831</c:v>
                </c:pt>
                <c:pt idx="194">
                  <c:v>43862</c:v>
                </c:pt>
                <c:pt idx="195">
                  <c:v>43891</c:v>
                </c:pt>
                <c:pt idx="196">
                  <c:v>43922</c:v>
                </c:pt>
                <c:pt idx="197">
                  <c:v>43952</c:v>
                </c:pt>
                <c:pt idx="198">
                  <c:v>43983</c:v>
                </c:pt>
                <c:pt idx="199">
                  <c:v>44013</c:v>
                </c:pt>
                <c:pt idx="200">
                  <c:v>44044</c:v>
                </c:pt>
              </c:numCache>
            </c:numRef>
          </c:cat>
          <c:val>
            <c:numRef>
              <c:f>Rozpúšťadlo!$F$30:$GV$30</c:f>
              <c:numCache>
                <c:formatCode>General</c:formatCode>
                <c:ptCount val="199"/>
                <c:pt idx="0">
                  <c:v>4.8496885938443361E-3</c:v>
                </c:pt>
                <c:pt idx="1">
                  <c:v>4.8496885938443361E-3</c:v>
                </c:pt>
                <c:pt idx="2">
                  <c:v>4.8496885938443361E-3</c:v>
                </c:pt>
                <c:pt idx="3">
                  <c:v>4.8496885938443361E-3</c:v>
                </c:pt>
                <c:pt idx="4">
                  <c:v>4.8496885938443361E-3</c:v>
                </c:pt>
                <c:pt idx="5">
                  <c:v>4.8496885938443361E-3</c:v>
                </c:pt>
                <c:pt idx="6">
                  <c:v>4.8496885938443361E-3</c:v>
                </c:pt>
                <c:pt idx="7">
                  <c:v>4.8496885938443361E-3</c:v>
                </c:pt>
                <c:pt idx="8">
                  <c:v>4.8496885938443361E-3</c:v>
                </c:pt>
                <c:pt idx="9">
                  <c:v>4.8496885938443361E-3</c:v>
                </c:pt>
                <c:pt idx="10">
                  <c:v>4.8496885938443361E-3</c:v>
                </c:pt>
                <c:pt idx="11">
                  <c:v>4.8496885938443361E-3</c:v>
                </c:pt>
                <c:pt idx="12">
                  <c:v>4.8496885938443361E-3</c:v>
                </c:pt>
                <c:pt idx="13">
                  <c:v>4.8496885938443361E-3</c:v>
                </c:pt>
                <c:pt idx="14">
                  <c:v>4.8496885938443361E-3</c:v>
                </c:pt>
                <c:pt idx="15">
                  <c:v>4.8496885938443361E-3</c:v>
                </c:pt>
                <c:pt idx="16">
                  <c:v>4.8496885938443361E-3</c:v>
                </c:pt>
                <c:pt idx="17">
                  <c:v>4.8496885938443361E-3</c:v>
                </c:pt>
                <c:pt idx="18">
                  <c:v>4.8496885938443361E-3</c:v>
                </c:pt>
                <c:pt idx="19">
                  <c:v>4.8496885938443361E-3</c:v>
                </c:pt>
                <c:pt idx="20">
                  <c:v>4.8496885938443361E-3</c:v>
                </c:pt>
                <c:pt idx="21">
                  <c:v>4.8496885938443361E-3</c:v>
                </c:pt>
                <c:pt idx="22">
                  <c:v>4.8496885938443361E-3</c:v>
                </c:pt>
                <c:pt idx="23">
                  <c:v>4.8496885938443361E-3</c:v>
                </c:pt>
                <c:pt idx="24">
                  <c:v>4.8496885938443361E-3</c:v>
                </c:pt>
                <c:pt idx="25">
                  <c:v>4.8496885938443361E-3</c:v>
                </c:pt>
                <c:pt idx="26">
                  <c:v>4.8496885938443361E-3</c:v>
                </c:pt>
                <c:pt idx="27">
                  <c:v>4.8496885938443361E-3</c:v>
                </c:pt>
                <c:pt idx="28">
                  <c:v>4.8496885938443361E-3</c:v>
                </c:pt>
                <c:pt idx="29">
                  <c:v>4.8496885938443361E-3</c:v>
                </c:pt>
                <c:pt idx="30">
                  <c:v>4.8496885938443361E-3</c:v>
                </c:pt>
                <c:pt idx="31">
                  <c:v>4.8496885938443361E-3</c:v>
                </c:pt>
                <c:pt idx="32">
                  <c:v>4.8496885938443361E-3</c:v>
                </c:pt>
                <c:pt idx="33">
                  <c:v>4.8496885938443361E-3</c:v>
                </c:pt>
                <c:pt idx="34">
                  <c:v>4.8496885938443361E-3</c:v>
                </c:pt>
                <c:pt idx="35">
                  <c:v>4.8496885938443361E-3</c:v>
                </c:pt>
                <c:pt idx="36">
                  <c:v>4.8496885938443361E-3</c:v>
                </c:pt>
                <c:pt idx="37">
                  <c:v>4.8496885938443361E-3</c:v>
                </c:pt>
                <c:pt idx="38">
                  <c:v>4.8496885938443361E-3</c:v>
                </c:pt>
                <c:pt idx="39">
                  <c:v>4.8496885938443361E-3</c:v>
                </c:pt>
                <c:pt idx="40">
                  <c:v>4.8496885938443361E-3</c:v>
                </c:pt>
                <c:pt idx="41">
                  <c:v>4.8496885938443361E-3</c:v>
                </c:pt>
                <c:pt idx="42">
                  <c:v>4.8496885938443361E-3</c:v>
                </c:pt>
                <c:pt idx="43">
                  <c:v>4.8496885938443361E-3</c:v>
                </c:pt>
                <c:pt idx="44">
                  <c:v>4.8496885938443361E-3</c:v>
                </c:pt>
                <c:pt idx="45">
                  <c:v>4.8496885938443361E-3</c:v>
                </c:pt>
                <c:pt idx="46">
                  <c:v>4.8496885938443361E-3</c:v>
                </c:pt>
                <c:pt idx="47">
                  <c:v>4.8496885938443361E-3</c:v>
                </c:pt>
                <c:pt idx="48">
                  <c:v>4.8496885938443361E-3</c:v>
                </c:pt>
                <c:pt idx="49">
                  <c:v>4.8496885938443361E-3</c:v>
                </c:pt>
                <c:pt idx="50">
                  <c:v>4.8496885938443361E-3</c:v>
                </c:pt>
                <c:pt idx="51">
                  <c:v>4.8496885938443361E-3</c:v>
                </c:pt>
                <c:pt idx="52">
                  <c:v>4.8496885938443361E-3</c:v>
                </c:pt>
                <c:pt idx="53">
                  <c:v>4.8496885938443361E-3</c:v>
                </c:pt>
                <c:pt idx="54">
                  <c:v>4.8496885938443361E-3</c:v>
                </c:pt>
                <c:pt idx="55">
                  <c:v>4.8496885938443361E-3</c:v>
                </c:pt>
                <c:pt idx="56">
                  <c:v>4.8496885938443361E-3</c:v>
                </c:pt>
                <c:pt idx="57">
                  <c:v>4.8496885938443361E-3</c:v>
                </c:pt>
                <c:pt idx="58">
                  <c:v>4.8496885938443361E-3</c:v>
                </c:pt>
                <c:pt idx="59">
                  <c:v>4.8496885938443361E-3</c:v>
                </c:pt>
                <c:pt idx="60">
                  <c:v>4.8496885938443361E-3</c:v>
                </c:pt>
                <c:pt idx="61">
                  <c:v>4.8496885938443361E-3</c:v>
                </c:pt>
                <c:pt idx="62">
                  <c:v>4.8496885938443361E-3</c:v>
                </c:pt>
                <c:pt idx="63">
                  <c:v>4.8496885938443361E-3</c:v>
                </c:pt>
                <c:pt idx="64">
                  <c:v>4.8496885938443361E-3</c:v>
                </c:pt>
                <c:pt idx="65">
                  <c:v>4.8496885938443361E-3</c:v>
                </c:pt>
                <c:pt idx="66">
                  <c:v>4.8496885938443361E-3</c:v>
                </c:pt>
                <c:pt idx="67">
                  <c:v>4.8496885938443361E-3</c:v>
                </c:pt>
                <c:pt idx="68">
                  <c:v>4.8496885938443361E-3</c:v>
                </c:pt>
                <c:pt idx="69">
                  <c:v>4.8496885938443361E-3</c:v>
                </c:pt>
                <c:pt idx="70">
                  <c:v>4.8496885938443361E-3</c:v>
                </c:pt>
                <c:pt idx="71">
                  <c:v>4.8496885938443361E-3</c:v>
                </c:pt>
                <c:pt idx="72">
                  <c:v>4.8496885938443361E-3</c:v>
                </c:pt>
                <c:pt idx="73">
                  <c:v>4.8496885938443361E-3</c:v>
                </c:pt>
                <c:pt idx="74">
                  <c:v>4.8496885938443361E-3</c:v>
                </c:pt>
                <c:pt idx="75">
                  <c:v>4.8496885938443361E-3</c:v>
                </c:pt>
                <c:pt idx="76">
                  <c:v>4.8496885938443361E-3</c:v>
                </c:pt>
                <c:pt idx="77">
                  <c:v>4.8496885938443361E-3</c:v>
                </c:pt>
                <c:pt idx="78">
                  <c:v>4.8496885938443361E-3</c:v>
                </c:pt>
                <c:pt idx="79">
                  <c:v>4.8496885938443361E-3</c:v>
                </c:pt>
                <c:pt idx="80">
                  <c:v>4.8496885938443361E-3</c:v>
                </c:pt>
                <c:pt idx="81">
                  <c:v>4.8496885938443361E-3</c:v>
                </c:pt>
                <c:pt idx="82">
                  <c:v>4.8496885938443361E-3</c:v>
                </c:pt>
                <c:pt idx="83">
                  <c:v>4.8496885938443361E-3</c:v>
                </c:pt>
                <c:pt idx="84">
                  <c:v>4.8496885938443361E-3</c:v>
                </c:pt>
                <c:pt idx="85">
                  <c:v>4.8496885938443361E-3</c:v>
                </c:pt>
                <c:pt idx="86">
                  <c:v>4.8496885938443361E-3</c:v>
                </c:pt>
                <c:pt idx="87">
                  <c:v>4.8496885938443361E-3</c:v>
                </c:pt>
                <c:pt idx="88">
                  <c:v>4.8496885938443361E-3</c:v>
                </c:pt>
                <c:pt idx="89">
                  <c:v>4.8496885938443361E-3</c:v>
                </c:pt>
                <c:pt idx="90">
                  <c:v>4.8496885938443361E-3</c:v>
                </c:pt>
                <c:pt idx="91">
                  <c:v>4.8496885938443361E-3</c:v>
                </c:pt>
                <c:pt idx="92">
                  <c:v>4.8496885938443361E-3</c:v>
                </c:pt>
                <c:pt idx="93">
                  <c:v>4.8496885938443361E-3</c:v>
                </c:pt>
                <c:pt idx="94">
                  <c:v>4.8496885938443361E-3</c:v>
                </c:pt>
                <c:pt idx="95">
                  <c:v>4.8496885938443361E-3</c:v>
                </c:pt>
                <c:pt idx="96">
                  <c:v>4.8496885938443361E-3</c:v>
                </c:pt>
                <c:pt idx="97">
                  <c:v>4.8496885938443361E-3</c:v>
                </c:pt>
                <c:pt idx="98">
                  <c:v>4.8496885938443361E-3</c:v>
                </c:pt>
                <c:pt idx="99">
                  <c:v>4.8496885938443361E-3</c:v>
                </c:pt>
                <c:pt idx="100">
                  <c:v>4.8496885938443361E-3</c:v>
                </c:pt>
                <c:pt idx="101">
                  <c:v>4.8496885938443361E-3</c:v>
                </c:pt>
                <c:pt idx="102">
                  <c:v>4.8496885938443361E-3</c:v>
                </c:pt>
                <c:pt idx="103">
                  <c:v>4.8496885938443361E-3</c:v>
                </c:pt>
                <c:pt idx="104">
                  <c:v>4.8496885938443361E-3</c:v>
                </c:pt>
                <c:pt idx="105">
                  <c:v>4.8496885938443361E-3</c:v>
                </c:pt>
                <c:pt idx="106">
                  <c:v>4.8496885938443361E-3</c:v>
                </c:pt>
                <c:pt idx="107">
                  <c:v>4.8496885938443361E-3</c:v>
                </c:pt>
                <c:pt idx="108">
                  <c:v>4.8496885938443361E-3</c:v>
                </c:pt>
                <c:pt idx="109">
                  <c:v>4.8496885938443361E-3</c:v>
                </c:pt>
                <c:pt idx="110">
                  <c:v>4.8496885938443361E-3</c:v>
                </c:pt>
                <c:pt idx="111">
                  <c:v>4.8496885938443361E-3</c:v>
                </c:pt>
                <c:pt idx="112">
                  <c:v>4.8496885938443361E-3</c:v>
                </c:pt>
                <c:pt idx="113">
                  <c:v>4.8496885938443361E-3</c:v>
                </c:pt>
                <c:pt idx="114">
                  <c:v>4.8496885938443361E-3</c:v>
                </c:pt>
                <c:pt idx="115">
                  <c:v>4.8496885938443361E-3</c:v>
                </c:pt>
                <c:pt idx="116">
                  <c:v>4.8496885938443361E-3</c:v>
                </c:pt>
                <c:pt idx="117">
                  <c:v>4.8496885938443361E-3</c:v>
                </c:pt>
                <c:pt idx="118">
                  <c:v>4.8496885938443361E-3</c:v>
                </c:pt>
                <c:pt idx="119">
                  <c:v>4.8496885938443361E-3</c:v>
                </c:pt>
                <c:pt idx="120">
                  <c:v>4.8496885938443361E-3</c:v>
                </c:pt>
                <c:pt idx="121">
                  <c:v>4.8496885938443361E-3</c:v>
                </c:pt>
                <c:pt idx="122">
                  <c:v>4.8496885938443361E-3</c:v>
                </c:pt>
                <c:pt idx="123">
                  <c:v>4.8496885938443361E-3</c:v>
                </c:pt>
                <c:pt idx="124">
                  <c:v>4.8496885938443361E-3</c:v>
                </c:pt>
                <c:pt idx="125">
                  <c:v>4.8496885938443361E-3</c:v>
                </c:pt>
                <c:pt idx="126">
                  <c:v>4.8496885938443361E-3</c:v>
                </c:pt>
                <c:pt idx="127">
                  <c:v>4.8496885938443361E-3</c:v>
                </c:pt>
                <c:pt idx="128">
                  <c:v>4.8496885938443361E-3</c:v>
                </c:pt>
                <c:pt idx="129">
                  <c:v>4.8496885938443361E-3</c:v>
                </c:pt>
                <c:pt idx="130">
                  <c:v>4.8496885938443361E-3</c:v>
                </c:pt>
                <c:pt idx="131">
                  <c:v>4.8496885938443361E-3</c:v>
                </c:pt>
                <c:pt idx="132">
                  <c:v>4.8496885938443361E-3</c:v>
                </c:pt>
                <c:pt idx="133">
                  <c:v>4.8496885938443361E-3</c:v>
                </c:pt>
                <c:pt idx="134">
                  <c:v>4.8496885938443361E-3</c:v>
                </c:pt>
                <c:pt idx="135">
                  <c:v>4.8496885938443361E-3</c:v>
                </c:pt>
                <c:pt idx="136">
                  <c:v>4.8496885938443361E-3</c:v>
                </c:pt>
                <c:pt idx="137">
                  <c:v>4.8496885938443361E-3</c:v>
                </c:pt>
                <c:pt idx="138">
                  <c:v>4.8496885938443361E-3</c:v>
                </c:pt>
                <c:pt idx="139">
                  <c:v>4.8496885938443361E-3</c:v>
                </c:pt>
                <c:pt idx="140">
                  <c:v>4.8496885938443361E-3</c:v>
                </c:pt>
                <c:pt idx="141">
                  <c:v>4.8496885938443361E-3</c:v>
                </c:pt>
                <c:pt idx="142">
                  <c:v>4.8496885938443361E-3</c:v>
                </c:pt>
                <c:pt idx="143">
                  <c:v>4.8496885938443361E-3</c:v>
                </c:pt>
                <c:pt idx="144">
                  <c:v>4.8496885938443361E-3</c:v>
                </c:pt>
                <c:pt idx="145">
                  <c:v>4.8496885938443361E-3</c:v>
                </c:pt>
                <c:pt idx="146">
                  <c:v>4.8496885938443361E-3</c:v>
                </c:pt>
                <c:pt idx="147">
                  <c:v>4.8496885938443361E-3</c:v>
                </c:pt>
                <c:pt idx="148">
                  <c:v>4.8496885938443361E-3</c:v>
                </c:pt>
                <c:pt idx="149">
                  <c:v>4.8496885938443361E-3</c:v>
                </c:pt>
                <c:pt idx="150">
                  <c:v>4.8496885938443361E-3</c:v>
                </c:pt>
                <c:pt idx="151">
                  <c:v>4.8496885938443361E-3</c:v>
                </c:pt>
                <c:pt idx="152">
                  <c:v>4.8496885938443361E-3</c:v>
                </c:pt>
                <c:pt idx="153">
                  <c:v>4.8496885938443361E-3</c:v>
                </c:pt>
                <c:pt idx="154">
                  <c:v>4.8496885938443361E-3</c:v>
                </c:pt>
                <c:pt idx="155">
                  <c:v>4.8496885938443361E-3</c:v>
                </c:pt>
                <c:pt idx="156">
                  <c:v>4.8496885938443361E-3</c:v>
                </c:pt>
                <c:pt idx="157">
                  <c:v>4.8496885938443361E-3</c:v>
                </c:pt>
                <c:pt idx="158">
                  <c:v>4.8496885938443361E-3</c:v>
                </c:pt>
                <c:pt idx="159">
                  <c:v>4.8496885938443361E-3</c:v>
                </c:pt>
                <c:pt idx="160">
                  <c:v>4.8496885938443361E-3</c:v>
                </c:pt>
                <c:pt idx="161">
                  <c:v>4.8496885938443361E-3</c:v>
                </c:pt>
                <c:pt idx="162">
                  <c:v>4.8496885938443361E-3</c:v>
                </c:pt>
                <c:pt idx="163">
                  <c:v>4.8496885938443361E-3</c:v>
                </c:pt>
                <c:pt idx="164">
                  <c:v>4.8496885938443361E-3</c:v>
                </c:pt>
                <c:pt idx="165">
                  <c:v>4.8496885938443361E-3</c:v>
                </c:pt>
                <c:pt idx="166">
                  <c:v>4.8496885938443361E-3</c:v>
                </c:pt>
                <c:pt idx="167">
                  <c:v>4.8496885938443361E-3</c:v>
                </c:pt>
                <c:pt idx="168">
                  <c:v>4.8496885938443361E-3</c:v>
                </c:pt>
                <c:pt idx="169">
                  <c:v>4.8496885938443361E-3</c:v>
                </c:pt>
                <c:pt idx="170">
                  <c:v>4.8496885938443361E-3</c:v>
                </c:pt>
                <c:pt idx="171">
                  <c:v>4.8496885938443361E-3</c:v>
                </c:pt>
                <c:pt idx="172">
                  <c:v>4.8496885938443361E-3</c:v>
                </c:pt>
                <c:pt idx="173">
                  <c:v>4.8496885938443361E-3</c:v>
                </c:pt>
                <c:pt idx="174">
                  <c:v>4.8496885938443361E-3</c:v>
                </c:pt>
                <c:pt idx="175">
                  <c:v>4.8496885938443361E-3</c:v>
                </c:pt>
                <c:pt idx="176">
                  <c:v>4.8496885938443361E-3</c:v>
                </c:pt>
                <c:pt idx="177">
                  <c:v>4.8496885938443361E-3</c:v>
                </c:pt>
                <c:pt idx="178">
                  <c:v>4.8496885938443361E-3</c:v>
                </c:pt>
                <c:pt idx="179">
                  <c:v>4.8496885938443361E-3</c:v>
                </c:pt>
                <c:pt idx="180">
                  <c:v>4.8496885938443361E-3</c:v>
                </c:pt>
                <c:pt idx="181">
                  <c:v>4.8496885938443361E-3</c:v>
                </c:pt>
                <c:pt idx="182">
                  <c:v>4.8496885938443361E-3</c:v>
                </c:pt>
                <c:pt idx="183">
                  <c:v>4.8496885938443361E-3</c:v>
                </c:pt>
                <c:pt idx="184">
                  <c:v>4.8496885938443361E-3</c:v>
                </c:pt>
                <c:pt idx="185">
                  <c:v>4.8496885938443361E-3</c:v>
                </c:pt>
                <c:pt idx="186">
                  <c:v>4.8496885938443361E-3</c:v>
                </c:pt>
                <c:pt idx="187">
                  <c:v>4.8496885938443361E-3</c:v>
                </c:pt>
                <c:pt idx="188">
                  <c:v>4.8496885938443361E-3</c:v>
                </c:pt>
                <c:pt idx="189">
                  <c:v>4.8496885938443361E-3</c:v>
                </c:pt>
                <c:pt idx="190">
                  <c:v>4.8496885938443361E-3</c:v>
                </c:pt>
                <c:pt idx="191">
                  <c:v>4.8496885938443361E-3</c:v>
                </c:pt>
                <c:pt idx="192">
                  <c:v>4.8496885938443361E-3</c:v>
                </c:pt>
                <c:pt idx="193">
                  <c:v>4.8496885938443361E-3</c:v>
                </c:pt>
                <c:pt idx="194">
                  <c:v>4.8496885938443361E-3</c:v>
                </c:pt>
                <c:pt idx="195">
                  <c:v>4.8496885938443361E-3</c:v>
                </c:pt>
                <c:pt idx="196">
                  <c:v>4.8496885938443361E-3</c:v>
                </c:pt>
                <c:pt idx="197">
                  <c:v>4.8496885938443361E-3</c:v>
                </c:pt>
                <c:pt idx="198">
                  <c:v>4.8496885938443361E-3</c:v>
                </c:pt>
              </c:numCache>
            </c:numRef>
          </c:val>
          <c:smooth val="0"/>
          <c:extLst>
            <c:ext xmlns:c16="http://schemas.microsoft.com/office/drawing/2014/chart" uri="{C3380CC4-5D6E-409C-BE32-E72D297353CC}">
              <c16:uniqueId val="{00000003-E837-4200-82E6-4F115BF5BE69}"/>
            </c:ext>
          </c:extLst>
        </c:ser>
        <c:dLbls>
          <c:showLegendKey val="0"/>
          <c:showVal val="0"/>
          <c:showCatName val="0"/>
          <c:showSerName val="0"/>
          <c:showPercent val="0"/>
          <c:showBubbleSize val="0"/>
        </c:dLbls>
        <c:marker val="1"/>
        <c:smooth val="0"/>
        <c:axId val="743374368"/>
        <c:axId val="743375352"/>
      </c:lineChart>
      <c:lineChart>
        <c:grouping val="standard"/>
        <c:varyColors val="0"/>
        <c:ser>
          <c:idx val="2"/>
          <c:order val="2"/>
          <c:tx>
            <c:strRef>
              <c:f>Rozpúšťadlo!$B$28</c:f>
              <c:strCache>
                <c:ptCount val="1"/>
                <c:pt idx="0">
                  <c:v>Zmena v NPL / RWA (rhs)</c:v>
                </c:pt>
              </c:strCache>
            </c:strRef>
          </c:tx>
          <c:spPr>
            <a:ln w="28575" cap="rnd">
              <a:solidFill>
                <a:schemeClr val="accent2"/>
              </a:solidFill>
              <a:round/>
            </a:ln>
            <a:effectLst/>
          </c:spPr>
          <c:marker>
            <c:symbol val="none"/>
          </c:marker>
          <c:cat>
            <c:numRef>
              <c:f>Rozpúšťadlo!$F$1:$GX$1</c:f>
              <c:numCache>
                <c:formatCode>mmm\-yy</c:formatCode>
                <c:ptCount val="201"/>
                <c:pt idx="0">
                  <c:v>37956</c:v>
                </c:pt>
                <c:pt idx="1">
                  <c:v>37987</c:v>
                </c:pt>
                <c:pt idx="2">
                  <c:v>38018</c:v>
                </c:pt>
                <c:pt idx="3">
                  <c:v>38047</c:v>
                </c:pt>
                <c:pt idx="4">
                  <c:v>38078</c:v>
                </c:pt>
                <c:pt idx="5">
                  <c:v>38108</c:v>
                </c:pt>
                <c:pt idx="6">
                  <c:v>38139</c:v>
                </c:pt>
                <c:pt idx="7">
                  <c:v>38169</c:v>
                </c:pt>
                <c:pt idx="8">
                  <c:v>38200</c:v>
                </c:pt>
                <c:pt idx="9">
                  <c:v>38231</c:v>
                </c:pt>
                <c:pt idx="10">
                  <c:v>38261</c:v>
                </c:pt>
                <c:pt idx="11">
                  <c:v>38292</c:v>
                </c:pt>
                <c:pt idx="12">
                  <c:v>38322</c:v>
                </c:pt>
                <c:pt idx="13">
                  <c:v>38353</c:v>
                </c:pt>
                <c:pt idx="14">
                  <c:v>38384</c:v>
                </c:pt>
                <c:pt idx="15">
                  <c:v>38412</c:v>
                </c:pt>
                <c:pt idx="16">
                  <c:v>38443</c:v>
                </c:pt>
                <c:pt idx="17">
                  <c:v>38473</c:v>
                </c:pt>
                <c:pt idx="18">
                  <c:v>38504</c:v>
                </c:pt>
                <c:pt idx="19">
                  <c:v>38534</c:v>
                </c:pt>
                <c:pt idx="20">
                  <c:v>38565</c:v>
                </c:pt>
                <c:pt idx="21">
                  <c:v>38596</c:v>
                </c:pt>
                <c:pt idx="22">
                  <c:v>38626</c:v>
                </c:pt>
                <c:pt idx="23">
                  <c:v>38657</c:v>
                </c:pt>
                <c:pt idx="24">
                  <c:v>38687</c:v>
                </c:pt>
                <c:pt idx="25">
                  <c:v>38718</c:v>
                </c:pt>
                <c:pt idx="26">
                  <c:v>38749</c:v>
                </c:pt>
                <c:pt idx="27">
                  <c:v>38777</c:v>
                </c:pt>
                <c:pt idx="28">
                  <c:v>38808</c:v>
                </c:pt>
                <c:pt idx="29">
                  <c:v>38838</c:v>
                </c:pt>
                <c:pt idx="30">
                  <c:v>38869</c:v>
                </c:pt>
                <c:pt idx="31">
                  <c:v>38899</c:v>
                </c:pt>
                <c:pt idx="32">
                  <c:v>38930</c:v>
                </c:pt>
                <c:pt idx="33">
                  <c:v>38961</c:v>
                </c:pt>
                <c:pt idx="34">
                  <c:v>38991</c:v>
                </c:pt>
                <c:pt idx="35">
                  <c:v>39022</c:v>
                </c:pt>
                <c:pt idx="36">
                  <c:v>39052</c:v>
                </c:pt>
                <c:pt idx="37">
                  <c:v>39083</c:v>
                </c:pt>
                <c:pt idx="38">
                  <c:v>39114</c:v>
                </c:pt>
                <c:pt idx="39">
                  <c:v>39142</c:v>
                </c:pt>
                <c:pt idx="40">
                  <c:v>39173</c:v>
                </c:pt>
                <c:pt idx="41">
                  <c:v>39203</c:v>
                </c:pt>
                <c:pt idx="42">
                  <c:v>39234</c:v>
                </c:pt>
                <c:pt idx="43">
                  <c:v>39264</c:v>
                </c:pt>
                <c:pt idx="44">
                  <c:v>39295</c:v>
                </c:pt>
                <c:pt idx="45">
                  <c:v>39326</c:v>
                </c:pt>
                <c:pt idx="46">
                  <c:v>39356</c:v>
                </c:pt>
                <c:pt idx="47">
                  <c:v>39387</c:v>
                </c:pt>
                <c:pt idx="48">
                  <c:v>39417</c:v>
                </c:pt>
                <c:pt idx="49">
                  <c:v>39448</c:v>
                </c:pt>
                <c:pt idx="50">
                  <c:v>39479</c:v>
                </c:pt>
                <c:pt idx="51">
                  <c:v>39508</c:v>
                </c:pt>
                <c:pt idx="52">
                  <c:v>39539</c:v>
                </c:pt>
                <c:pt idx="53">
                  <c:v>39569</c:v>
                </c:pt>
                <c:pt idx="54">
                  <c:v>39600</c:v>
                </c:pt>
                <c:pt idx="55">
                  <c:v>39630</c:v>
                </c:pt>
                <c:pt idx="56">
                  <c:v>39661</c:v>
                </c:pt>
                <c:pt idx="57">
                  <c:v>39692</c:v>
                </c:pt>
                <c:pt idx="58">
                  <c:v>39722</c:v>
                </c:pt>
                <c:pt idx="59">
                  <c:v>39753</c:v>
                </c:pt>
                <c:pt idx="60">
                  <c:v>39783</c:v>
                </c:pt>
                <c:pt idx="61">
                  <c:v>39814</c:v>
                </c:pt>
                <c:pt idx="62">
                  <c:v>39845</c:v>
                </c:pt>
                <c:pt idx="63">
                  <c:v>39873</c:v>
                </c:pt>
                <c:pt idx="64">
                  <c:v>39904</c:v>
                </c:pt>
                <c:pt idx="65">
                  <c:v>39934</c:v>
                </c:pt>
                <c:pt idx="66">
                  <c:v>39965</c:v>
                </c:pt>
                <c:pt idx="67">
                  <c:v>39995</c:v>
                </c:pt>
                <c:pt idx="68">
                  <c:v>40026</c:v>
                </c:pt>
                <c:pt idx="69">
                  <c:v>40057</c:v>
                </c:pt>
                <c:pt idx="70">
                  <c:v>40087</c:v>
                </c:pt>
                <c:pt idx="71">
                  <c:v>40118</c:v>
                </c:pt>
                <c:pt idx="72">
                  <c:v>40148</c:v>
                </c:pt>
                <c:pt idx="73">
                  <c:v>40179</c:v>
                </c:pt>
                <c:pt idx="74">
                  <c:v>40210</c:v>
                </c:pt>
                <c:pt idx="75">
                  <c:v>40238</c:v>
                </c:pt>
                <c:pt idx="76">
                  <c:v>40269</c:v>
                </c:pt>
                <c:pt idx="77">
                  <c:v>40299</c:v>
                </c:pt>
                <c:pt idx="78">
                  <c:v>40330</c:v>
                </c:pt>
                <c:pt idx="79">
                  <c:v>40360</c:v>
                </c:pt>
                <c:pt idx="80">
                  <c:v>40391</c:v>
                </c:pt>
                <c:pt idx="81">
                  <c:v>40422</c:v>
                </c:pt>
                <c:pt idx="82">
                  <c:v>40452</c:v>
                </c:pt>
                <c:pt idx="83">
                  <c:v>40483</c:v>
                </c:pt>
                <c:pt idx="84">
                  <c:v>40513</c:v>
                </c:pt>
                <c:pt idx="85">
                  <c:v>40544</c:v>
                </c:pt>
                <c:pt idx="86">
                  <c:v>40575</c:v>
                </c:pt>
                <c:pt idx="87">
                  <c:v>40603</c:v>
                </c:pt>
                <c:pt idx="88">
                  <c:v>40634</c:v>
                </c:pt>
                <c:pt idx="89">
                  <c:v>40664</c:v>
                </c:pt>
                <c:pt idx="90">
                  <c:v>40695</c:v>
                </c:pt>
                <c:pt idx="91">
                  <c:v>40725</c:v>
                </c:pt>
                <c:pt idx="92">
                  <c:v>40756</c:v>
                </c:pt>
                <c:pt idx="93">
                  <c:v>40787</c:v>
                </c:pt>
                <c:pt idx="94">
                  <c:v>40817</c:v>
                </c:pt>
                <c:pt idx="95">
                  <c:v>40848</c:v>
                </c:pt>
                <c:pt idx="96">
                  <c:v>40878</c:v>
                </c:pt>
                <c:pt idx="97">
                  <c:v>40909</c:v>
                </c:pt>
                <c:pt idx="98">
                  <c:v>40940</c:v>
                </c:pt>
                <c:pt idx="99">
                  <c:v>40969</c:v>
                </c:pt>
                <c:pt idx="100">
                  <c:v>41000</c:v>
                </c:pt>
                <c:pt idx="101">
                  <c:v>41030</c:v>
                </c:pt>
                <c:pt idx="102">
                  <c:v>41061</c:v>
                </c:pt>
                <c:pt idx="103">
                  <c:v>41091</c:v>
                </c:pt>
                <c:pt idx="104">
                  <c:v>41122</c:v>
                </c:pt>
                <c:pt idx="105">
                  <c:v>41153</c:v>
                </c:pt>
                <c:pt idx="106">
                  <c:v>41183</c:v>
                </c:pt>
                <c:pt idx="107">
                  <c:v>41214</c:v>
                </c:pt>
                <c:pt idx="108">
                  <c:v>41244</c:v>
                </c:pt>
                <c:pt idx="109">
                  <c:v>41275</c:v>
                </c:pt>
                <c:pt idx="110">
                  <c:v>41306</c:v>
                </c:pt>
                <c:pt idx="111">
                  <c:v>41334</c:v>
                </c:pt>
                <c:pt idx="112">
                  <c:v>41365</c:v>
                </c:pt>
                <c:pt idx="113">
                  <c:v>41395</c:v>
                </c:pt>
                <c:pt idx="114">
                  <c:v>41426</c:v>
                </c:pt>
                <c:pt idx="115">
                  <c:v>41456</c:v>
                </c:pt>
                <c:pt idx="116">
                  <c:v>41487</c:v>
                </c:pt>
                <c:pt idx="117">
                  <c:v>41518</c:v>
                </c:pt>
                <c:pt idx="118">
                  <c:v>41548</c:v>
                </c:pt>
                <c:pt idx="119">
                  <c:v>41579</c:v>
                </c:pt>
                <c:pt idx="120">
                  <c:v>41609</c:v>
                </c:pt>
                <c:pt idx="121">
                  <c:v>41640</c:v>
                </c:pt>
                <c:pt idx="122">
                  <c:v>41671</c:v>
                </c:pt>
                <c:pt idx="123">
                  <c:v>41699</c:v>
                </c:pt>
                <c:pt idx="124">
                  <c:v>41730</c:v>
                </c:pt>
                <c:pt idx="125">
                  <c:v>41760</c:v>
                </c:pt>
                <c:pt idx="126">
                  <c:v>41791</c:v>
                </c:pt>
                <c:pt idx="127">
                  <c:v>41821</c:v>
                </c:pt>
                <c:pt idx="128">
                  <c:v>41852</c:v>
                </c:pt>
                <c:pt idx="129">
                  <c:v>41883</c:v>
                </c:pt>
                <c:pt idx="130">
                  <c:v>41913</c:v>
                </c:pt>
                <c:pt idx="131">
                  <c:v>41944</c:v>
                </c:pt>
                <c:pt idx="132">
                  <c:v>41974</c:v>
                </c:pt>
                <c:pt idx="133">
                  <c:v>42005</c:v>
                </c:pt>
                <c:pt idx="134">
                  <c:v>42036</c:v>
                </c:pt>
                <c:pt idx="135">
                  <c:v>42064</c:v>
                </c:pt>
                <c:pt idx="136">
                  <c:v>42095</c:v>
                </c:pt>
                <c:pt idx="137">
                  <c:v>42125</c:v>
                </c:pt>
                <c:pt idx="138">
                  <c:v>42156</c:v>
                </c:pt>
                <c:pt idx="139">
                  <c:v>42186</c:v>
                </c:pt>
                <c:pt idx="140">
                  <c:v>42217</c:v>
                </c:pt>
                <c:pt idx="141">
                  <c:v>42248</c:v>
                </c:pt>
                <c:pt idx="142">
                  <c:v>42278</c:v>
                </c:pt>
                <c:pt idx="143">
                  <c:v>42309</c:v>
                </c:pt>
                <c:pt idx="144">
                  <c:v>42339</c:v>
                </c:pt>
                <c:pt idx="145">
                  <c:v>42370</c:v>
                </c:pt>
                <c:pt idx="146">
                  <c:v>42401</c:v>
                </c:pt>
                <c:pt idx="147">
                  <c:v>42430</c:v>
                </c:pt>
                <c:pt idx="148">
                  <c:v>42461</c:v>
                </c:pt>
                <c:pt idx="149">
                  <c:v>42491</c:v>
                </c:pt>
                <c:pt idx="150">
                  <c:v>42522</c:v>
                </c:pt>
                <c:pt idx="151">
                  <c:v>42552</c:v>
                </c:pt>
                <c:pt idx="152">
                  <c:v>42583</c:v>
                </c:pt>
                <c:pt idx="153">
                  <c:v>42614</c:v>
                </c:pt>
                <c:pt idx="154">
                  <c:v>42644</c:v>
                </c:pt>
                <c:pt idx="155">
                  <c:v>42675</c:v>
                </c:pt>
                <c:pt idx="156">
                  <c:v>42705</c:v>
                </c:pt>
                <c:pt idx="157">
                  <c:v>42736</c:v>
                </c:pt>
                <c:pt idx="158">
                  <c:v>42767</c:v>
                </c:pt>
                <c:pt idx="159">
                  <c:v>42795</c:v>
                </c:pt>
                <c:pt idx="160">
                  <c:v>42826</c:v>
                </c:pt>
                <c:pt idx="161">
                  <c:v>42856</c:v>
                </c:pt>
                <c:pt idx="162">
                  <c:v>42887</c:v>
                </c:pt>
                <c:pt idx="163">
                  <c:v>42917</c:v>
                </c:pt>
                <c:pt idx="164">
                  <c:v>42948</c:v>
                </c:pt>
                <c:pt idx="165">
                  <c:v>42979</c:v>
                </c:pt>
                <c:pt idx="166">
                  <c:v>43009</c:v>
                </c:pt>
                <c:pt idx="167">
                  <c:v>43040</c:v>
                </c:pt>
                <c:pt idx="168">
                  <c:v>43070</c:v>
                </c:pt>
                <c:pt idx="169">
                  <c:v>43101</c:v>
                </c:pt>
                <c:pt idx="170">
                  <c:v>43132</c:v>
                </c:pt>
                <c:pt idx="171">
                  <c:v>43160</c:v>
                </c:pt>
                <c:pt idx="172">
                  <c:v>43191</c:v>
                </c:pt>
                <c:pt idx="173">
                  <c:v>43221</c:v>
                </c:pt>
                <c:pt idx="174">
                  <c:v>43252</c:v>
                </c:pt>
                <c:pt idx="175">
                  <c:v>43282</c:v>
                </c:pt>
                <c:pt idx="176">
                  <c:v>43313</c:v>
                </c:pt>
                <c:pt idx="177">
                  <c:v>43344</c:v>
                </c:pt>
                <c:pt idx="178">
                  <c:v>43374</c:v>
                </c:pt>
                <c:pt idx="179">
                  <c:v>43405</c:v>
                </c:pt>
                <c:pt idx="180">
                  <c:v>43435</c:v>
                </c:pt>
                <c:pt idx="181">
                  <c:v>43466</c:v>
                </c:pt>
                <c:pt idx="182">
                  <c:v>43497</c:v>
                </c:pt>
                <c:pt idx="183">
                  <c:v>43525</c:v>
                </c:pt>
                <c:pt idx="184">
                  <c:v>43556</c:v>
                </c:pt>
                <c:pt idx="185">
                  <c:v>43586</c:v>
                </c:pt>
                <c:pt idx="186">
                  <c:v>43617</c:v>
                </c:pt>
                <c:pt idx="187">
                  <c:v>43647</c:v>
                </c:pt>
                <c:pt idx="188">
                  <c:v>43678</c:v>
                </c:pt>
                <c:pt idx="189">
                  <c:v>43709</c:v>
                </c:pt>
                <c:pt idx="190">
                  <c:v>43739</c:v>
                </c:pt>
                <c:pt idx="191">
                  <c:v>43770</c:v>
                </c:pt>
                <c:pt idx="192">
                  <c:v>43800</c:v>
                </c:pt>
                <c:pt idx="193">
                  <c:v>43831</c:v>
                </c:pt>
                <c:pt idx="194">
                  <c:v>43862</c:v>
                </c:pt>
                <c:pt idx="195">
                  <c:v>43891</c:v>
                </c:pt>
                <c:pt idx="196">
                  <c:v>43922</c:v>
                </c:pt>
                <c:pt idx="197">
                  <c:v>43952</c:v>
                </c:pt>
                <c:pt idx="198">
                  <c:v>43983</c:v>
                </c:pt>
                <c:pt idx="199">
                  <c:v>44013</c:v>
                </c:pt>
                <c:pt idx="200">
                  <c:v>44044</c:v>
                </c:pt>
              </c:numCache>
            </c:numRef>
          </c:cat>
          <c:val>
            <c:numRef>
              <c:f>Rozpúšťadlo!$F$28:$GX$28</c:f>
              <c:numCache>
                <c:formatCode>0.00%</c:formatCode>
                <c:ptCount val="201"/>
                <c:pt idx="0">
                  <c:v>-1.1291267623602469E-2</c:v>
                </c:pt>
                <c:pt idx="1">
                  <c:v>-2.168674679855984E-2</c:v>
                </c:pt>
                <c:pt idx="2">
                  <c:v>-2.2404400547750416E-2</c:v>
                </c:pt>
                <c:pt idx="3">
                  <c:v>-2.4373491725529665E-2</c:v>
                </c:pt>
                <c:pt idx="4">
                  <c:v>-1.8756087233408124E-2</c:v>
                </c:pt>
                <c:pt idx="5">
                  <c:v>-1.9533587464490881E-2</c:v>
                </c:pt>
                <c:pt idx="6">
                  <c:v>-1.8539290045346327E-2</c:v>
                </c:pt>
                <c:pt idx="7">
                  <c:v>-1.8248890402154858E-2</c:v>
                </c:pt>
                <c:pt idx="8">
                  <c:v>-1.5171440939140957E-2</c:v>
                </c:pt>
                <c:pt idx="9">
                  <c:v>-1.0893691866231481E-2</c:v>
                </c:pt>
                <c:pt idx="10">
                  <c:v>-1.1023652221067113E-2</c:v>
                </c:pt>
                <c:pt idx="11">
                  <c:v>-1.1332598586192033E-2</c:v>
                </c:pt>
                <c:pt idx="12">
                  <c:v>-1.0256929576568291E-2</c:v>
                </c:pt>
                <c:pt idx="13">
                  <c:v>-2.5286276571387313E-3</c:v>
                </c:pt>
                <c:pt idx="14">
                  <c:v>-2.0201109693846891E-3</c:v>
                </c:pt>
                <c:pt idx="15">
                  <c:v>4.5309424396077066E-3</c:v>
                </c:pt>
                <c:pt idx="16">
                  <c:v>4.9030902732786884E-3</c:v>
                </c:pt>
                <c:pt idx="17">
                  <c:v>4.402110471409499E-3</c:v>
                </c:pt>
                <c:pt idx="18">
                  <c:v>3.4984948184389754E-3</c:v>
                </c:pt>
                <c:pt idx="19">
                  <c:v>2.380251524679041E-3</c:v>
                </c:pt>
                <c:pt idx="20">
                  <c:v>1.8406596992864442E-3</c:v>
                </c:pt>
                <c:pt idx="21">
                  <c:v>-4.5565139861783086E-4</c:v>
                </c:pt>
                <c:pt idx="22">
                  <c:v>5.6890800665509848E-4</c:v>
                </c:pt>
                <c:pt idx="23">
                  <c:v>8.8780359416389587E-4</c:v>
                </c:pt>
                <c:pt idx="24">
                  <c:v>-8.2421308944389594E-4</c:v>
                </c:pt>
                <c:pt idx="25">
                  <c:v>-4.2701067023645971E-3</c:v>
                </c:pt>
                <c:pt idx="26">
                  <c:v>-2.1639774870685071E-3</c:v>
                </c:pt>
                <c:pt idx="27">
                  <c:v>-9.1721085240787353E-3</c:v>
                </c:pt>
                <c:pt idx="28">
                  <c:v>-9.2079701775370348E-3</c:v>
                </c:pt>
                <c:pt idx="29">
                  <c:v>-8.6316302346375468E-3</c:v>
                </c:pt>
                <c:pt idx="30">
                  <c:v>-9.2536255009748776E-3</c:v>
                </c:pt>
                <c:pt idx="31">
                  <c:v>-6.9676023172592664E-3</c:v>
                </c:pt>
                <c:pt idx="32">
                  <c:v>-5.6488373380714435E-3</c:v>
                </c:pt>
                <c:pt idx="33">
                  <c:v>-4.5898761569755295E-3</c:v>
                </c:pt>
                <c:pt idx="34">
                  <c:v>-7.1809894824460723E-3</c:v>
                </c:pt>
                <c:pt idx="35">
                  <c:v>-8.4752570221410702E-3</c:v>
                </c:pt>
                <c:pt idx="36">
                  <c:v>-5.7246526884679114E-3</c:v>
                </c:pt>
                <c:pt idx="37">
                  <c:v>-2.4218961336892834E-3</c:v>
                </c:pt>
                <c:pt idx="38">
                  <c:v>-4.8481317259108127E-3</c:v>
                </c:pt>
                <c:pt idx="39">
                  <c:v>-1.9834288170819834E-3</c:v>
                </c:pt>
                <c:pt idx="40">
                  <c:v>-2.224517417456856E-3</c:v>
                </c:pt>
                <c:pt idx="41">
                  <c:v>-6.5636033343894208E-4</c:v>
                </c:pt>
                <c:pt idx="42">
                  <c:v>4.7716502938430889E-4</c:v>
                </c:pt>
                <c:pt idx="43">
                  <c:v>-6.3093592105804138E-3</c:v>
                </c:pt>
                <c:pt idx="44">
                  <c:v>-5.792536559175299E-3</c:v>
                </c:pt>
                <c:pt idx="45">
                  <c:v>-5.9853815339452237E-3</c:v>
                </c:pt>
                <c:pt idx="46">
                  <c:v>-3.5328860553344148E-3</c:v>
                </c:pt>
                <c:pt idx="47">
                  <c:v>-1.564242098223558E-3</c:v>
                </c:pt>
                <c:pt idx="48">
                  <c:v>1.4714206643302408E-3</c:v>
                </c:pt>
                <c:pt idx="49">
                  <c:v>1.3985570734761637E-3</c:v>
                </c:pt>
                <c:pt idx="50">
                  <c:v>2.0005447568980047E-3</c:v>
                </c:pt>
                <c:pt idx="51">
                  <c:v>4.2763609922863337E-3</c:v>
                </c:pt>
                <c:pt idx="52">
                  <c:v>3.4625167784830863E-3</c:v>
                </c:pt>
                <c:pt idx="53">
                  <c:v>3.7702826410592372E-3</c:v>
                </c:pt>
                <c:pt idx="54">
                  <c:v>3.1792554620605619E-3</c:v>
                </c:pt>
                <c:pt idx="55">
                  <c:v>8.0665667775321626E-3</c:v>
                </c:pt>
                <c:pt idx="56">
                  <c:v>7.7396844220775111E-3</c:v>
                </c:pt>
                <c:pt idx="57">
                  <c:v>7.3011893308147788E-3</c:v>
                </c:pt>
                <c:pt idx="58">
                  <c:v>6.5558075190477148E-3</c:v>
                </c:pt>
                <c:pt idx="59">
                  <c:v>6.4627741745411013E-3</c:v>
                </c:pt>
                <c:pt idx="60">
                  <c:v>7.0610296967568587E-3</c:v>
                </c:pt>
                <c:pt idx="61">
                  <c:v>8.8856407105181359E-3</c:v>
                </c:pt>
                <c:pt idx="62">
                  <c:v>9.6925688832434076E-3</c:v>
                </c:pt>
                <c:pt idx="63">
                  <c:v>8.7422781464275949E-3</c:v>
                </c:pt>
                <c:pt idx="64">
                  <c:v>1.115111595223516E-2</c:v>
                </c:pt>
                <c:pt idx="65">
                  <c:v>1.1404475346250617E-2</c:v>
                </c:pt>
                <c:pt idx="66">
                  <c:v>1.4302552382689055E-2</c:v>
                </c:pt>
                <c:pt idx="67">
                  <c:v>1.8659321592251931E-2</c:v>
                </c:pt>
                <c:pt idx="68">
                  <c:v>1.9034567842087593E-2</c:v>
                </c:pt>
                <c:pt idx="69">
                  <c:v>2.0061147350056277E-2</c:v>
                </c:pt>
                <c:pt idx="70">
                  <c:v>2.2455036015933693E-2</c:v>
                </c:pt>
                <c:pt idx="71">
                  <c:v>2.3472292694882487E-2</c:v>
                </c:pt>
                <c:pt idx="72">
                  <c:v>2.2284009431516816E-2</c:v>
                </c:pt>
                <c:pt idx="73">
                  <c:v>2.2516189221772974E-2</c:v>
                </c:pt>
                <c:pt idx="74">
                  <c:v>2.3205261108099687E-2</c:v>
                </c:pt>
                <c:pt idx="75">
                  <c:v>2.3023897785851892E-2</c:v>
                </c:pt>
                <c:pt idx="76">
                  <c:v>2.2559140089380276E-2</c:v>
                </c:pt>
                <c:pt idx="77">
                  <c:v>2.1896210771180327E-2</c:v>
                </c:pt>
                <c:pt idx="78">
                  <c:v>1.907041744887673E-2</c:v>
                </c:pt>
                <c:pt idx="79">
                  <c:v>1.4677028240176825E-2</c:v>
                </c:pt>
                <c:pt idx="80">
                  <c:v>1.3816212861991259E-2</c:v>
                </c:pt>
                <c:pt idx="81">
                  <c:v>1.5815801664500612E-2</c:v>
                </c:pt>
                <c:pt idx="82">
                  <c:v>1.4688446743001418E-2</c:v>
                </c:pt>
                <c:pt idx="83">
                  <c:v>1.3126405203102633E-2</c:v>
                </c:pt>
                <c:pt idx="84">
                  <c:v>8.4468417465804642E-3</c:v>
                </c:pt>
                <c:pt idx="85">
                  <c:v>6.8975101156630103E-3</c:v>
                </c:pt>
                <c:pt idx="86">
                  <c:v>5.2521915898626386E-3</c:v>
                </c:pt>
                <c:pt idx="87">
                  <c:v>3.8283834021674936E-3</c:v>
                </c:pt>
                <c:pt idx="88">
                  <c:v>2.620371919623657E-3</c:v>
                </c:pt>
                <c:pt idx="89">
                  <c:v>2.2999593364953969E-3</c:v>
                </c:pt>
                <c:pt idx="90">
                  <c:v>2.3265194029172755E-3</c:v>
                </c:pt>
                <c:pt idx="91">
                  <c:v>1.6456519699295179E-3</c:v>
                </c:pt>
                <c:pt idx="92">
                  <c:v>2.0817878552478455E-3</c:v>
                </c:pt>
                <c:pt idx="93">
                  <c:v>-2.82175424787563E-4</c:v>
                </c:pt>
                <c:pt idx="94">
                  <c:v>-2.8569246175048882E-3</c:v>
                </c:pt>
                <c:pt idx="95">
                  <c:v>-2.8833858161473195E-3</c:v>
                </c:pt>
                <c:pt idx="96">
                  <c:v>1.7906267578321757E-3</c:v>
                </c:pt>
                <c:pt idx="97">
                  <c:v>-3.328824948654011E-4</c:v>
                </c:pt>
                <c:pt idx="98">
                  <c:v>6.9439470725234781E-4</c:v>
                </c:pt>
                <c:pt idx="99">
                  <c:v>-9.4460844225711656E-4</c:v>
                </c:pt>
                <c:pt idx="100">
                  <c:v>-3.5082075589907869E-4</c:v>
                </c:pt>
                <c:pt idx="101">
                  <c:v>-1.0258497432284882E-3</c:v>
                </c:pt>
                <c:pt idx="102">
                  <c:v>-1.669326296245637E-3</c:v>
                </c:pt>
                <c:pt idx="103">
                  <c:v>-1.4462886771726686E-3</c:v>
                </c:pt>
                <c:pt idx="104">
                  <c:v>-1.9747207971260259E-3</c:v>
                </c:pt>
                <c:pt idx="105">
                  <c:v>-5.8967288879618121E-3</c:v>
                </c:pt>
                <c:pt idx="106">
                  <c:v>-8.3100124505235465E-4</c:v>
                </c:pt>
                <c:pt idx="107">
                  <c:v>-1.77907676955477E-3</c:v>
                </c:pt>
                <c:pt idx="108">
                  <c:v>-2.6163241706608376E-3</c:v>
                </c:pt>
                <c:pt idx="109">
                  <c:v>-8.0987065525057068E-4</c:v>
                </c:pt>
                <c:pt idx="110">
                  <c:v>-1.4490000451468604E-3</c:v>
                </c:pt>
                <c:pt idx="111">
                  <c:v>3.3082011883773637E-4</c:v>
                </c:pt>
                <c:pt idx="112">
                  <c:v>-7.7074921656421908E-4</c:v>
                </c:pt>
                <c:pt idx="113">
                  <c:v>-7.0292656509016605E-4</c:v>
                </c:pt>
                <c:pt idx="114">
                  <c:v>2.3457458236980934E-3</c:v>
                </c:pt>
                <c:pt idx="115">
                  <c:v>2.1832265675266428E-3</c:v>
                </c:pt>
                <c:pt idx="116">
                  <c:v>2.5941292429719001E-3</c:v>
                </c:pt>
                <c:pt idx="117">
                  <c:v>5.8765239396915284E-3</c:v>
                </c:pt>
                <c:pt idx="118">
                  <c:v>2.5811165575314746E-3</c:v>
                </c:pt>
                <c:pt idx="119">
                  <c:v>3.0030753720094966E-3</c:v>
                </c:pt>
                <c:pt idx="120">
                  <c:v>2.2987145596270026E-3</c:v>
                </c:pt>
                <c:pt idx="121">
                  <c:v>5.8520561802679356E-3</c:v>
                </c:pt>
                <c:pt idx="122">
                  <c:v>6.4025811794789144E-3</c:v>
                </c:pt>
                <c:pt idx="123">
                  <c:v>5.9201462537158186E-3</c:v>
                </c:pt>
                <c:pt idx="124">
                  <c:v>7.3510720690131799E-3</c:v>
                </c:pt>
                <c:pt idx="125">
                  <c:v>5.3469382025973884E-3</c:v>
                </c:pt>
                <c:pt idx="126">
                  <c:v>3.9181292505660482E-3</c:v>
                </c:pt>
                <c:pt idx="127">
                  <c:v>4.4736746929047036E-3</c:v>
                </c:pt>
                <c:pt idx="128">
                  <c:v>3.8209719981978805E-3</c:v>
                </c:pt>
                <c:pt idx="129">
                  <c:v>7.0718124061778641E-3</c:v>
                </c:pt>
                <c:pt idx="130">
                  <c:v>6.3882213627488174E-3</c:v>
                </c:pt>
                <c:pt idx="131">
                  <c:v>6.1802347938649197E-3</c:v>
                </c:pt>
                <c:pt idx="132">
                  <c:v>7.50663585634429E-3</c:v>
                </c:pt>
                <c:pt idx="133">
                  <c:v>5.4192042829163791E-3</c:v>
                </c:pt>
                <c:pt idx="134">
                  <c:v>5.3107220625725716E-3</c:v>
                </c:pt>
                <c:pt idx="135">
                  <c:v>6.0230642095176401E-3</c:v>
                </c:pt>
                <c:pt idx="136">
                  <c:v>5.4433892607149165E-3</c:v>
                </c:pt>
                <c:pt idx="137">
                  <c:v>8.5770511360966709E-3</c:v>
                </c:pt>
                <c:pt idx="138">
                  <c:v>6.4492038241303262E-3</c:v>
                </c:pt>
                <c:pt idx="139">
                  <c:v>5.5945788488979157E-3</c:v>
                </c:pt>
                <c:pt idx="140">
                  <c:v>6.1620655360815728E-3</c:v>
                </c:pt>
                <c:pt idx="141">
                  <c:v>2.2718545448235329E-3</c:v>
                </c:pt>
                <c:pt idx="142">
                  <c:v>6.4723896256774346E-4</c:v>
                </c:pt>
                <c:pt idx="143">
                  <c:v>1.5766672448834101E-3</c:v>
                </c:pt>
                <c:pt idx="144">
                  <c:v>-1.1989392128035497E-3</c:v>
                </c:pt>
                <c:pt idx="145">
                  <c:v>-1.2508874203809659E-3</c:v>
                </c:pt>
                <c:pt idx="146">
                  <c:v>-2.9131665176502413E-3</c:v>
                </c:pt>
                <c:pt idx="147">
                  <c:v>-3.6758654047480623E-3</c:v>
                </c:pt>
                <c:pt idx="148">
                  <c:v>-3.0447267753784635E-3</c:v>
                </c:pt>
                <c:pt idx="149">
                  <c:v>-2.9443654374597984E-3</c:v>
                </c:pt>
                <c:pt idx="150">
                  <c:v>-3.2211936163459732E-3</c:v>
                </c:pt>
                <c:pt idx="151">
                  <c:v>-1.0716742885209195E-3</c:v>
                </c:pt>
                <c:pt idx="152">
                  <c:v>-2.3522284910536609E-3</c:v>
                </c:pt>
                <c:pt idx="153">
                  <c:v>-2.2808807789246742E-3</c:v>
                </c:pt>
                <c:pt idx="154">
                  <c:v>8.8647350605963743E-5</c:v>
                </c:pt>
                <c:pt idx="155">
                  <c:v>-8.2158986628278114E-4</c:v>
                </c:pt>
                <c:pt idx="156">
                  <c:v>1.0390072429798802E-4</c:v>
                </c:pt>
                <c:pt idx="157">
                  <c:v>-5.480879340166295E-4</c:v>
                </c:pt>
                <c:pt idx="158">
                  <c:v>-1.0569692161819169E-4</c:v>
                </c:pt>
                <c:pt idx="159">
                  <c:v>-7.8074980538368971E-4</c:v>
                </c:pt>
                <c:pt idx="160">
                  <c:v>-1.1199474646432883E-3</c:v>
                </c:pt>
                <c:pt idx="161">
                  <c:v>-3.1228789813152412E-3</c:v>
                </c:pt>
                <c:pt idx="162">
                  <c:v>-2.9997312628067992E-3</c:v>
                </c:pt>
                <c:pt idx="163">
                  <c:v>-4.5642764661138887E-3</c:v>
                </c:pt>
                <c:pt idx="164">
                  <c:v>-4.3255664353777194E-3</c:v>
                </c:pt>
                <c:pt idx="165">
                  <c:v>-4.4952304009610242E-3</c:v>
                </c:pt>
                <c:pt idx="166">
                  <c:v>-3.7751962061622268E-3</c:v>
                </c:pt>
                <c:pt idx="167">
                  <c:v>-3.6611744011066337E-3</c:v>
                </c:pt>
                <c:pt idx="168">
                  <c:v>-6.1044637669829876E-3</c:v>
                </c:pt>
                <c:pt idx="169">
                  <c:v>-4.7721732975847973E-3</c:v>
                </c:pt>
                <c:pt idx="170">
                  <c:v>-5.5833438706124712E-3</c:v>
                </c:pt>
                <c:pt idx="171">
                  <c:v>-4.3781479780555218E-3</c:v>
                </c:pt>
                <c:pt idx="172">
                  <c:v>-4.7726774966711663E-3</c:v>
                </c:pt>
                <c:pt idx="173">
                  <c:v>-4.3363641703935097E-3</c:v>
                </c:pt>
                <c:pt idx="174">
                  <c:v>-4.6133810822435077E-3</c:v>
                </c:pt>
                <c:pt idx="175">
                  <c:v>-4.6265052834865324E-3</c:v>
                </c:pt>
                <c:pt idx="176">
                  <c:v>-5.0917133484876731E-3</c:v>
                </c:pt>
                <c:pt idx="177">
                  <c:v>-3.8866451045658974E-3</c:v>
                </c:pt>
                <c:pt idx="178">
                  <c:v>-5.7610732952971437E-3</c:v>
                </c:pt>
                <c:pt idx="179">
                  <c:v>-5.7823337191046055E-3</c:v>
                </c:pt>
                <c:pt idx="180">
                  <c:v>-5.2534780902116721E-3</c:v>
                </c:pt>
                <c:pt idx="181">
                  <c:v>-6.5411947149930831E-3</c:v>
                </c:pt>
                <c:pt idx="182">
                  <c:v>-5.7578496466148708E-3</c:v>
                </c:pt>
                <c:pt idx="183">
                  <c:v>-6.9201522007983239E-3</c:v>
                </c:pt>
                <c:pt idx="184">
                  <c:v>-5.9866264169375081E-3</c:v>
                </c:pt>
                <c:pt idx="185">
                  <c:v>-6.2281591422255712E-3</c:v>
                </c:pt>
                <c:pt idx="186">
                  <c:v>-5.2980536958196489E-3</c:v>
                </c:pt>
                <c:pt idx="187">
                  <c:v>-5.6433588166438266E-3</c:v>
                </c:pt>
                <c:pt idx="188">
                  <c:v>-4.7402489171755975E-3</c:v>
                </c:pt>
                <c:pt idx="189">
                  <c:v>-5.6838491668563191E-3</c:v>
                </c:pt>
                <c:pt idx="190">
                  <c:v>-5.1102930181528214E-3</c:v>
                </c:pt>
                <c:pt idx="191">
                  <c:v>-1.7845041940488721E-3</c:v>
                </c:pt>
                <c:pt idx="192">
                  <c:v>-3.3927419699859786E-4</c:v>
                </c:pt>
                <c:pt idx="193">
                  <c:v>-6.7483518603575493E-5</c:v>
                </c:pt>
                <c:pt idx="194">
                  <c:v>5.084942322848364E-4</c:v>
                </c:pt>
                <c:pt idx="195">
                  <c:v>1.3359246243131568E-3</c:v>
                </c:pt>
                <c:pt idx="196">
                  <c:v>4.9209300019024309E-4</c:v>
                </c:pt>
                <c:pt idx="197">
                  <c:v>1.2412361752969585E-3</c:v>
                </c:pt>
                <c:pt idx="198">
                  <c:v>1.1728993737175431E-3</c:v>
                </c:pt>
                <c:pt idx="199">
                  <c:v>7.7611405903895282E-4</c:v>
                </c:pt>
              </c:numCache>
            </c:numRef>
          </c:val>
          <c:smooth val="0"/>
          <c:extLst>
            <c:ext xmlns:c16="http://schemas.microsoft.com/office/drawing/2014/chart" uri="{C3380CC4-5D6E-409C-BE32-E72D297353CC}">
              <c16:uniqueId val="{00000004-E837-4200-82E6-4F115BF5BE69}"/>
            </c:ext>
          </c:extLst>
        </c:ser>
        <c:dLbls>
          <c:showLegendKey val="0"/>
          <c:showVal val="0"/>
          <c:showCatName val="0"/>
          <c:showSerName val="0"/>
          <c:showPercent val="0"/>
          <c:showBubbleSize val="0"/>
        </c:dLbls>
        <c:marker val="1"/>
        <c:smooth val="0"/>
        <c:axId val="740334520"/>
        <c:axId val="740333208"/>
      </c:lineChart>
      <c:dateAx>
        <c:axId val="743374368"/>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743375352"/>
        <c:crosses val="autoZero"/>
        <c:auto val="1"/>
        <c:lblOffset val="100"/>
        <c:baseTimeUnit val="months"/>
        <c:majorUnit val="12"/>
        <c:majorTimeUnit val="months"/>
      </c:dateAx>
      <c:valAx>
        <c:axId val="743375352"/>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743374368"/>
        <c:crosses val="autoZero"/>
        <c:crossBetween val="between"/>
      </c:valAx>
      <c:valAx>
        <c:axId val="740333208"/>
        <c:scaling>
          <c:orientation val="minMax"/>
          <c:min val="-2.0000000000000004E-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740334520"/>
        <c:crosses val="max"/>
        <c:crossBetween val="between"/>
        <c:majorUnit val="1.0000000000000002E-2"/>
      </c:valAx>
      <c:dateAx>
        <c:axId val="740334520"/>
        <c:scaling>
          <c:orientation val="minMax"/>
        </c:scaling>
        <c:delete val="1"/>
        <c:axPos val="b"/>
        <c:numFmt formatCode="mmm\-yy" sourceLinked="1"/>
        <c:majorTickMark val="out"/>
        <c:minorTickMark val="none"/>
        <c:tickLblPos val="nextTo"/>
        <c:crossAx val="740333208"/>
        <c:crosses val="autoZero"/>
        <c:auto val="1"/>
        <c:lblOffset val="100"/>
        <c:baseTimeUnit val="months"/>
      </c:dateAx>
      <c:spPr>
        <a:gradFill>
          <a:gsLst>
            <a:gs pos="30000">
              <a:schemeClr val="bg1"/>
            </a:gs>
            <a:gs pos="44000">
              <a:schemeClr val="bg1">
                <a:lumMod val="85000"/>
              </a:schemeClr>
            </a:gs>
            <a:gs pos="30000">
              <a:schemeClr val="bg1">
                <a:lumMod val="85000"/>
              </a:schemeClr>
            </a:gs>
            <a:gs pos="98230">
              <a:schemeClr val="bg1">
                <a:lumMod val="85000"/>
              </a:schemeClr>
            </a:gs>
            <a:gs pos="98000">
              <a:schemeClr val="bg1"/>
            </a:gs>
            <a:gs pos="44000">
              <a:schemeClr val="bg1"/>
            </a:gs>
          </a:gsLst>
          <a:lin ang="0" scaled="0"/>
        </a:gradFill>
        <a:ln>
          <a:noFill/>
        </a:ln>
        <a:effectLst/>
      </c:spPr>
    </c:plotArea>
    <c:legend>
      <c:legendPos val="b"/>
      <c:layout>
        <c:manualLayout>
          <c:xMode val="edge"/>
          <c:yMode val="edge"/>
          <c:x val="6.9286010239741236E-2"/>
          <c:y val="0.84892398942834457"/>
          <c:w val="0.84828851439508757"/>
          <c:h val="0.15049855751997171"/>
        </c:manualLayout>
      </c:layout>
      <c:overlay val="0"/>
      <c:spPr>
        <a:solidFill>
          <a:schemeClr val="bg1"/>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17147856517939E-2"/>
          <c:y val="4.1308089500860588E-2"/>
          <c:w val="0.92718285214348206"/>
          <c:h val="0.84448642714841371"/>
        </c:manualLayout>
      </c:layout>
      <c:lineChart>
        <c:grouping val="standard"/>
        <c:varyColors val="0"/>
        <c:ser>
          <c:idx val="0"/>
          <c:order val="0"/>
          <c:tx>
            <c:strRef>
              <c:f>'L-t-D'!$B$240</c:f>
              <c:strCache>
                <c:ptCount val="1"/>
                <c:pt idx="0">
                  <c:v>Vklady retailu </c:v>
                </c:pt>
              </c:strCache>
            </c:strRef>
          </c:tx>
          <c:spPr>
            <a:ln w="28575" cap="rnd">
              <a:solidFill>
                <a:schemeClr val="accent1"/>
              </a:solidFill>
              <a:round/>
            </a:ln>
            <a:effectLst/>
          </c:spPr>
          <c:marker>
            <c:symbol val="none"/>
          </c:marker>
          <c:cat>
            <c:numRef>
              <c:f>'L-t-D'!$FO$6:$GT$6</c:f>
              <c:numCache>
                <c:formatCode>[$-41B]mmm\-yy;@</c:formatCode>
                <c:ptCount val="32"/>
                <c:pt idx="0">
                  <c:v>43070</c:v>
                </c:pt>
                <c:pt idx="1">
                  <c:v>43101</c:v>
                </c:pt>
                <c:pt idx="2">
                  <c:v>43132</c:v>
                </c:pt>
                <c:pt idx="3">
                  <c:v>43160</c:v>
                </c:pt>
                <c:pt idx="4">
                  <c:v>43191</c:v>
                </c:pt>
                <c:pt idx="5">
                  <c:v>43221</c:v>
                </c:pt>
                <c:pt idx="6">
                  <c:v>43252</c:v>
                </c:pt>
                <c:pt idx="7">
                  <c:v>43282</c:v>
                </c:pt>
                <c:pt idx="8">
                  <c:v>43313</c:v>
                </c:pt>
                <c:pt idx="9">
                  <c:v>43344</c:v>
                </c:pt>
                <c:pt idx="10">
                  <c:v>43374</c:v>
                </c:pt>
                <c:pt idx="11">
                  <c:v>43405</c:v>
                </c:pt>
                <c:pt idx="12">
                  <c:v>43435</c:v>
                </c:pt>
                <c:pt idx="13">
                  <c:v>43466</c:v>
                </c:pt>
                <c:pt idx="14">
                  <c:v>43497</c:v>
                </c:pt>
                <c:pt idx="15">
                  <c:v>43525</c:v>
                </c:pt>
                <c:pt idx="16">
                  <c:v>43556</c:v>
                </c:pt>
                <c:pt idx="17">
                  <c:v>43586</c:v>
                </c:pt>
                <c:pt idx="18">
                  <c:v>43617</c:v>
                </c:pt>
                <c:pt idx="19">
                  <c:v>43647</c:v>
                </c:pt>
                <c:pt idx="20">
                  <c:v>43678</c:v>
                </c:pt>
                <c:pt idx="21">
                  <c:v>43709</c:v>
                </c:pt>
                <c:pt idx="22">
                  <c:v>43739</c:v>
                </c:pt>
                <c:pt idx="23">
                  <c:v>43770</c:v>
                </c:pt>
                <c:pt idx="24">
                  <c:v>43800</c:v>
                </c:pt>
                <c:pt idx="25">
                  <c:v>43831</c:v>
                </c:pt>
                <c:pt idx="26">
                  <c:v>43862</c:v>
                </c:pt>
                <c:pt idx="27">
                  <c:v>43891</c:v>
                </c:pt>
                <c:pt idx="28">
                  <c:v>43922</c:v>
                </c:pt>
                <c:pt idx="29">
                  <c:v>43952</c:v>
                </c:pt>
                <c:pt idx="30">
                  <c:v>43983</c:v>
                </c:pt>
                <c:pt idx="31">
                  <c:v>44043</c:v>
                </c:pt>
              </c:numCache>
            </c:numRef>
          </c:cat>
          <c:val>
            <c:numRef>
              <c:f>'L-t-D'!$FO$240:$GT$240</c:f>
              <c:numCache>
                <c:formatCode>#,##0</c:formatCode>
                <c:ptCount val="32"/>
                <c:pt idx="0">
                  <c:v>1566792</c:v>
                </c:pt>
                <c:pt idx="1">
                  <c:v>1574854</c:v>
                </c:pt>
                <c:pt idx="2">
                  <c:v>1511444</c:v>
                </c:pt>
                <c:pt idx="3">
                  <c:v>1583994</c:v>
                </c:pt>
                <c:pt idx="4">
                  <c:v>1812778</c:v>
                </c:pt>
                <c:pt idx="5">
                  <c:v>1723175</c:v>
                </c:pt>
                <c:pt idx="6">
                  <c:v>1919795</c:v>
                </c:pt>
                <c:pt idx="7">
                  <c:v>2058227</c:v>
                </c:pt>
                <c:pt idx="8">
                  <c:v>2003742</c:v>
                </c:pt>
                <c:pt idx="9">
                  <c:v>2128368</c:v>
                </c:pt>
                <c:pt idx="10">
                  <c:v>2053713</c:v>
                </c:pt>
                <c:pt idx="11">
                  <c:v>2258189</c:v>
                </c:pt>
                <c:pt idx="12">
                  <c:v>2319015</c:v>
                </c:pt>
                <c:pt idx="13">
                  <c:v>2421586</c:v>
                </c:pt>
                <c:pt idx="14">
                  <c:v>2533336</c:v>
                </c:pt>
                <c:pt idx="15">
                  <c:v>2632170</c:v>
                </c:pt>
                <c:pt idx="16">
                  <c:v>2470069</c:v>
                </c:pt>
                <c:pt idx="17">
                  <c:v>2628021</c:v>
                </c:pt>
                <c:pt idx="18">
                  <c:v>2528651</c:v>
                </c:pt>
                <c:pt idx="19">
                  <c:v>2547021</c:v>
                </c:pt>
                <c:pt idx="20">
                  <c:v>2680637</c:v>
                </c:pt>
                <c:pt idx="21">
                  <c:v>2596066</c:v>
                </c:pt>
                <c:pt idx="22">
                  <c:v>2818504</c:v>
                </c:pt>
                <c:pt idx="23">
                  <c:v>2608658</c:v>
                </c:pt>
                <c:pt idx="24">
                  <c:v>2618128</c:v>
                </c:pt>
                <c:pt idx="25">
                  <c:v>2693466</c:v>
                </c:pt>
                <c:pt idx="26">
                  <c:v>2641036</c:v>
                </c:pt>
                <c:pt idx="27">
                  <c:v>2500277</c:v>
                </c:pt>
                <c:pt idx="28">
                  <c:v>2665534</c:v>
                </c:pt>
                <c:pt idx="29">
                  <c:v>2633750</c:v>
                </c:pt>
                <c:pt idx="30">
                  <c:v>2528274</c:v>
                </c:pt>
                <c:pt idx="31">
                  <c:v>2630348</c:v>
                </c:pt>
              </c:numCache>
            </c:numRef>
          </c:val>
          <c:smooth val="0"/>
          <c:extLst>
            <c:ext xmlns:c16="http://schemas.microsoft.com/office/drawing/2014/chart" uri="{C3380CC4-5D6E-409C-BE32-E72D297353CC}">
              <c16:uniqueId val="{00000000-83C9-43F5-AF5A-8E6F87ED5CD4}"/>
            </c:ext>
          </c:extLst>
        </c:ser>
        <c:ser>
          <c:idx val="2"/>
          <c:order val="1"/>
          <c:tx>
            <c:strRef>
              <c:f>'L-t-D'!$B$242</c:f>
              <c:strCache>
                <c:ptCount val="1"/>
                <c:pt idx="0">
                  <c:v>Úvery retailu</c:v>
                </c:pt>
              </c:strCache>
            </c:strRef>
          </c:tx>
          <c:spPr>
            <a:ln w="28575" cap="rnd">
              <a:solidFill>
                <a:schemeClr val="accent2"/>
              </a:solidFill>
              <a:round/>
            </a:ln>
            <a:effectLst/>
          </c:spPr>
          <c:marker>
            <c:symbol val="none"/>
          </c:marker>
          <c:cat>
            <c:numRef>
              <c:f>'L-t-D'!$FO$6:$GT$6</c:f>
              <c:numCache>
                <c:formatCode>[$-41B]mmm\-yy;@</c:formatCode>
                <c:ptCount val="32"/>
                <c:pt idx="0">
                  <c:v>43070</c:v>
                </c:pt>
                <c:pt idx="1">
                  <c:v>43101</c:v>
                </c:pt>
                <c:pt idx="2">
                  <c:v>43132</c:v>
                </c:pt>
                <c:pt idx="3">
                  <c:v>43160</c:v>
                </c:pt>
                <c:pt idx="4">
                  <c:v>43191</c:v>
                </c:pt>
                <c:pt idx="5">
                  <c:v>43221</c:v>
                </c:pt>
                <c:pt idx="6">
                  <c:v>43252</c:v>
                </c:pt>
                <c:pt idx="7">
                  <c:v>43282</c:v>
                </c:pt>
                <c:pt idx="8">
                  <c:v>43313</c:v>
                </c:pt>
                <c:pt idx="9">
                  <c:v>43344</c:v>
                </c:pt>
                <c:pt idx="10">
                  <c:v>43374</c:v>
                </c:pt>
                <c:pt idx="11">
                  <c:v>43405</c:v>
                </c:pt>
                <c:pt idx="12">
                  <c:v>43435</c:v>
                </c:pt>
                <c:pt idx="13">
                  <c:v>43466</c:v>
                </c:pt>
                <c:pt idx="14">
                  <c:v>43497</c:v>
                </c:pt>
                <c:pt idx="15">
                  <c:v>43525</c:v>
                </c:pt>
                <c:pt idx="16">
                  <c:v>43556</c:v>
                </c:pt>
                <c:pt idx="17">
                  <c:v>43586</c:v>
                </c:pt>
                <c:pt idx="18">
                  <c:v>43617</c:v>
                </c:pt>
                <c:pt idx="19">
                  <c:v>43647</c:v>
                </c:pt>
                <c:pt idx="20">
                  <c:v>43678</c:v>
                </c:pt>
                <c:pt idx="21">
                  <c:v>43709</c:v>
                </c:pt>
                <c:pt idx="22">
                  <c:v>43739</c:v>
                </c:pt>
                <c:pt idx="23">
                  <c:v>43770</c:v>
                </c:pt>
                <c:pt idx="24">
                  <c:v>43800</c:v>
                </c:pt>
                <c:pt idx="25">
                  <c:v>43831</c:v>
                </c:pt>
                <c:pt idx="26">
                  <c:v>43862</c:v>
                </c:pt>
                <c:pt idx="27">
                  <c:v>43891</c:v>
                </c:pt>
                <c:pt idx="28">
                  <c:v>43922</c:v>
                </c:pt>
                <c:pt idx="29">
                  <c:v>43952</c:v>
                </c:pt>
                <c:pt idx="30">
                  <c:v>43983</c:v>
                </c:pt>
                <c:pt idx="31">
                  <c:v>44043</c:v>
                </c:pt>
              </c:numCache>
            </c:numRef>
          </c:cat>
          <c:val>
            <c:numRef>
              <c:f>'L-t-D'!$FO$242:$GT$242</c:f>
              <c:numCache>
                <c:formatCode>#,##0</c:formatCode>
                <c:ptCount val="32"/>
                <c:pt idx="0">
                  <c:v>3446119</c:v>
                </c:pt>
                <c:pt idx="1">
                  <c:v>3508697</c:v>
                </c:pt>
                <c:pt idx="2">
                  <c:v>3470152</c:v>
                </c:pt>
                <c:pt idx="3">
                  <c:v>3424120</c:v>
                </c:pt>
                <c:pt idx="4">
                  <c:v>3436512</c:v>
                </c:pt>
                <c:pt idx="5">
                  <c:v>3439970</c:v>
                </c:pt>
                <c:pt idx="6">
                  <c:v>3488329</c:v>
                </c:pt>
                <c:pt idx="7">
                  <c:v>3542730</c:v>
                </c:pt>
                <c:pt idx="8">
                  <c:v>3536489</c:v>
                </c:pt>
                <c:pt idx="9">
                  <c:v>3503869</c:v>
                </c:pt>
                <c:pt idx="10">
                  <c:v>3546316</c:v>
                </c:pt>
                <c:pt idx="11">
                  <c:v>3513728</c:v>
                </c:pt>
                <c:pt idx="12">
                  <c:v>3395662</c:v>
                </c:pt>
                <c:pt idx="13">
                  <c:v>3317007</c:v>
                </c:pt>
                <c:pt idx="14">
                  <c:v>3266524</c:v>
                </c:pt>
                <c:pt idx="15">
                  <c:v>3217442</c:v>
                </c:pt>
                <c:pt idx="16">
                  <c:v>3187919</c:v>
                </c:pt>
                <c:pt idx="17">
                  <c:v>3107351</c:v>
                </c:pt>
                <c:pt idx="18">
                  <c:v>2952761</c:v>
                </c:pt>
                <c:pt idx="19">
                  <c:v>2910438</c:v>
                </c:pt>
                <c:pt idx="20">
                  <c:v>2835117</c:v>
                </c:pt>
                <c:pt idx="21">
                  <c:v>2865942</c:v>
                </c:pt>
                <c:pt idx="22">
                  <c:v>2829657</c:v>
                </c:pt>
                <c:pt idx="23">
                  <c:v>2806795</c:v>
                </c:pt>
                <c:pt idx="24">
                  <c:v>2903000</c:v>
                </c:pt>
                <c:pt idx="25">
                  <c:v>2979863</c:v>
                </c:pt>
                <c:pt idx="26">
                  <c:v>3008480</c:v>
                </c:pt>
                <c:pt idx="27">
                  <c:v>2903829</c:v>
                </c:pt>
                <c:pt idx="28">
                  <c:v>2757617</c:v>
                </c:pt>
                <c:pt idx="29">
                  <c:v>2612037</c:v>
                </c:pt>
                <c:pt idx="30">
                  <c:v>2639810</c:v>
                </c:pt>
                <c:pt idx="31">
                  <c:v>2586610</c:v>
                </c:pt>
              </c:numCache>
            </c:numRef>
          </c:val>
          <c:smooth val="0"/>
          <c:extLst>
            <c:ext xmlns:c16="http://schemas.microsoft.com/office/drawing/2014/chart" uri="{C3380CC4-5D6E-409C-BE32-E72D297353CC}">
              <c16:uniqueId val="{00000001-83C9-43F5-AF5A-8E6F87ED5CD4}"/>
            </c:ext>
          </c:extLst>
        </c:ser>
        <c:dLbls>
          <c:showLegendKey val="0"/>
          <c:showVal val="0"/>
          <c:showCatName val="0"/>
          <c:showSerName val="0"/>
          <c:showPercent val="0"/>
          <c:showBubbleSize val="0"/>
        </c:dLbls>
        <c:smooth val="0"/>
        <c:axId val="810095200"/>
        <c:axId val="810096840"/>
      </c:lineChart>
      <c:dateAx>
        <c:axId val="810095200"/>
        <c:scaling>
          <c:orientation val="minMax"/>
        </c:scaling>
        <c:delete val="0"/>
        <c:axPos val="b"/>
        <c:numFmt formatCode="[$-41B]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810096840"/>
        <c:crosses val="autoZero"/>
        <c:auto val="1"/>
        <c:lblOffset val="100"/>
        <c:baseTimeUnit val="months"/>
        <c:majorUnit val="6"/>
        <c:majorTimeUnit val="months"/>
      </c:dateAx>
      <c:valAx>
        <c:axId val="810096840"/>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810095200"/>
        <c:crosses val="autoZero"/>
        <c:crossBetween val="between"/>
        <c:dispUnits>
          <c:builtInUnit val="millions"/>
        </c:dispUnits>
      </c:valAx>
      <c:spPr>
        <a:noFill/>
        <a:ln>
          <a:noFill/>
        </a:ln>
        <a:effectLst/>
      </c:spPr>
    </c:plotArea>
    <c:legend>
      <c:legendPos val="r"/>
      <c:layout>
        <c:manualLayout>
          <c:xMode val="edge"/>
          <c:yMode val="edge"/>
          <c:x val="0.65792913385826779"/>
          <c:y val="0.57140959789664847"/>
          <c:w val="0.24484864391951006"/>
          <c:h val="0.215183704446582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12876938417626E-2"/>
          <c:y val="5.2287571914125613E-2"/>
          <c:w val="0.82552166787011894"/>
          <c:h val="0.83803503529317536"/>
        </c:manualLayout>
      </c:layout>
      <c:barChart>
        <c:barDir val="col"/>
        <c:grouping val="clustered"/>
        <c:varyColors val="0"/>
        <c:ser>
          <c:idx val="0"/>
          <c:order val="0"/>
          <c:tx>
            <c:strRef>
              <c:f>'statistics (44)'!$B$79</c:f>
              <c:strCache>
                <c:ptCount val="1"/>
                <c:pt idx="0">
                  <c:v>Podiel vkladov na bilancii</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6B62-4AAB-8B1A-3FFEE2578160}"/>
              </c:ext>
            </c:extLst>
          </c:dPt>
          <c:cat>
            <c:strRef>
              <c:f>'statistics (44)'!$A$80:$A$97</c:f>
              <c:strCache>
                <c:ptCount val="18"/>
                <c:pt idx="0">
                  <c:v>SI</c:v>
                </c:pt>
                <c:pt idx="1">
                  <c:v>SK</c:v>
                </c:pt>
                <c:pt idx="2">
                  <c:v>LV</c:v>
                </c:pt>
                <c:pt idx="3">
                  <c:v>CY</c:v>
                </c:pt>
                <c:pt idx="4">
                  <c:v>EE</c:v>
                </c:pt>
                <c:pt idx="5">
                  <c:v>PT</c:v>
                </c:pt>
                <c:pt idx="6">
                  <c:v>GR</c:v>
                </c:pt>
                <c:pt idx="7">
                  <c:v>MT</c:v>
                </c:pt>
                <c:pt idx="8">
                  <c:v>BE</c:v>
                </c:pt>
                <c:pt idx="9">
                  <c:v>ES</c:v>
                </c:pt>
                <c:pt idx="10">
                  <c:v>IT</c:v>
                </c:pt>
                <c:pt idx="11">
                  <c:v>AT</c:v>
                </c:pt>
                <c:pt idx="12">
                  <c:v>DE</c:v>
                </c:pt>
                <c:pt idx="13">
                  <c:v>NL</c:v>
                </c:pt>
                <c:pt idx="14">
                  <c:v>FR</c:v>
                </c:pt>
                <c:pt idx="15">
                  <c:v>FI</c:v>
                </c:pt>
                <c:pt idx="16">
                  <c:v>LU</c:v>
                </c:pt>
                <c:pt idx="17">
                  <c:v>IE</c:v>
                </c:pt>
              </c:strCache>
            </c:strRef>
          </c:cat>
          <c:val>
            <c:numRef>
              <c:f>'statistics (44)'!$B$80:$B$97</c:f>
              <c:numCache>
                <c:formatCode>General</c:formatCode>
                <c:ptCount val="18"/>
                <c:pt idx="0">
                  <c:v>0.70477472903467919</c:v>
                </c:pt>
                <c:pt idx="1">
                  <c:v>0.68086312700106721</c:v>
                </c:pt>
                <c:pt idx="2">
                  <c:v>0.66924488725747244</c:v>
                </c:pt>
                <c:pt idx="3">
                  <c:v>0.62757188989697066</c:v>
                </c:pt>
                <c:pt idx="4">
                  <c:v>0.60382920528795014</c:v>
                </c:pt>
                <c:pt idx="5">
                  <c:v>0.58872037340122452</c:v>
                </c:pt>
                <c:pt idx="6">
                  <c:v>0.57706084687462933</c:v>
                </c:pt>
                <c:pt idx="7">
                  <c:v>0.54642481212210225</c:v>
                </c:pt>
                <c:pt idx="8">
                  <c:v>0.5451903834116496</c:v>
                </c:pt>
                <c:pt idx="9">
                  <c:v>0.52954656732668859</c:v>
                </c:pt>
                <c:pt idx="10">
                  <c:v>0.49981144683474144</c:v>
                </c:pt>
                <c:pt idx="11">
                  <c:v>0.44850539658385319</c:v>
                </c:pt>
                <c:pt idx="12">
                  <c:v>0.43205981050040232</c:v>
                </c:pt>
                <c:pt idx="13">
                  <c:v>0.41885217906097727</c:v>
                </c:pt>
                <c:pt idx="14">
                  <c:v>0.2830517637773175</c:v>
                </c:pt>
                <c:pt idx="15">
                  <c:v>0.26929707267902325</c:v>
                </c:pt>
                <c:pt idx="16">
                  <c:v>0.25997374698345721</c:v>
                </c:pt>
                <c:pt idx="17">
                  <c:v>0.19524601418190193</c:v>
                </c:pt>
              </c:numCache>
            </c:numRef>
          </c:val>
          <c:extLst>
            <c:ext xmlns:c16="http://schemas.microsoft.com/office/drawing/2014/chart" uri="{C3380CC4-5D6E-409C-BE32-E72D297353CC}">
              <c16:uniqueId val="{00000002-6B62-4AAB-8B1A-3FFEE2578160}"/>
            </c:ext>
          </c:extLst>
        </c:ser>
        <c:dLbls>
          <c:showLegendKey val="0"/>
          <c:showVal val="0"/>
          <c:showCatName val="0"/>
          <c:showSerName val="0"/>
          <c:showPercent val="0"/>
          <c:showBubbleSize val="0"/>
        </c:dLbls>
        <c:gapWidth val="219"/>
        <c:overlap val="-27"/>
        <c:axId val="988874232"/>
        <c:axId val="988868000"/>
      </c:barChart>
      <c:lineChart>
        <c:grouping val="stacked"/>
        <c:varyColors val="0"/>
        <c:ser>
          <c:idx val="1"/>
          <c:order val="1"/>
          <c:tx>
            <c:strRef>
              <c:f>'statistics (44)'!$C$79</c:f>
              <c:strCache>
                <c:ptCount val="1"/>
                <c:pt idx="0">
                  <c:v>Hirschman-Herfindahl index</c:v>
                </c:pt>
              </c:strCache>
            </c:strRef>
          </c:tx>
          <c:spPr>
            <a:ln w="28575" cap="rnd">
              <a:noFill/>
              <a:round/>
            </a:ln>
            <a:effectLst/>
          </c:spPr>
          <c:marker>
            <c:symbol val="dash"/>
            <c:size val="9"/>
            <c:spPr>
              <a:solidFill>
                <a:schemeClr val="tx1"/>
              </a:solidFill>
              <a:ln w="9525">
                <a:solidFill>
                  <a:schemeClr val="tx1"/>
                </a:solidFill>
              </a:ln>
              <a:effectLst/>
            </c:spPr>
          </c:marker>
          <c:cat>
            <c:strRef>
              <c:f>'statistics (44)'!$A$80:$A$97</c:f>
              <c:strCache>
                <c:ptCount val="18"/>
                <c:pt idx="0">
                  <c:v>SI</c:v>
                </c:pt>
                <c:pt idx="1">
                  <c:v>SK</c:v>
                </c:pt>
                <c:pt idx="2">
                  <c:v>LV</c:v>
                </c:pt>
                <c:pt idx="3">
                  <c:v>CY</c:v>
                </c:pt>
                <c:pt idx="4">
                  <c:v>EE</c:v>
                </c:pt>
                <c:pt idx="5">
                  <c:v>PT</c:v>
                </c:pt>
                <c:pt idx="6">
                  <c:v>GR</c:v>
                </c:pt>
                <c:pt idx="7">
                  <c:v>MT</c:v>
                </c:pt>
                <c:pt idx="8">
                  <c:v>BE</c:v>
                </c:pt>
                <c:pt idx="9">
                  <c:v>ES</c:v>
                </c:pt>
                <c:pt idx="10">
                  <c:v>IT</c:v>
                </c:pt>
                <c:pt idx="11">
                  <c:v>AT</c:v>
                </c:pt>
                <c:pt idx="12">
                  <c:v>DE</c:v>
                </c:pt>
                <c:pt idx="13">
                  <c:v>NL</c:v>
                </c:pt>
                <c:pt idx="14">
                  <c:v>FR</c:v>
                </c:pt>
                <c:pt idx="15">
                  <c:v>FI</c:v>
                </c:pt>
                <c:pt idx="16">
                  <c:v>LU</c:v>
                </c:pt>
                <c:pt idx="17">
                  <c:v>IE</c:v>
                </c:pt>
              </c:strCache>
            </c:strRef>
          </c:cat>
          <c:val>
            <c:numRef>
              <c:f>'statistics (44)'!$C$80:$C$97</c:f>
              <c:numCache>
                <c:formatCode>General</c:formatCode>
                <c:ptCount val="18"/>
                <c:pt idx="0">
                  <c:v>822.88587523783929</c:v>
                </c:pt>
                <c:pt idx="1">
                  <c:v>751.94669177746539</c:v>
                </c:pt>
                <c:pt idx="2">
                  <c:v>779.97755358787128</c:v>
                </c:pt>
                <c:pt idx="3">
                  <c:v>616.03554058218765</c:v>
                </c:pt>
                <c:pt idx="4">
                  <c:v>626.07216729811694</c:v>
                </c:pt>
                <c:pt idx="5">
                  <c:v>584.83334313383773</c:v>
                </c:pt>
                <c:pt idx="6">
                  <c:v>542.88418793535504</c:v>
                </c:pt>
                <c:pt idx="7">
                  <c:v>484.21319841974912</c:v>
                </c:pt>
                <c:pt idx="8">
                  <c:v>369.14385144517354</c:v>
                </c:pt>
                <c:pt idx="9">
                  <c:v>494.17104525067469</c:v>
                </c:pt>
                <c:pt idx="10">
                  <c:v>408.7030656553232</c:v>
                </c:pt>
                <c:pt idx="11">
                  <c:v>364.32336596131807</c:v>
                </c:pt>
                <c:pt idx="12">
                  <c:v>302.43587519333329</c:v>
                </c:pt>
                <c:pt idx="13">
                  <c:v>227.26944887639812</c:v>
                </c:pt>
                <c:pt idx="14">
                  <c:v>182.48428120252697</c:v>
                </c:pt>
                <c:pt idx="15">
                  <c:v>139.58520667322125</c:v>
                </c:pt>
                <c:pt idx="16">
                  <c:v>142.3709151106012</c:v>
                </c:pt>
                <c:pt idx="17">
                  <c:v>70.178450402517939</c:v>
                </c:pt>
              </c:numCache>
            </c:numRef>
          </c:val>
          <c:smooth val="0"/>
          <c:extLst>
            <c:ext xmlns:c16="http://schemas.microsoft.com/office/drawing/2014/chart" uri="{C3380CC4-5D6E-409C-BE32-E72D297353CC}">
              <c16:uniqueId val="{00000003-6B62-4AAB-8B1A-3FFEE2578160}"/>
            </c:ext>
          </c:extLst>
        </c:ser>
        <c:dLbls>
          <c:showLegendKey val="0"/>
          <c:showVal val="0"/>
          <c:showCatName val="0"/>
          <c:showSerName val="0"/>
          <c:showPercent val="0"/>
          <c:showBubbleSize val="0"/>
        </c:dLbls>
        <c:marker val="1"/>
        <c:smooth val="0"/>
        <c:axId val="988855864"/>
        <c:axId val="988855208"/>
      </c:lineChart>
      <c:catAx>
        <c:axId val="988874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88868000"/>
        <c:crosses val="autoZero"/>
        <c:auto val="1"/>
        <c:lblAlgn val="ctr"/>
        <c:lblOffset val="100"/>
        <c:noMultiLvlLbl val="0"/>
      </c:catAx>
      <c:valAx>
        <c:axId val="9888680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88874232"/>
        <c:crosses val="autoZero"/>
        <c:crossBetween val="between"/>
      </c:valAx>
      <c:valAx>
        <c:axId val="9888552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988855864"/>
        <c:crosses val="max"/>
        <c:crossBetween val="between"/>
      </c:valAx>
      <c:catAx>
        <c:axId val="988855864"/>
        <c:scaling>
          <c:orientation val="minMax"/>
        </c:scaling>
        <c:delete val="1"/>
        <c:axPos val="b"/>
        <c:numFmt formatCode="General" sourceLinked="1"/>
        <c:majorTickMark val="out"/>
        <c:minorTickMark val="none"/>
        <c:tickLblPos val="nextTo"/>
        <c:crossAx val="988855208"/>
        <c:crosses val="autoZero"/>
        <c:auto val="1"/>
        <c:lblAlgn val="ctr"/>
        <c:lblOffset val="100"/>
        <c:noMultiLvlLbl val="0"/>
      </c:catAx>
      <c:spPr>
        <a:noFill/>
        <a:ln>
          <a:noFill/>
        </a:ln>
        <a:effectLst/>
      </c:spPr>
    </c:plotArea>
    <c:legend>
      <c:legendPos val="b"/>
      <c:layout>
        <c:manualLayout>
          <c:xMode val="edge"/>
          <c:yMode val="edge"/>
          <c:x val="0.50959506699217183"/>
          <c:y val="7.8430983586493266E-2"/>
          <c:w val="0.40597989661772621"/>
          <c:h val="0.1847895939871912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95363079615051E-2"/>
          <c:y val="5.0925925925925923E-2"/>
          <c:w val="0.92109208223972006"/>
          <c:h val="0.65687007874015735"/>
        </c:manualLayout>
      </c:layout>
      <c:lineChart>
        <c:grouping val="standard"/>
        <c:varyColors val="0"/>
        <c:ser>
          <c:idx val="1"/>
          <c:order val="0"/>
          <c:tx>
            <c:strRef>
              <c:f>su!$A$3</c:f>
              <c:strCache>
                <c:ptCount val="1"/>
                <c:pt idx="0">
                  <c:v>2017</c:v>
                </c:pt>
              </c:strCache>
            </c:strRef>
          </c:tx>
          <c:spPr>
            <a:ln w="19050" cap="rnd">
              <a:solidFill>
                <a:srgbClr val="005A4E"/>
              </a:solidFill>
              <a:round/>
            </a:ln>
            <a:effectLst/>
          </c:spPr>
          <c:marker>
            <c:symbol val="none"/>
          </c:marker>
          <c:cat>
            <c:strRef>
              <c:f>su!$B$1:$M$1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su!$B$3:$M$3</c:f>
              <c:numCache>
                <c:formatCode>General</c:formatCode>
                <c:ptCount val="12"/>
                <c:pt idx="0">
                  <c:v>26171</c:v>
                </c:pt>
                <c:pt idx="1">
                  <c:v>42660</c:v>
                </c:pt>
                <c:pt idx="2">
                  <c:v>40289</c:v>
                </c:pt>
                <c:pt idx="3">
                  <c:v>38852</c:v>
                </c:pt>
                <c:pt idx="4">
                  <c:v>76238</c:v>
                </c:pt>
                <c:pt idx="5">
                  <c:v>49175</c:v>
                </c:pt>
                <c:pt idx="6">
                  <c:v>46245</c:v>
                </c:pt>
                <c:pt idx="7">
                  <c:v>66551</c:v>
                </c:pt>
                <c:pt idx="8">
                  <c:v>45281</c:v>
                </c:pt>
                <c:pt idx="9">
                  <c:v>37724</c:v>
                </c:pt>
                <c:pt idx="10">
                  <c:v>52180</c:v>
                </c:pt>
                <c:pt idx="11">
                  <c:v>18223</c:v>
                </c:pt>
              </c:numCache>
            </c:numRef>
          </c:val>
          <c:smooth val="0"/>
          <c:extLst>
            <c:ext xmlns:c16="http://schemas.microsoft.com/office/drawing/2014/chart" uri="{C3380CC4-5D6E-409C-BE32-E72D297353CC}">
              <c16:uniqueId val="{00000000-01A5-49DF-8DC1-87E851CDE62F}"/>
            </c:ext>
          </c:extLst>
        </c:ser>
        <c:ser>
          <c:idx val="2"/>
          <c:order val="1"/>
          <c:tx>
            <c:strRef>
              <c:f>su!$A$4</c:f>
              <c:strCache>
                <c:ptCount val="1"/>
                <c:pt idx="0">
                  <c:v>2018</c:v>
                </c:pt>
              </c:strCache>
            </c:strRef>
          </c:tx>
          <c:spPr>
            <a:ln w="19050" cap="rnd">
              <a:solidFill>
                <a:srgbClr val="A2A9AD"/>
              </a:solidFill>
              <a:round/>
            </a:ln>
            <a:effectLst/>
          </c:spPr>
          <c:marker>
            <c:symbol val="none"/>
          </c:marker>
          <c:cat>
            <c:strRef>
              <c:f>su!$B$1:$M$1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su!$B$4:$M$4</c:f>
              <c:numCache>
                <c:formatCode>General</c:formatCode>
                <c:ptCount val="12"/>
                <c:pt idx="0">
                  <c:v>35054</c:v>
                </c:pt>
                <c:pt idx="1">
                  <c:v>25600</c:v>
                </c:pt>
                <c:pt idx="2">
                  <c:v>42155</c:v>
                </c:pt>
                <c:pt idx="3">
                  <c:v>38383</c:v>
                </c:pt>
                <c:pt idx="4">
                  <c:v>41020</c:v>
                </c:pt>
                <c:pt idx="5">
                  <c:v>30726</c:v>
                </c:pt>
                <c:pt idx="6">
                  <c:v>16672</c:v>
                </c:pt>
                <c:pt idx="7">
                  <c:v>31616</c:v>
                </c:pt>
                <c:pt idx="8">
                  <c:v>-2683</c:v>
                </c:pt>
                <c:pt idx="9">
                  <c:v>42424</c:v>
                </c:pt>
                <c:pt idx="10">
                  <c:v>33908</c:v>
                </c:pt>
                <c:pt idx="11">
                  <c:v>-30177</c:v>
                </c:pt>
              </c:numCache>
            </c:numRef>
          </c:val>
          <c:smooth val="0"/>
          <c:extLst>
            <c:ext xmlns:c16="http://schemas.microsoft.com/office/drawing/2014/chart" uri="{C3380CC4-5D6E-409C-BE32-E72D297353CC}">
              <c16:uniqueId val="{00000001-01A5-49DF-8DC1-87E851CDE62F}"/>
            </c:ext>
          </c:extLst>
        </c:ser>
        <c:ser>
          <c:idx val="3"/>
          <c:order val="2"/>
          <c:tx>
            <c:strRef>
              <c:f>su!$A$5</c:f>
              <c:strCache>
                <c:ptCount val="1"/>
                <c:pt idx="0">
                  <c:v>2019</c:v>
                </c:pt>
              </c:strCache>
            </c:strRef>
          </c:tx>
          <c:spPr>
            <a:ln w="19050" cap="rnd">
              <a:solidFill>
                <a:srgbClr val="D15F27"/>
              </a:solidFill>
              <a:round/>
            </a:ln>
            <a:effectLst/>
          </c:spPr>
          <c:marker>
            <c:symbol val="none"/>
          </c:marker>
          <c:cat>
            <c:strRef>
              <c:f>su!$B$1:$M$1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su!$B$5:$M$5</c:f>
              <c:numCache>
                <c:formatCode>General</c:formatCode>
                <c:ptCount val="12"/>
                <c:pt idx="0">
                  <c:v>-5544</c:v>
                </c:pt>
                <c:pt idx="1">
                  <c:v>-7541</c:v>
                </c:pt>
                <c:pt idx="2">
                  <c:v>2881</c:v>
                </c:pt>
                <c:pt idx="3">
                  <c:v>9802</c:v>
                </c:pt>
                <c:pt idx="4">
                  <c:v>9271</c:v>
                </c:pt>
                <c:pt idx="5">
                  <c:v>10117</c:v>
                </c:pt>
                <c:pt idx="6">
                  <c:v>-5813</c:v>
                </c:pt>
                <c:pt idx="7">
                  <c:v>9055</c:v>
                </c:pt>
                <c:pt idx="8">
                  <c:v>2304</c:v>
                </c:pt>
                <c:pt idx="9">
                  <c:v>15330</c:v>
                </c:pt>
                <c:pt idx="10">
                  <c:v>2312</c:v>
                </c:pt>
                <c:pt idx="11">
                  <c:v>-22618</c:v>
                </c:pt>
              </c:numCache>
            </c:numRef>
          </c:val>
          <c:smooth val="0"/>
          <c:extLst>
            <c:ext xmlns:c16="http://schemas.microsoft.com/office/drawing/2014/chart" uri="{C3380CC4-5D6E-409C-BE32-E72D297353CC}">
              <c16:uniqueId val="{00000002-01A5-49DF-8DC1-87E851CDE62F}"/>
            </c:ext>
          </c:extLst>
        </c:ser>
        <c:ser>
          <c:idx val="4"/>
          <c:order val="3"/>
          <c:tx>
            <c:strRef>
              <c:f>su!$A$6</c:f>
              <c:strCache>
                <c:ptCount val="1"/>
                <c:pt idx="0">
                  <c:v>2020</c:v>
                </c:pt>
              </c:strCache>
            </c:strRef>
          </c:tx>
          <c:spPr>
            <a:ln w="38100" cap="rnd">
              <a:solidFill>
                <a:srgbClr val="0067AC"/>
              </a:solidFill>
              <a:round/>
            </a:ln>
            <a:effectLst/>
          </c:spPr>
          <c:marker>
            <c:symbol val="none"/>
          </c:marker>
          <c:cat>
            <c:strRef>
              <c:f>su!$B$1:$M$1</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su!$B$6:$M$6</c:f>
              <c:numCache>
                <c:formatCode>General</c:formatCode>
                <c:ptCount val="12"/>
                <c:pt idx="0">
                  <c:v>-13535</c:v>
                </c:pt>
                <c:pt idx="1">
                  <c:v>-2693</c:v>
                </c:pt>
                <c:pt idx="2">
                  <c:v>-73468</c:v>
                </c:pt>
                <c:pt idx="3">
                  <c:v>-79767</c:v>
                </c:pt>
                <c:pt idx="4">
                  <c:v>-53039</c:v>
                </c:pt>
                <c:pt idx="5">
                  <c:v>-28579</c:v>
                </c:pt>
                <c:pt idx="6" formatCode="#,##0">
                  <c:v>-27029</c:v>
                </c:pt>
              </c:numCache>
            </c:numRef>
          </c:val>
          <c:smooth val="0"/>
          <c:extLst>
            <c:ext xmlns:c16="http://schemas.microsoft.com/office/drawing/2014/chart" uri="{C3380CC4-5D6E-409C-BE32-E72D297353CC}">
              <c16:uniqueId val="{00000003-01A5-49DF-8DC1-87E851CDE62F}"/>
            </c:ext>
          </c:extLst>
        </c:ser>
        <c:dLbls>
          <c:showLegendKey val="0"/>
          <c:showVal val="0"/>
          <c:showCatName val="0"/>
          <c:showSerName val="0"/>
          <c:showPercent val="0"/>
          <c:showBubbleSize val="0"/>
        </c:dLbls>
        <c:smooth val="0"/>
        <c:axId val="598578320"/>
        <c:axId val="598568808"/>
      </c:lineChart>
      <c:catAx>
        <c:axId val="598578320"/>
        <c:scaling>
          <c:orientation val="minMax"/>
        </c:scaling>
        <c:delete val="0"/>
        <c:axPos val="b"/>
        <c:numFmt formatCode="General" sourceLinked="1"/>
        <c:majorTickMark val="out"/>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8568808"/>
        <c:crosses val="autoZero"/>
        <c:auto val="1"/>
        <c:lblAlgn val="ctr"/>
        <c:lblOffset val="100"/>
        <c:noMultiLvlLbl val="0"/>
      </c:catAx>
      <c:valAx>
        <c:axId val="598568808"/>
        <c:scaling>
          <c:orientation val="minMax"/>
        </c:scaling>
        <c:delete val="0"/>
        <c:axPos val="l"/>
        <c:numFmt formatCode="#,##0" sourceLinked="0"/>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8578320"/>
        <c:crosses val="autoZero"/>
        <c:crossBetween val="between"/>
        <c:dispUnits>
          <c:builtInUnit val="thousands"/>
        </c:dispUnits>
      </c:valAx>
      <c:spPr>
        <a:noFill/>
        <a:ln>
          <a:noFill/>
        </a:ln>
        <a:effectLst/>
      </c:spPr>
    </c:plotArea>
    <c:legend>
      <c:legendPos val="b"/>
      <c:layout>
        <c:manualLayout>
          <c:xMode val="edge"/>
          <c:yMode val="edge"/>
          <c:x val="8.5658355205599293E-3"/>
          <c:y val="0.8581656459609216"/>
          <c:w val="0.98837812628793298"/>
          <c:h val="0.1418345192897901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legend>
    <c:plotVisOnly val="1"/>
    <c:dispBlanksAs val="gap"/>
    <c:showDLblsOverMax val="0"/>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sk-S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70625546806649E-2"/>
          <c:y val="5.4421759737984444E-2"/>
          <c:w val="0.39464908813128347"/>
          <c:h val="0.83820944359375704"/>
        </c:manualLayout>
      </c:layout>
      <c:barChart>
        <c:barDir val="col"/>
        <c:grouping val="stacked"/>
        <c:varyColors val="0"/>
        <c:ser>
          <c:idx val="0"/>
          <c:order val="0"/>
          <c:tx>
            <c:strRef>
              <c:f>Sheet1!$A$2</c:f>
              <c:strCache>
                <c:ptCount val="1"/>
                <c:pt idx="0">
                  <c:v>Finančný výsledok v ŽP okrem IŽP</c:v>
                </c:pt>
              </c:strCache>
            </c:strRef>
          </c:tx>
          <c:spPr>
            <a:solidFill>
              <a:schemeClr val="accent1"/>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Sheet1!$B$2:$E$2</c:f>
              <c:numCache>
                <c:formatCode>#,##0</c:formatCode>
                <c:ptCount val="4"/>
                <c:pt idx="0">
                  <c:v>66488419</c:v>
                </c:pt>
                <c:pt idx="1">
                  <c:v>53932130</c:v>
                </c:pt>
                <c:pt idx="2">
                  <c:v>53414350</c:v>
                </c:pt>
                <c:pt idx="3">
                  <c:v>43827228</c:v>
                </c:pt>
              </c:numCache>
            </c:numRef>
          </c:val>
          <c:extLst>
            <c:ext xmlns:c16="http://schemas.microsoft.com/office/drawing/2014/chart" uri="{C3380CC4-5D6E-409C-BE32-E72D297353CC}">
              <c16:uniqueId val="{00000000-F7BE-49DC-A074-9FBB32FA6249}"/>
            </c:ext>
          </c:extLst>
        </c:ser>
        <c:ser>
          <c:idx val="1"/>
          <c:order val="1"/>
          <c:tx>
            <c:strRef>
              <c:f>Sheet1!$A$3</c:f>
              <c:strCache>
                <c:ptCount val="1"/>
                <c:pt idx="0">
                  <c:v>Technický výsledok v ŽP okrem IŽP</c:v>
                </c:pt>
              </c:strCache>
            </c:strRef>
          </c:tx>
          <c:spPr>
            <a:solidFill>
              <a:schemeClr val="accent3"/>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Sheet1!$B$3:$E$3</c:f>
              <c:numCache>
                <c:formatCode>#,##0</c:formatCode>
                <c:ptCount val="4"/>
                <c:pt idx="0">
                  <c:v>9710124</c:v>
                </c:pt>
                <c:pt idx="1">
                  <c:v>32364672</c:v>
                </c:pt>
                <c:pt idx="2">
                  <c:v>247238</c:v>
                </c:pt>
                <c:pt idx="3">
                  <c:v>24594835</c:v>
                </c:pt>
              </c:numCache>
            </c:numRef>
          </c:val>
          <c:extLst>
            <c:ext xmlns:c16="http://schemas.microsoft.com/office/drawing/2014/chart" uri="{C3380CC4-5D6E-409C-BE32-E72D297353CC}">
              <c16:uniqueId val="{00000001-F7BE-49DC-A074-9FBB32FA6249}"/>
            </c:ext>
          </c:extLst>
        </c:ser>
        <c:ser>
          <c:idx val="2"/>
          <c:order val="2"/>
          <c:tx>
            <c:strRef>
              <c:f>Sheet1!$A$4</c:f>
              <c:strCache>
                <c:ptCount val="1"/>
                <c:pt idx="0">
                  <c:v>Finančný výsledok v NP</c:v>
                </c:pt>
              </c:strCache>
            </c:strRef>
          </c:tx>
          <c:spPr>
            <a:solidFill>
              <a:srgbClr val="A2A9AD"/>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Sheet1!$B$4:$E$4</c:f>
              <c:numCache>
                <c:formatCode>#,##0</c:formatCode>
                <c:ptCount val="4"/>
                <c:pt idx="0">
                  <c:v>13344105</c:v>
                </c:pt>
                <c:pt idx="1">
                  <c:v>10474468</c:v>
                </c:pt>
                <c:pt idx="2">
                  <c:v>10975742</c:v>
                </c:pt>
                <c:pt idx="3">
                  <c:v>6369363</c:v>
                </c:pt>
              </c:numCache>
            </c:numRef>
          </c:val>
          <c:extLst>
            <c:ext xmlns:c16="http://schemas.microsoft.com/office/drawing/2014/chart" uri="{C3380CC4-5D6E-409C-BE32-E72D297353CC}">
              <c16:uniqueId val="{00000002-F7BE-49DC-A074-9FBB32FA6249}"/>
            </c:ext>
          </c:extLst>
        </c:ser>
        <c:ser>
          <c:idx val="3"/>
          <c:order val="3"/>
          <c:tx>
            <c:strRef>
              <c:f>Sheet1!$A$5</c:f>
              <c:strCache>
                <c:ptCount val="1"/>
                <c:pt idx="0">
                  <c:v>Technický výsledok v NP</c:v>
                </c:pt>
              </c:strCache>
            </c:strRef>
          </c:tx>
          <c:spPr>
            <a:solidFill>
              <a:schemeClr val="accent4"/>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Sheet1!$B$5:$E$5</c:f>
              <c:numCache>
                <c:formatCode>#,##0</c:formatCode>
                <c:ptCount val="4"/>
                <c:pt idx="0">
                  <c:v>26291058</c:v>
                </c:pt>
                <c:pt idx="1">
                  <c:v>17002162</c:v>
                </c:pt>
                <c:pt idx="2">
                  <c:v>16370919</c:v>
                </c:pt>
                <c:pt idx="3">
                  <c:v>47645577</c:v>
                </c:pt>
              </c:numCache>
            </c:numRef>
          </c:val>
          <c:extLst>
            <c:ext xmlns:c16="http://schemas.microsoft.com/office/drawing/2014/chart" uri="{C3380CC4-5D6E-409C-BE32-E72D297353CC}">
              <c16:uniqueId val="{00000003-F7BE-49DC-A074-9FBB32FA6249}"/>
            </c:ext>
          </c:extLst>
        </c:ser>
        <c:ser>
          <c:idx val="4"/>
          <c:order val="4"/>
          <c:tx>
            <c:strRef>
              <c:f>Sheet1!$A$6</c:f>
              <c:strCache>
                <c:ptCount val="1"/>
                <c:pt idx="0">
                  <c:v>Finančný výsledok z investícií, ktoré nekryjú technické rezervy</c:v>
                </c:pt>
              </c:strCache>
            </c:strRef>
          </c:tx>
          <c:spPr>
            <a:solidFill>
              <a:srgbClr val="A6835A"/>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Sheet1!$B$6:$E$6</c:f>
              <c:numCache>
                <c:formatCode>#,##0</c:formatCode>
                <c:ptCount val="4"/>
                <c:pt idx="0">
                  <c:v>16895869</c:v>
                </c:pt>
                <c:pt idx="1">
                  <c:v>11239905</c:v>
                </c:pt>
                <c:pt idx="2">
                  <c:v>11018418</c:v>
                </c:pt>
                <c:pt idx="3">
                  <c:v>5184773</c:v>
                </c:pt>
              </c:numCache>
            </c:numRef>
          </c:val>
          <c:extLst>
            <c:ext xmlns:c16="http://schemas.microsoft.com/office/drawing/2014/chart" uri="{C3380CC4-5D6E-409C-BE32-E72D297353CC}">
              <c16:uniqueId val="{00000004-F7BE-49DC-A074-9FBB32FA6249}"/>
            </c:ext>
          </c:extLst>
        </c:ser>
        <c:ser>
          <c:idx val="5"/>
          <c:order val="5"/>
          <c:tx>
            <c:strRef>
              <c:f>Sheet1!$A$7</c:f>
              <c:strCache>
                <c:ptCount val="1"/>
                <c:pt idx="0">
                  <c:v>Ostatné výnosy a náklady</c:v>
                </c:pt>
              </c:strCache>
            </c:strRef>
          </c:tx>
          <c:spPr>
            <a:solidFill>
              <a:srgbClr val="73253E">
                <a:lumMod val="40000"/>
                <a:lumOff val="60000"/>
              </a:srgbClr>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Sheet1!$B$7:$E$7</c:f>
              <c:numCache>
                <c:formatCode>#,##0</c:formatCode>
                <c:ptCount val="4"/>
                <c:pt idx="0">
                  <c:v>3611075</c:v>
                </c:pt>
                <c:pt idx="1">
                  <c:v>-2548009</c:v>
                </c:pt>
                <c:pt idx="2">
                  <c:v>1691607</c:v>
                </c:pt>
                <c:pt idx="3">
                  <c:v>-1543203</c:v>
                </c:pt>
              </c:numCache>
            </c:numRef>
          </c:val>
          <c:extLst>
            <c:ext xmlns:c16="http://schemas.microsoft.com/office/drawing/2014/chart" uri="{C3380CC4-5D6E-409C-BE32-E72D297353CC}">
              <c16:uniqueId val="{00000005-F7BE-49DC-A074-9FBB32FA6249}"/>
            </c:ext>
          </c:extLst>
        </c:ser>
        <c:ser>
          <c:idx val="7"/>
          <c:order val="6"/>
          <c:tx>
            <c:strRef>
              <c:f>Sheet1!$A$9</c:f>
              <c:strCache>
                <c:ptCount val="1"/>
                <c:pt idx="0">
                  <c:v>Daň z príjmu a osobitný odvod</c:v>
                </c:pt>
              </c:strCache>
            </c:strRef>
          </c:tx>
          <c:spPr>
            <a:solidFill>
              <a:srgbClr val="73253E"/>
            </a:solidFill>
            <a:ln>
              <a:noFill/>
            </a:ln>
            <a:effectLst/>
          </c:spPr>
          <c:invertIfNegative val="0"/>
          <c:cat>
            <c:numRef>
              <c:f>Sheet1!$B$1:$E$1</c:f>
              <c:numCache>
                <c:formatCode>@</c:formatCode>
                <c:ptCount val="4"/>
                <c:pt idx="0">
                  <c:v>42916</c:v>
                </c:pt>
                <c:pt idx="1">
                  <c:v>43281</c:v>
                </c:pt>
                <c:pt idx="2">
                  <c:v>43646</c:v>
                </c:pt>
                <c:pt idx="3">
                  <c:v>44012</c:v>
                </c:pt>
              </c:numCache>
            </c:numRef>
          </c:cat>
          <c:val>
            <c:numRef>
              <c:f>Sheet1!$B$9:$E$9</c:f>
              <c:numCache>
                <c:formatCode>#,##0</c:formatCode>
                <c:ptCount val="4"/>
                <c:pt idx="0">
                  <c:v>-36107882</c:v>
                </c:pt>
                <c:pt idx="1">
                  <c:v>-36047955</c:v>
                </c:pt>
                <c:pt idx="2">
                  <c:v>-25875527</c:v>
                </c:pt>
                <c:pt idx="3">
                  <c:v>-33166186</c:v>
                </c:pt>
              </c:numCache>
            </c:numRef>
          </c:val>
          <c:extLst>
            <c:ext xmlns:c16="http://schemas.microsoft.com/office/drawing/2014/chart" uri="{C3380CC4-5D6E-409C-BE32-E72D297353CC}">
              <c16:uniqueId val="{00000006-F7BE-49DC-A074-9FBB32FA6249}"/>
            </c:ext>
          </c:extLst>
        </c:ser>
        <c:dLbls>
          <c:showLegendKey val="0"/>
          <c:showVal val="0"/>
          <c:showCatName val="0"/>
          <c:showSerName val="0"/>
          <c:showPercent val="0"/>
          <c:showBubbleSize val="0"/>
        </c:dLbls>
        <c:gapWidth val="150"/>
        <c:overlap val="100"/>
        <c:axId val="596498808"/>
        <c:axId val="596499136"/>
      </c:barChart>
      <c:lineChart>
        <c:grouping val="standard"/>
        <c:varyColors val="0"/>
        <c:ser>
          <c:idx val="8"/>
          <c:order val="7"/>
          <c:tx>
            <c:strRef>
              <c:f>Sheet1!$A$10</c:f>
              <c:strCache>
                <c:ptCount val="1"/>
                <c:pt idx="0">
                  <c:v>Hospodársky výsledok po zdanení</c:v>
                </c:pt>
              </c:strCache>
            </c:strRef>
          </c:tx>
          <c:spPr>
            <a:ln w="28575" cap="rnd">
              <a:solidFill>
                <a:sysClr val="windowText" lastClr="000000"/>
              </a:solidFill>
              <a:round/>
            </a:ln>
            <a:effectLst/>
          </c:spPr>
          <c:marker>
            <c:symbol val="diamond"/>
            <c:size val="7"/>
            <c:spPr>
              <a:solidFill>
                <a:sysClr val="window" lastClr="FFFFFF"/>
              </a:solidFill>
              <a:ln w="9525">
                <a:solidFill>
                  <a:sysClr val="windowText" lastClr="000000"/>
                </a:solidFill>
              </a:ln>
              <a:effectLst/>
            </c:spPr>
          </c:marker>
          <c:dLbls>
            <c:dLbl>
              <c:idx val="0"/>
              <c:layout>
                <c:manualLayout>
                  <c:x val="-4.890842850885159E-2"/>
                  <c:y val="-0.20688596748754309"/>
                </c:manualLayout>
              </c:layout>
              <c:tx>
                <c:rich>
                  <a:bodyPr/>
                  <a:lstStyle/>
                  <a:p>
                    <a:r>
                      <a:rPr lang="en-US"/>
                      <a:t>100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BE-49DC-A074-9FBB32FA6249}"/>
                </c:ext>
              </c:extLst>
            </c:dLbl>
            <c:dLbl>
              <c:idx val="1"/>
              <c:layout>
                <c:manualLayout>
                  <c:x val="-3.7713009754377719E-2"/>
                  <c:y val="-0.22017319190205364"/>
                </c:manualLayout>
              </c:layout>
              <c:tx>
                <c:rich>
                  <a:bodyPr/>
                  <a:lstStyle/>
                  <a:p>
                    <a:r>
                      <a:rPr lang="en-US"/>
                      <a:t>86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BE-49DC-A074-9FBB32FA6249}"/>
                </c:ext>
              </c:extLst>
            </c:dLbl>
            <c:dLbl>
              <c:idx val="2"/>
              <c:layout>
                <c:manualLayout>
                  <c:x val="-4.4945672496501034E-2"/>
                  <c:y val="-0.1610777824795557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a:t>68</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manualLayout>
                      <c:w val="5.5318539727988537E-2"/>
                      <c:h val="4.9270069506576537E-2"/>
                    </c:manualLayout>
                  </c15:layout>
                </c:ext>
                <c:ext xmlns:c16="http://schemas.microsoft.com/office/drawing/2014/chart" uri="{C3380CC4-5D6E-409C-BE32-E72D297353CC}">
                  <c16:uniqueId val="{00000009-F7BE-49DC-A074-9FBB32FA6249}"/>
                </c:ext>
              </c:extLst>
            </c:dLbl>
            <c:dLbl>
              <c:idx val="3"/>
              <c:layout>
                <c:manualLayout>
                  <c:x val="-5.1535165973995496E-2"/>
                  <c:y val="-0.19537662253519417"/>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r>
                      <a:rPr lang="en-US"/>
                      <a:t>93</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dLblPos val="r"/>
              <c:showLegendKey val="0"/>
              <c:showVal val="1"/>
              <c:showCatName val="0"/>
              <c:showSerName val="0"/>
              <c:showPercent val="0"/>
              <c:showBubbleSize val="0"/>
              <c:extLst>
                <c:ext xmlns:c15="http://schemas.microsoft.com/office/drawing/2012/chart" uri="{CE6537A1-D6FC-4f65-9D91-7224C49458BB}">
                  <c15:layout>
                    <c:manualLayout>
                      <c:w val="7.114867675577366E-2"/>
                      <c:h val="6.3761337699880863E-2"/>
                    </c:manualLayout>
                  </c15:layout>
                </c:ext>
                <c:ext xmlns:c16="http://schemas.microsoft.com/office/drawing/2014/chart" uri="{C3380CC4-5D6E-409C-BE32-E72D297353CC}">
                  <c16:uniqueId val="{0000000A-F7BE-49DC-A074-9FBB32FA624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c:formatCode>
                <c:ptCount val="4"/>
                <c:pt idx="0">
                  <c:v>42916</c:v>
                </c:pt>
                <c:pt idx="1">
                  <c:v>43281</c:v>
                </c:pt>
                <c:pt idx="2">
                  <c:v>43646</c:v>
                </c:pt>
                <c:pt idx="3">
                  <c:v>44012</c:v>
                </c:pt>
              </c:numCache>
            </c:numRef>
          </c:cat>
          <c:val>
            <c:numRef>
              <c:f>Sheet1!$B$10:$E$10</c:f>
              <c:numCache>
                <c:formatCode>#,##0</c:formatCode>
                <c:ptCount val="4"/>
                <c:pt idx="0">
                  <c:v>100232768</c:v>
                </c:pt>
                <c:pt idx="1">
                  <c:v>86417372</c:v>
                </c:pt>
                <c:pt idx="2">
                  <c:v>67842747</c:v>
                </c:pt>
                <c:pt idx="3">
                  <c:v>92912388</c:v>
                </c:pt>
              </c:numCache>
            </c:numRef>
          </c:val>
          <c:smooth val="0"/>
          <c:extLst>
            <c:ext xmlns:c16="http://schemas.microsoft.com/office/drawing/2014/chart" uri="{C3380CC4-5D6E-409C-BE32-E72D297353CC}">
              <c16:uniqueId val="{0000000B-F7BE-49DC-A074-9FBB32FA6249}"/>
            </c:ext>
          </c:extLst>
        </c:ser>
        <c:dLbls>
          <c:showLegendKey val="0"/>
          <c:showVal val="0"/>
          <c:showCatName val="0"/>
          <c:showSerName val="0"/>
          <c:showPercent val="0"/>
          <c:showBubbleSize val="0"/>
        </c:dLbls>
        <c:marker val="1"/>
        <c:smooth val="0"/>
        <c:axId val="596498808"/>
        <c:axId val="596499136"/>
      </c:lineChart>
      <c:catAx>
        <c:axId val="596498808"/>
        <c:scaling>
          <c:orientation val="minMax"/>
        </c:scaling>
        <c:delete val="0"/>
        <c:axPos val="b"/>
        <c:numFmt formatCode="[$-41B]mmm\-yy;@" sourceLinked="0"/>
        <c:majorTickMark val="out"/>
        <c:minorTickMark val="none"/>
        <c:tickLblPos val="low"/>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6499136"/>
        <c:crosses val="autoZero"/>
        <c:auto val="1"/>
        <c:lblAlgn val="ctr"/>
        <c:lblOffset val="100"/>
        <c:noMultiLvlLbl val="0"/>
      </c:catAx>
      <c:valAx>
        <c:axId val="596499136"/>
        <c:scaling>
          <c:orientation val="minMax"/>
          <c:max val="140000000"/>
          <c:min val="-40000000"/>
        </c:scaling>
        <c:delete val="0"/>
        <c:axPos val="l"/>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6498808"/>
        <c:crosses val="autoZero"/>
        <c:crossBetween val="between"/>
        <c:dispUnits>
          <c:builtInUnit val="millions"/>
          <c:dispUnitsLbl>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dispUnitsLbl>
        </c:dispUnits>
      </c:valAx>
      <c:spPr>
        <a:noFill/>
        <a:ln>
          <a:noFill/>
        </a:ln>
        <a:effectLst/>
      </c:spPr>
    </c:plotArea>
    <c:legend>
      <c:legendPos val="r"/>
      <c:layout>
        <c:manualLayout>
          <c:xMode val="edge"/>
          <c:yMode val="edge"/>
          <c:x val="0.45928845393647377"/>
          <c:y val="6.0808479758265026E-2"/>
          <c:w val="0.5262269896045898"/>
          <c:h val="0.939191587112015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legend>
    <c:plotVisOnly val="1"/>
    <c:dispBlanksAs val="gap"/>
    <c:showDLblsOverMax val="0"/>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sk-SK"/>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7533235538759E-2"/>
          <c:y val="5.0925925925925923E-2"/>
          <c:w val="0.89214555294177644"/>
          <c:h val="0.58993964219546091"/>
        </c:manualLayout>
      </c:layout>
      <c:barChart>
        <c:barDir val="col"/>
        <c:grouping val="stacked"/>
        <c:varyColors val="0"/>
        <c:ser>
          <c:idx val="0"/>
          <c:order val="0"/>
          <c:tx>
            <c:strRef>
              <c:f>Sheet2!$A$3</c:f>
              <c:strCache>
                <c:ptCount val="1"/>
                <c:pt idx="0">
                  <c:v>Škodovosť</c:v>
                </c:pt>
              </c:strCache>
            </c:strRef>
          </c:tx>
          <c:spPr>
            <a:solidFill>
              <a:schemeClr val="accent1"/>
            </a:solidFill>
            <a:ln>
              <a:noFill/>
            </a:ln>
            <a:effectLst/>
          </c:spPr>
          <c:invertIfNegative val="0"/>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Sheet2!$B$3:$P$3</c:f>
              <c:numCache>
                <c:formatCode>General</c:formatCode>
                <c:ptCount val="15"/>
                <c:pt idx="0">
                  <c:v>0.62397254953371817</c:v>
                </c:pt>
                <c:pt idx="1">
                  <c:v>0.62987894633811314</c:v>
                </c:pt>
                <c:pt idx="2">
                  <c:v>0.63943396725043733</c:v>
                </c:pt>
                <c:pt idx="3">
                  <c:v>0.63903840160578385</c:v>
                </c:pt>
                <c:pt idx="4">
                  <c:v>0.54753514086468202</c:v>
                </c:pt>
              </c:numCache>
            </c:numRef>
          </c:val>
          <c:extLst>
            <c:ext xmlns:c16="http://schemas.microsoft.com/office/drawing/2014/chart" uri="{C3380CC4-5D6E-409C-BE32-E72D297353CC}">
              <c16:uniqueId val="{00000000-841D-464D-925D-778E48AAF24A}"/>
            </c:ext>
          </c:extLst>
        </c:ser>
        <c:ser>
          <c:idx val="1"/>
          <c:order val="1"/>
          <c:tx>
            <c:strRef>
              <c:f>Sheet2!$A$4</c:f>
              <c:strCache>
                <c:ptCount val="1"/>
                <c:pt idx="0">
                  <c:v>Nákladovosť</c:v>
                </c:pt>
              </c:strCache>
            </c:strRef>
          </c:tx>
          <c:spPr>
            <a:solidFill>
              <a:schemeClr val="accent2"/>
            </a:solidFill>
            <a:ln>
              <a:noFill/>
            </a:ln>
            <a:effectLst/>
          </c:spPr>
          <c:invertIfNegative val="0"/>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Sheet2!$B$4:$P$4</c:f>
              <c:numCache>
                <c:formatCode>General</c:formatCode>
                <c:ptCount val="15"/>
                <c:pt idx="0">
                  <c:v>0.39606188120595565</c:v>
                </c:pt>
                <c:pt idx="1">
                  <c:v>0.36951621923531164</c:v>
                </c:pt>
                <c:pt idx="2">
                  <c:v>0.37878643206778545</c:v>
                </c:pt>
                <c:pt idx="3">
                  <c:v>0.34308599229526382</c:v>
                </c:pt>
                <c:pt idx="4">
                  <c:v>0.35424502915027956</c:v>
                </c:pt>
              </c:numCache>
            </c:numRef>
          </c:val>
          <c:extLst>
            <c:ext xmlns:c16="http://schemas.microsoft.com/office/drawing/2014/chart" uri="{C3380CC4-5D6E-409C-BE32-E72D297353CC}">
              <c16:uniqueId val="{00000001-841D-464D-925D-778E48AAF24A}"/>
            </c:ext>
          </c:extLst>
        </c:ser>
        <c:ser>
          <c:idx val="3"/>
          <c:order val="3"/>
          <c:tx>
            <c:strRef>
              <c:f>Sheet2!$A$6</c:f>
              <c:strCache>
                <c:ptCount val="1"/>
                <c:pt idx="0">
                  <c:v>Škodovosť</c:v>
                </c:pt>
              </c:strCache>
            </c:strRef>
          </c:tx>
          <c:spPr>
            <a:solidFill>
              <a:schemeClr val="accent1"/>
            </a:solidFill>
            <a:ln>
              <a:noFill/>
            </a:ln>
            <a:effectLst/>
          </c:spPr>
          <c:invertIfNegative val="0"/>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Sheet2!$B$6:$P$6</c:f>
              <c:numCache>
                <c:formatCode>General</c:formatCode>
                <c:ptCount val="15"/>
                <c:pt idx="5">
                  <c:v>0.23185077339215515</c:v>
                </c:pt>
                <c:pt idx="6">
                  <c:v>0.30539892989404194</c:v>
                </c:pt>
                <c:pt idx="7">
                  <c:v>0.27466556966478867</c:v>
                </c:pt>
                <c:pt idx="8">
                  <c:v>0.36076150195056367</c:v>
                </c:pt>
                <c:pt idx="9">
                  <c:v>0.38233014176347918</c:v>
                </c:pt>
              </c:numCache>
            </c:numRef>
          </c:val>
          <c:extLst>
            <c:ext xmlns:c16="http://schemas.microsoft.com/office/drawing/2014/chart" uri="{C3380CC4-5D6E-409C-BE32-E72D297353CC}">
              <c16:uniqueId val="{00000002-841D-464D-925D-778E48AAF24A}"/>
            </c:ext>
          </c:extLst>
        </c:ser>
        <c:ser>
          <c:idx val="4"/>
          <c:order val="4"/>
          <c:tx>
            <c:strRef>
              <c:f>Sheet2!$A$7</c:f>
              <c:strCache>
                <c:ptCount val="1"/>
                <c:pt idx="0">
                  <c:v>Nákladovosť</c:v>
                </c:pt>
              </c:strCache>
            </c:strRef>
          </c:tx>
          <c:spPr>
            <a:solidFill>
              <a:schemeClr val="accent2"/>
            </a:solidFill>
            <a:ln>
              <a:noFill/>
            </a:ln>
            <a:effectLst/>
          </c:spPr>
          <c:invertIfNegative val="0"/>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Sheet2!$B$7:$P$7</c:f>
              <c:numCache>
                <c:formatCode>General</c:formatCode>
                <c:ptCount val="15"/>
                <c:pt idx="5">
                  <c:v>0.52041722337512142</c:v>
                </c:pt>
                <c:pt idx="6">
                  <c:v>0.46658257999462777</c:v>
                </c:pt>
                <c:pt idx="7">
                  <c:v>0.4776664833134171</c:v>
                </c:pt>
                <c:pt idx="8">
                  <c:v>0.48388982550496168</c:v>
                </c:pt>
                <c:pt idx="9">
                  <c:v>0.4867830074216602</c:v>
                </c:pt>
              </c:numCache>
            </c:numRef>
          </c:val>
          <c:extLst>
            <c:ext xmlns:c16="http://schemas.microsoft.com/office/drawing/2014/chart" uri="{C3380CC4-5D6E-409C-BE32-E72D297353CC}">
              <c16:uniqueId val="{00000003-841D-464D-925D-778E48AAF24A}"/>
            </c:ext>
          </c:extLst>
        </c:ser>
        <c:ser>
          <c:idx val="7"/>
          <c:order val="6"/>
          <c:tx>
            <c:strRef>
              <c:f>Sheet2!$A$9</c:f>
              <c:strCache>
                <c:ptCount val="1"/>
                <c:pt idx="0">
                  <c:v>Škodovosť</c:v>
                </c:pt>
              </c:strCache>
            </c:strRef>
          </c:tx>
          <c:spPr>
            <a:solidFill>
              <a:schemeClr val="accent1"/>
            </a:solidFill>
            <a:ln>
              <a:noFill/>
            </a:ln>
            <a:effectLst/>
          </c:spPr>
          <c:invertIfNegative val="0"/>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Sheet2!$B$9:$P$9</c:f>
              <c:numCache>
                <c:formatCode>General</c:formatCode>
                <c:ptCount val="15"/>
                <c:pt idx="10">
                  <c:v>0.32662029705686696</c:v>
                </c:pt>
                <c:pt idx="11">
                  <c:v>0.26792312731238166</c:v>
                </c:pt>
                <c:pt idx="12">
                  <c:v>0.31638250274862334</c:v>
                </c:pt>
                <c:pt idx="13">
                  <c:v>0.34551884232090296</c:v>
                </c:pt>
                <c:pt idx="14">
                  <c:v>0.31596484612340997</c:v>
                </c:pt>
              </c:numCache>
            </c:numRef>
          </c:val>
          <c:extLst>
            <c:ext xmlns:c16="http://schemas.microsoft.com/office/drawing/2014/chart" uri="{C3380CC4-5D6E-409C-BE32-E72D297353CC}">
              <c16:uniqueId val="{00000004-841D-464D-925D-778E48AAF24A}"/>
            </c:ext>
          </c:extLst>
        </c:ser>
        <c:ser>
          <c:idx val="8"/>
          <c:order val="7"/>
          <c:tx>
            <c:strRef>
              <c:f>Sheet2!$A$10</c:f>
              <c:strCache>
                <c:ptCount val="1"/>
                <c:pt idx="0">
                  <c:v>Nákladovosť</c:v>
                </c:pt>
              </c:strCache>
            </c:strRef>
          </c:tx>
          <c:spPr>
            <a:solidFill>
              <a:schemeClr val="accent2"/>
            </a:solidFill>
            <a:ln>
              <a:noFill/>
            </a:ln>
            <a:effectLst/>
          </c:spPr>
          <c:invertIfNegative val="0"/>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Sheet2!$B$10:$P$10</c:f>
              <c:numCache>
                <c:formatCode>General</c:formatCode>
                <c:ptCount val="15"/>
                <c:pt idx="10">
                  <c:v>0.51586817832412446</c:v>
                </c:pt>
                <c:pt idx="11">
                  <c:v>0.49569783808289924</c:v>
                </c:pt>
                <c:pt idx="12">
                  <c:v>0.35317787032391007</c:v>
                </c:pt>
                <c:pt idx="13">
                  <c:v>0.2628886697894765</c:v>
                </c:pt>
                <c:pt idx="14">
                  <c:v>0.3324726678151898</c:v>
                </c:pt>
              </c:numCache>
            </c:numRef>
          </c:val>
          <c:extLst>
            <c:ext xmlns:c16="http://schemas.microsoft.com/office/drawing/2014/chart" uri="{C3380CC4-5D6E-409C-BE32-E72D297353CC}">
              <c16:uniqueId val="{00000005-841D-464D-925D-778E48AAF24A}"/>
            </c:ext>
          </c:extLst>
        </c:ser>
        <c:dLbls>
          <c:showLegendKey val="0"/>
          <c:showVal val="0"/>
          <c:showCatName val="0"/>
          <c:showSerName val="0"/>
          <c:showPercent val="0"/>
          <c:showBubbleSize val="0"/>
        </c:dLbls>
        <c:gapWidth val="150"/>
        <c:overlap val="100"/>
        <c:axId val="669564144"/>
        <c:axId val="669565128"/>
      </c:barChart>
      <c:lineChart>
        <c:grouping val="standard"/>
        <c:varyColors val="0"/>
        <c:ser>
          <c:idx val="2"/>
          <c:order val="2"/>
          <c:tx>
            <c:strRef>
              <c:f>Sheet2!$A$5</c:f>
              <c:strCache>
                <c:ptCount val="1"/>
                <c:pt idx="0">
                  <c:v>Kombinovaný ukazovateľ PZP a KASKO</c:v>
                </c:pt>
              </c:strCache>
            </c:strRef>
          </c:tx>
          <c:spPr>
            <a:ln w="28575" cap="rnd">
              <a:solidFill>
                <a:schemeClr val="accent3"/>
              </a:solidFill>
              <a:round/>
            </a:ln>
            <a:effectLst/>
          </c:spPr>
          <c:marker>
            <c:symbol val="none"/>
          </c:marker>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Sheet2!$B$5:$P$5</c:f>
              <c:numCache>
                <c:formatCode>General</c:formatCode>
                <c:ptCount val="15"/>
                <c:pt idx="0">
                  <c:v>1.0673045380326853</c:v>
                </c:pt>
                <c:pt idx="1">
                  <c:v>1.0949827196822872</c:v>
                </c:pt>
                <c:pt idx="2">
                  <c:v>1.1145738821149214</c:v>
                </c:pt>
                <c:pt idx="3">
                  <c:v>1.0251812314378439</c:v>
                </c:pt>
                <c:pt idx="4">
                  <c:v>0.94121495947726808</c:v>
                </c:pt>
              </c:numCache>
            </c:numRef>
          </c:val>
          <c:smooth val="0"/>
          <c:extLst>
            <c:ext xmlns:c16="http://schemas.microsoft.com/office/drawing/2014/chart" uri="{C3380CC4-5D6E-409C-BE32-E72D297353CC}">
              <c16:uniqueId val="{00000006-841D-464D-925D-778E48AAF24A}"/>
            </c:ext>
          </c:extLst>
        </c:ser>
        <c:ser>
          <c:idx val="5"/>
          <c:order val="5"/>
          <c:tx>
            <c:strRef>
              <c:f>Sheet2!$A$8</c:f>
              <c:strCache>
                <c:ptCount val="1"/>
                <c:pt idx="0">
                  <c:v>Kombinovaný ukazovateľ (vrátane dodatočných odvodov)</c:v>
                </c:pt>
              </c:strCache>
            </c:strRef>
          </c:tx>
          <c:spPr>
            <a:ln w="28575" cap="rnd">
              <a:solidFill>
                <a:schemeClr val="accent3"/>
              </a:solidFill>
              <a:round/>
            </a:ln>
            <a:effectLst/>
          </c:spPr>
          <c:marker>
            <c:symbol val="none"/>
          </c:marker>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Sheet2!$B$8:$P$8</c:f>
              <c:numCache>
                <c:formatCode>General</c:formatCode>
                <c:ptCount val="15"/>
                <c:pt idx="5">
                  <c:v>0.75226799676727651</c:v>
                </c:pt>
                <c:pt idx="6">
                  <c:v>0.83911033683551062</c:v>
                </c:pt>
                <c:pt idx="7">
                  <c:v>0.81775223149804976</c:v>
                </c:pt>
                <c:pt idx="8">
                  <c:v>0.8446513274555254</c:v>
                </c:pt>
                <c:pt idx="9">
                  <c:v>0.86911314918513949</c:v>
                </c:pt>
              </c:numCache>
            </c:numRef>
          </c:val>
          <c:smooth val="0"/>
          <c:extLst>
            <c:ext xmlns:c16="http://schemas.microsoft.com/office/drawing/2014/chart" uri="{C3380CC4-5D6E-409C-BE32-E72D297353CC}">
              <c16:uniqueId val="{00000007-841D-464D-925D-778E48AAF24A}"/>
            </c:ext>
          </c:extLst>
        </c:ser>
        <c:ser>
          <c:idx val="9"/>
          <c:order val="8"/>
          <c:tx>
            <c:strRef>
              <c:f>Sheet2!$A$11</c:f>
              <c:strCache>
                <c:ptCount val="1"/>
                <c:pt idx="0">
                  <c:v>Kombinovaný ukazovateľ (vrátane dodatočných odvodov)</c:v>
                </c:pt>
              </c:strCache>
            </c:strRef>
          </c:tx>
          <c:spPr>
            <a:ln w="28575" cap="rnd">
              <a:solidFill>
                <a:schemeClr val="accent3"/>
              </a:solidFill>
              <a:round/>
            </a:ln>
            <a:effectLst/>
          </c:spPr>
          <c:marker>
            <c:symbol val="none"/>
          </c:marker>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Sheet2!$B$11:$P$11</c:f>
              <c:numCache>
                <c:formatCode>General</c:formatCode>
                <c:ptCount val="15"/>
                <c:pt idx="10">
                  <c:v>0.84248847538099136</c:v>
                </c:pt>
                <c:pt idx="11">
                  <c:v>0.83002278847313149</c:v>
                </c:pt>
                <c:pt idx="12">
                  <c:v>0.7277830142092756</c:v>
                </c:pt>
                <c:pt idx="13">
                  <c:v>0.60840751211037947</c:v>
                </c:pt>
                <c:pt idx="14">
                  <c:v>0.64843751393859983</c:v>
                </c:pt>
              </c:numCache>
            </c:numRef>
          </c:val>
          <c:smooth val="0"/>
          <c:extLst>
            <c:ext xmlns:c16="http://schemas.microsoft.com/office/drawing/2014/chart" uri="{C3380CC4-5D6E-409C-BE32-E72D297353CC}">
              <c16:uniqueId val="{00000008-841D-464D-925D-778E48AAF24A}"/>
            </c:ext>
          </c:extLst>
        </c:ser>
        <c:ser>
          <c:idx val="6"/>
          <c:order val="9"/>
          <c:tx>
            <c:strRef>
              <c:f>Sheet2!$A$12</c:f>
              <c:strCache>
                <c:ptCount val="1"/>
                <c:pt idx="0">
                  <c:v>Čiara</c:v>
                </c:pt>
              </c:strCache>
            </c:strRef>
          </c:tx>
          <c:spPr>
            <a:ln w="12700" cap="rnd">
              <a:solidFill>
                <a:schemeClr val="tx1"/>
              </a:solidFill>
              <a:prstDash val="sysDot"/>
              <a:round/>
            </a:ln>
            <a:effectLst/>
          </c:spPr>
          <c:marker>
            <c:symbol val="none"/>
          </c:marker>
          <c:dPt>
            <c:idx val="5"/>
            <c:marker>
              <c:symbol val="none"/>
            </c:marker>
            <c:bubble3D val="0"/>
            <c:spPr>
              <a:ln w="12700" cap="rnd">
                <a:solidFill>
                  <a:schemeClr val="tx1"/>
                </a:solidFill>
                <a:prstDash val="sysDot"/>
                <a:round/>
              </a:ln>
              <a:effectLst/>
            </c:spPr>
            <c:extLst>
              <c:ext xmlns:c16="http://schemas.microsoft.com/office/drawing/2014/chart" uri="{C3380CC4-5D6E-409C-BE32-E72D297353CC}">
                <c16:uniqueId val="{0000000A-841D-464D-925D-778E48AAF24A}"/>
              </c:ext>
            </c:extLst>
          </c:dPt>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Sheet2!$B$12:$P$12</c:f>
              <c:numCache>
                <c:formatCode>General</c:formatCode>
                <c:ptCount val="15"/>
                <c:pt idx="4">
                  <c:v>-1000</c:v>
                </c:pt>
                <c:pt idx="5">
                  <c:v>1000</c:v>
                </c:pt>
                <c:pt idx="9">
                  <c:v>-1000</c:v>
                </c:pt>
                <c:pt idx="10">
                  <c:v>1000</c:v>
                </c:pt>
              </c:numCache>
            </c:numRef>
          </c:val>
          <c:smooth val="0"/>
          <c:extLst>
            <c:ext xmlns:c16="http://schemas.microsoft.com/office/drawing/2014/chart" uri="{C3380CC4-5D6E-409C-BE32-E72D297353CC}">
              <c16:uniqueId val="{0000000B-841D-464D-925D-778E48AAF24A}"/>
            </c:ext>
          </c:extLst>
        </c:ser>
        <c:ser>
          <c:idx val="10"/>
          <c:order val="10"/>
          <c:tx>
            <c:strRef>
              <c:f>Sheet2!$A$13</c:f>
              <c:strCache>
                <c:ptCount val="1"/>
                <c:pt idx="0">
                  <c:v>Čiara</c:v>
                </c:pt>
              </c:strCache>
            </c:strRef>
          </c:tx>
          <c:spPr>
            <a:ln w="12700" cap="rnd">
              <a:solidFill>
                <a:schemeClr val="accent5">
                  <a:lumMod val="60000"/>
                </a:schemeClr>
              </a:solidFill>
              <a:prstDash val="sysDash"/>
              <a:round/>
            </a:ln>
            <a:effectLst/>
          </c:spPr>
          <c:marker>
            <c:symbol val="none"/>
          </c:marker>
          <c:cat>
            <c:multiLvlStrRef>
              <c:f>Sheet2!$B$1:$P$2</c:f>
              <c:multiLvlStrCache>
                <c:ptCount val="15"/>
                <c:lvl>
                  <c:pt idx="0">
                    <c:v>2016</c:v>
                  </c:pt>
                  <c:pt idx="1">
                    <c:v>2017</c:v>
                  </c:pt>
                  <c:pt idx="2">
                    <c:v>2018</c:v>
                  </c:pt>
                  <c:pt idx="3">
                    <c:v>2019</c:v>
                  </c:pt>
                  <c:pt idx="4">
                    <c:v>2020 H1</c:v>
                  </c:pt>
                  <c:pt idx="5">
                    <c:v>2016</c:v>
                  </c:pt>
                  <c:pt idx="6">
                    <c:v>2017</c:v>
                  </c:pt>
                  <c:pt idx="7">
                    <c:v>2018</c:v>
                  </c:pt>
                  <c:pt idx="8">
                    <c:v>2019</c:v>
                  </c:pt>
                  <c:pt idx="9">
                    <c:v>2020 H1</c:v>
                  </c:pt>
                  <c:pt idx="10">
                    <c:v>2016</c:v>
                  </c:pt>
                  <c:pt idx="11">
                    <c:v>2017</c:v>
                  </c:pt>
                  <c:pt idx="12">
                    <c:v>2018</c:v>
                  </c:pt>
                  <c:pt idx="13">
                    <c:v>2019</c:v>
                  </c:pt>
                  <c:pt idx="14">
                    <c:v>2020 H1</c:v>
                  </c:pt>
                </c:lvl>
                <c:lvl>
                  <c:pt idx="0">
                    <c:v>Poistenie áut</c:v>
                  </c:pt>
                  <c:pt idx="5">
                    <c:v>Poistenie majetku</c:v>
                  </c:pt>
                  <c:pt idx="10">
                    <c:v>Poistenie zabezpečenia príjmu</c:v>
                  </c:pt>
                </c:lvl>
              </c:multiLvlStrCache>
            </c:multiLvlStrRef>
          </c:cat>
          <c:val>
            <c:numRef>
              <c:f>Sheet2!$B$13:$P$13</c:f>
              <c:numCache>
                <c:formatCode>0%</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smooth val="0"/>
          <c:extLst>
            <c:ext xmlns:c16="http://schemas.microsoft.com/office/drawing/2014/chart" uri="{C3380CC4-5D6E-409C-BE32-E72D297353CC}">
              <c16:uniqueId val="{0000000C-841D-464D-925D-778E48AAF24A}"/>
            </c:ext>
          </c:extLst>
        </c:ser>
        <c:dLbls>
          <c:showLegendKey val="0"/>
          <c:showVal val="0"/>
          <c:showCatName val="0"/>
          <c:showSerName val="0"/>
          <c:showPercent val="0"/>
          <c:showBubbleSize val="0"/>
        </c:dLbls>
        <c:marker val="1"/>
        <c:smooth val="0"/>
        <c:axId val="669564144"/>
        <c:axId val="669565128"/>
      </c:lineChart>
      <c:catAx>
        <c:axId val="669564144"/>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69565128"/>
        <c:crosses val="autoZero"/>
        <c:auto val="1"/>
        <c:lblAlgn val="ctr"/>
        <c:lblOffset val="100"/>
        <c:noMultiLvlLbl val="0"/>
      </c:catAx>
      <c:valAx>
        <c:axId val="669565128"/>
        <c:scaling>
          <c:orientation val="minMax"/>
          <c:max val="1.1900000000000002"/>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669564144"/>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6"/>
        <c:delete val="1"/>
      </c:legendEntry>
      <c:legendEntry>
        <c:idx val="7"/>
        <c:delete val="1"/>
      </c:legendEntry>
      <c:legendEntry>
        <c:idx val="9"/>
        <c:delete val="1"/>
      </c:legendEntry>
      <c:legendEntry>
        <c:idx val="10"/>
        <c:delete val="1"/>
      </c:legendEntry>
      <c:layout>
        <c:manualLayout>
          <c:xMode val="edge"/>
          <c:yMode val="edge"/>
          <c:x val="0"/>
          <c:y val="0.93614870460070709"/>
          <c:w val="1"/>
          <c:h val="5.98008084616532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484033245844272E-2"/>
          <c:y val="3.3490313684913502E-2"/>
          <c:w val="0.46411286445368005"/>
          <c:h val="0.89803369006118816"/>
        </c:manualLayout>
      </c:layout>
      <c:barChart>
        <c:barDir val="col"/>
        <c:grouping val="stacked"/>
        <c:varyColors val="0"/>
        <c:ser>
          <c:idx val="0"/>
          <c:order val="0"/>
          <c:tx>
            <c:strRef>
              <c:f>Sheet3!$A$2</c:f>
              <c:strCache>
                <c:ptCount val="1"/>
                <c:pt idx="0">
                  <c:v>Bez ratingu</c:v>
                </c:pt>
              </c:strCache>
            </c:strRef>
          </c:tx>
          <c:spPr>
            <a:solidFill>
              <a:schemeClr val="accent1"/>
            </a:solidFill>
            <a:ln>
              <a:noFill/>
            </a:ln>
            <a:effectLst/>
          </c:spPr>
          <c:invertIfNegative val="0"/>
          <c:cat>
            <c:strRef>
              <c:f>Sheet3!$B$1:$F$1</c:f>
              <c:strCache>
                <c:ptCount val="5"/>
                <c:pt idx="0">
                  <c:v>2016</c:v>
                </c:pt>
                <c:pt idx="1">
                  <c:v>2017</c:v>
                </c:pt>
                <c:pt idx="2">
                  <c:v>2018</c:v>
                </c:pt>
                <c:pt idx="3">
                  <c:v>2019</c:v>
                </c:pt>
                <c:pt idx="4">
                  <c:v>2020 H1</c:v>
                </c:pt>
              </c:strCache>
            </c:strRef>
          </c:cat>
          <c:val>
            <c:numRef>
              <c:f>Sheet3!$B$2:$F$2</c:f>
              <c:numCache>
                <c:formatCode>0%</c:formatCode>
                <c:ptCount val="5"/>
                <c:pt idx="0">
                  <c:v>4.4602172953655449E-2</c:v>
                </c:pt>
                <c:pt idx="1">
                  <c:v>5.1196385508170308E-2</c:v>
                </c:pt>
                <c:pt idx="2">
                  <c:v>4.9598157036017193E-2</c:v>
                </c:pt>
                <c:pt idx="3">
                  <c:v>3.3525812707258899E-2</c:v>
                </c:pt>
                <c:pt idx="4">
                  <c:v>5.4289054411236819E-2</c:v>
                </c:pt>
              </c:numCache>
            </c:numRef>
          </c:val>
          <c:extLst>
            <c:ext xmlns:c16="http://schemas.microsoft.com/office/drawing/2014/chart" uri="{C3380CC4-5D6E-409C-BE32-E72D297353CC}">
              <c16:uniqueId val="{00000000-AE63-4AA9-BE07-1BF882D5AACD}"/>
            </c:ext>
          </c:extLst>
        </c:ser>
        <c:ser>
          <c:idx val="1"/>
          <c:order val="1"/>
          <c:tx>
            <c:strRef>
              <c:f>Sheet3!$A$3</c:f>
              <c:strCache>
                <c:ptCount val="1"/>
                <c:pt idx="0">
                  <c:v>Ostatné kreditné stupne
(špekulatívne pásmo)</c:v>
                </c:pt>
              </c:strCache>
            </c:strRef>
          </c:tx>
          <c:spPr>
            <a:solidFill>
              <a:schemeClr val="accent3"/>
            </a:solidFill>
            <a:ln>
              <a:noFill/>
            </a:ln>
            <a:effectLst/>
          </c:spPr>
          <c:invertIfNegative val="0"/>
          <c:cat>
            <c:strRef>
              <c:f>Sheet3!$B$1:$F$1</c:f>
              <c:strCache>
                <c:ptCount val="5"/>
                <c:pt idx="0">
                  <c:v>2016</c:v>
                </c:pt>
                <c:pt idx="1">
                  <c:v>2017</c:v>
                </c:pt>
                <c:pt idx="2">
                  <c:v>2018</c:v>
                </c:pt>
                <c:pt idx="3">
                  <c:v>2019</c:v>
                </c:pt>
                <c:pt idx="4">
                  <c:v>2020 H1</c:v>
                </c:pt>
              </c:strCache>
            </c:strRef>
          </c:cat>
          <c:val>
            <c:numRef>
              <c:f>Sheet3!$B$3:$F$3</c:f>
              <c:numCache>
                <c:formatCode>0%</c:formatCode>
                <c:ptCount val="5"/>
                <c:pt idx="0">
                  <c:v>1.2177891148971645E-2</c:v>
                </c:pt>
                <c:pt idx="1">
                  <c:v>1.2115726100639514E-2</c:v>
                </c:pt>
                <c:pt idx="2">
                  <c:v>9.0363108738214151E-3</c:v>
                </c:pt>
                <c:pt idx="3">
                  <c:v>9.9351607031454625E-2</c:v>
                </c:pt>
                <c:pt idx="4">
                  <c:v>1.8116656922332722E-2</c:v>
                </c:pt>
              </c:numCache>
            </c:numRef>
          </c:val>
          <c:extLst>
            <c:ext xmlns:c16="http://schemas.microsoft.com/office/drawing/2014/chart" uri="{C3380CC4-5D6E-409C-BE32-E72D297353CC}">
              <c16:uniqueId val="{00000001-AE63-4AA9-BE07-1BF882D5AACD}"/>
            </c:ext>
          </c:extLst>
        </c:ser>
        <c:ser>
          <c:idx val="2"/>
          <c:order val="2"/>
          <c:tx>
            <c:strRef>
              <c:f>Sheet3!$A$4</c:f>
              <c:strCache>
                <c:ptCount val="1"/>
                <c:pt idx="0">
                  <c:v>Kreditný stupeň 3 (rating BBB)</c:v>
                </c:pt>
              </c:strCache>
            </c:strRef>
          </c:tx>
          <c:spPr>
            <a:solidFill>
              <a:srgbClr val="005A4E"/>
            </a:solidFill>
            <a:ln>
              <a:noFill/>
            </a:ln>
            <a:effectLst/>
          </c:spPr>
          <c:invertIfNegative val="0"/>
          <c:cat>
            <c:strRef>
              <c:f>Sheet3!$B$1:$F$1</c:f>
              <c:strCache>
                <c:ptCount val="5"/>
                <c:pt idx="0">
                  <c:v>2016</c:v>
                </c:pt>
                <c:pt idx="1">
                  <c:v>2017</c:v>
                </c:pt>
                <c:pt idx="2">
                  <c:v>2018</c:v>
                </c:pt>
                <c:pt idx="3">
                  <c:v>2019</c:v>
                </c:pt>
                <c:pt idx="4">
                  <c:v>2020 H1</c:v>
                </c:pt>
              </c:strCache>
            </c:strRef>
          </c:cat>
          <c:val>
            <c:numRef>
              <c:f>Sheet3!$B$4:$F$4</c:f>
              <c:numCache>
                <c:formatCode>0%</c:formatCode>
                <c:ptCount val="5"/>
                <c:pt idx="0">
                  <c:v>0.18616720274227316</c:v>
                </c:pt>
                <c:pt idx="1">
                  <c:v>0.18196754872269552</c:v>
                </c:pt>
                <c:pt idx="2">
                  <c:v>0.16179968808748424</c:v>
                </c:pt>
                <c:pt idx="3">
                  <c:v>0.1469154284070989</c:v>
                </c:pt>
                <c:pt idx="4">
                  <c:v>0.21681622972085471</c:v>
                </c:pt>
              </c:numCache>
            </c:numRef>
          </c:val>
          <c:extLst>
            <c:ext xmlns:c16="http://schemas.microsoft.com/office/drawing/2014/chart" uri="{C3380CC4-5D6E-409C-BE32-E72D297353CC}">
              <c16:uniqueId val="{00000002-AE63-4AA9-BE07-1BF882D5AACD}"/>
            </c:ext>
          </c:extLst>
        </c:ser>
        <c:ser>
          <c:idx val="3"/>
          <c:order val="3"/>
          <c:tx>
            <c:strRef>
              <c:f>Sheet3!$A$5</c:f>
              <c:strCache>
                <c:ptCount val="1"/>
                <c:pt idx="0">
                  <c:v>Kreditný stupeň 2 (rating A)</c:v>
                </c:pt>
              </c:strCache>
            </c:strRef>
          </c:tx>
          <c:spPr>
            <a:solidFill>
              <a:srgbClr val="A2A9AD"/>
            </a:solidFill>
            <a:ln>
              <a:noFill/>
            </a:ln>
            <a:effectLst/>
          </c:spPr>
          <c:invertIfNegative val="0"/>
          <c:cat>
            <c:strRef>
              <c:f>Sheet3!$B$1:$F$1</c:f>
              <c:strCache>
                <c:ptCount val="5"/>
                <c:pt idx="0">
                  <c:v>2016</c:v>
                </c:pt>
                <c:pt idx="1">
                  <c:v>2017</c:v>
                </c:pt>
                <c:pt idx="2">
                  <c:v>2018</c:v>
                </c:pt>
                <c:pt idx="3">
                  <c:v>2019</c:v>
                </c:pt>
                <c:pt idx="4">
                  <c:v>2020 H1</c:v>
                </c:pt>
              </c:strCache>
            </c:strRef>
          </c:cat>
          <c:val>
            <c:numRef>
              <c:f>Sheet3!$B$5:$F$5</c:f>
              <c:numCache>
                <c:formatCode>0%</c:formatCode>
                <c:ptCount val="5"/>
                <c:pt idx="0">
                  <c:v>0.5826807928930261</c:v>
                </c:pt>
                <c:pt idx="1">
                  <c:v>0.57843865727156396</c:v>
                </c:pt>
                <c:pt idx="2">
                  <c:v>0.57521691051759272</c:v>
                </c:pt>
                <c:pt idx="3">
                  <c:v>0.50631566530129124</c:v>
                </c:pt>
                <c:pt idx="4">
                  <c:v>0.4873696921902248</c:v>
                </c:pt>
              </c:numCache>
            </c:numRef>
          </c:val>
          <c:extLst>
            <c:ext xmlns:c16="http://schemas.microsoft.com/office/drawing/2014/chart" uri="{C3380CC4-5D6E-409C-BE32-E72D297353CC}">
              <c16:uniqueId val="{00000003-AE63-4AA9-BE07-1BF882D5AACD}"/>
            </c:ext>
          </c:extLst>
        </c:ser>
        <c:ser>
          <c:idx val="4"/>
          <c:order val="4"/>
          <c:tx>
            <c:strRef>
              <c:f>Sheet3!$A$6</c:f>
              <c:strCache>
                <c:ptCount val="1"/>
                <c:pt idx="0">
                  <c:v>Kreditný stupeň 1 (rating AA)</c:v>
                </c:pt>
              </c:strCache>
            </c:strRef>
          </c:tx>
          <c:spPr>
            <a:solidFill>
              <a:schemeClr val="accent6"/>
            </a:solidFill>
            <a:ln>
              <a:noFill/>
            </a:ln>
            <a:effectLst/>
          </c:spPr>
          <c:invertIfNegative val="0"/>
          <c:cat>
            <c:strRef>
              <c:f>Sheet3!$B$1:$F$1</c:f>
              <c:strCache>
                <c:ptCount val="5"/>
                <c:pt idx="0">
                  <c:v>2016</c:v>
                </c:pt>
                <c:pt idx="1">
                  <c:v>2017</c:v>
                </c:pt>
                <c:pt idx="2">
                  <c:v>2018</c:v>
                </c:pt>
                <c:pt idx="3">
                  <c:v>2019</c:v>
                </c:pt>
                <c:pt idx="4">
                  <c:v>2020 H1</c:v>
                </c:pt>
              </c:strCache>
            </c:strRef>
          </c:cat>
          <c:val>
            <c:numRef>
              <c:f>Sheet3!$B$6:$F$6</c:f>
              <c:numCache>
                <c:formatCode>0%</c:formatCode>
                <c:ptCount val="5"/>
                <c:pt idx="0">
                  <c:v>0.12660398764024344</c:v>
                </c:pt>
                <c:pt idx="1">
                  <c:v>0.12774755884369904</c:v>
                </c:pt>
                <c:pt idx="2">
                  <c:v>0.14066712651821561</c:v>
                </c:pt>
                <c:pt idx="3">
                  <c:v>0.14965852565009</c:v>
                </c:pt>
                <c:pt idx="4">
                  <c:v>0.16259138609576909</c:v>
                </c:pt>
              </c:numCache>
            </c:numRef>
          </c:val>
          <c:extLst>
            <c:ext xmlns:c16="http://schemas.microsoft.com/office/drawing/2014/chart" uri="{C3380CC4-5D6E-409C-BE32-E72D297353CC}">
              <c16:uniqueId val="{00000004-AE63-4AA9-BE07-1BF882D5AACD}"/>
            </c:ext>
          </c:extLst>
        </c:ser>
        <c:ser>
          <c:idx val="5"/>
          <c:order val="5"/>
          <c:tx>
            <c:strRef>
              <c:f>Sheet3!$A$7</c:f>
              <c:strCache>
                <c:ptCount val="1"/>
                <c:pt idx="0">
                  <c:v>Kreditný stupeň 0 (rating AAA)</c:v>
                </c:pt>
              </c:strCache>
            </c:strRef>
          </c:tx>
          <c:spPr>
            <a:solidFill>
              <a:srgbClr val="A6835A"/>
            </a:solidFill>
            <a:ln>
              <a:noFill/>
            </a:ln>
            <a:effectLst/>
          </c:spPr>
          <c:invertIfNegative val="0"/>
          <c:cat>
            <c:strRef>
              <c:f>Sheet3!$B$1:$F$1</c:f>
              <c:strCache>
                <c:ptCount val="5"/>
                <c:pt idx="0">
                  <c:v>2016</c:v>
                </c:pt>
                <c:pt idx="1">
                  <c:v>2017</c:v>
                </c:pt>
                <c:pt idx="2">
                  <c:v>2018</c:v>
                </c:pt>
                <c:pt idx="3">
                  <c:v>2019</c:v>
                </c:pt>
                <c:pt idx="4">
                  <c:v>2020 H1</c:v>
                </c:pt>
              </c:strCache>
            </c:strRef>
          </c:cat>
          <c:val>
            <c:numRef>
              <c:f>Sheet3!$B$7:$F$7</c:f>
              <c:numCache>
                <c:formatCode>0%</c:formatCode>
                <c:ptCount val="5"/>
                <c:pt idx="0">
                  <c:v>4.776795262183027E-2</c:v>
                </c:pt>
                <c:pt idx="1">
                  <c:v>4.853412355323166E-2</c:v>
                </c:pt>
                <c:pt idx="2">
                  <c:v>6.3681806966868884E-2</c:v>
                </c:pt>
                <c:pt idx="3">
                  <c:v>6.4232960902806419E-2</c:v>
                </c:pt>
                <c:pt idx="4">
                  <c:v>6.081698065958193E-2</c:v>
                </c:pt>
              </c:numCache>
            </c:numRef>
          </c:val>
          <c:extLst>
            <c:ext xmlns:c16="http://schemas.microsoft.com/office/drawing/2014/chart" uri="{C3380CC4-5D6E-409C-BE32-E72D297353CC}">
              <c16:uniqueId val="{00000005-AE63-4AA9-BE07-1BF882D5AACD}"/>
            </c:ext>
          </c:extLst>
        </c:ser>
        <c:dLbls>
          <c:showLegendKey val="0"/>
          <c:showVal val="0"/>
          <c:showCatName val="0"/>
          <c:showSerName val="0"/>
          <c:showPercent val="0"/>
          <c:showBubbleSize val="0"/>
        </c:dLbls>
        <c:gapWidth val="100"/>
        <c:overlap val="100"/>
        <c:axId val="596498808"/>
        <c:axId val="596499136"/>
      </c:barChart>
      <c:catAx>
        <c:axId val="596498808"/>
        <c:scaling>
          <c:orientation val="minMax"/>
        </c:scaling>
        <c:delete val="0"/>
        <c:axPos val="b"/>
        <c:numFmt formatCode="General" sourceLinked="1"/>
        <c:majorTickMark val="out"/>
        <c:minorTickMark val="none"/>
        <c:tickLblPos val="low"/>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6499136"/>
        <c:crosses val="autoZero"/>
        <c:auto val="1"/>
        <c:lblAlgn val="ctr"/>
        <c:lblOffset val="100"/>
        <c:noMultiLvlLbl val="0"/>
      </c:catAx>
      <c:valAx>
        <c:axId val="596499136"/>
        <c:scaling>
          <c:orientation val="minMax"/>
          <c:max val="1"/>
        </c:scaling>
        <c:delete val="0"/>
        <c:axPos val="l"/>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6498808"/>
        <c:crosses val="autoZero"/>
        <c:crossBetween val="between"/>
        <c:majorUnit val="0.2"/>
      </c:valAx>
      <c:spPr>
        <a:noFill/>
        <a:ln>
          <a:noFill/>
        </a:ln>
        <a:effectLst/>
      </c:spPr>
    </c:plotArea>
    <c:legend>
      <c:legendPos val="b"/>
      <c:layout>
        <c:manualLayout>
          <c:xMode val="edge"/>
          <c:yMode val="edge"/>
          <c:x val="0.57134648874453786"/>
          <c:y val="0"/>
          <c:w val="0.4094778790371692"/>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sk-SK"/>
        </a:p>
      </c:txPr>
    </c:legend>
    <c:plotVisOnly val="1"/>
    <c:dispBlanksAs val="gap"/>
    <c:showDLblsOverMax val="0"/>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sk-SK"/>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08730000359835E-2"/>
          <c:y val="5.0925925925925923E-2"/>
          <c:w val="0.91232911777502268"/>
          <c:h val="0.87050233304170332"/>
        </c:manualLayout>
      </c:layout>
      <c:barChart>
        <c:barDir val="col"/>
        <c:grouping val="clustered"/>
        <c:varyColors val="0"/>
        <c:ser>
          <c:idx val="0"/>
          <c:order val="0"/>
          <c:spPr>
            <a:solidFill>
              <a:srgbClr val="0067AC"/>
            </a:solidFill>
            <a:ln>
              <a:noFill/>
            </a:ln>
            <a:effectLst/>
          </c:spPr>
          <c:invertIfNegative val="0"/>
          <c:cat>
            <c:numRef>
              <c:f>'1'!$A$27:$A$32</c:f>
              <c:numCache>
                <c:formatCode>m/d/yyyy</c:formatCode>
                <c:ptCount val="6"/>
                <c:pt idx="0">
                  <c:v>43861</c:v>
                </c:pt>
                <c:pt idx="1">
                  <c:v>43890</c:v>
                </c:pt>
                <c:pt idx="2">
                  <c:v>43921</c:v>
                </c:pt>
                <c:pt idx="3">
                  <c:v>43951</c:v>
                </c:pt>
                <c:pt idx="4">
                  <c:v>43982</c:v>
                </c:pt>
                <c:pt idx="5">
                  <c:v>44012</c:v>
                </c:pt>
              </c:numCache>
            </c:numRef>
          </c:cat>
          <c:val>
            <c:numRef>
              <c:f>'1'!$B$27:$B$32</c:f>
              <c:numCache>
                <c:formatCode>#,##0</c:formatCode>
                <c:ptCount val="6"/>
                <c:pt idx="0">
                  <c:v>35051796.32</c:v>
                </c:pt>
                <c:pt idx="1">
                  <c:v>50146512.250000022</c:v>
                </c:pt>
                <c:pt idx="2">
                  <c:v>-120815231.2</c:v>
                </c:pt>
                <c:pt idx="3">
                  <c:v>46530859.819999993</c:v>
                </c:pt>
                <c:pt idx="4">
                  <c:v>39898695.279999986</c:v>
                </c:pt>
                <c:pt idx="5">
                  <c:v>30573845.210000031</c:v>
                </c:pt>
              </c:numCache>
            </c:numRef>
          </c:val>
          <c:extLst>
            <c:ext xmlns:c16="http://schemas.microsoft.com/office/drawing/2014/chart" uri="{C3380CC4-5D6E-409C-BE32-E72D297353CC}">
              <c16:uniqueId val="{00000000-22C7-4DCC-83A5-825A84008281}"/>
            </c:ext>
          </c:extLst>
        </c:ser>
        <c:dLbls>
          <c:showLegendKey val="0"/>
          <c:showVal val="0"/>
          <c:showCatName val="0"/>
          <c:showSerName val="0"/>
          <c:showPercent val="0"/>
          <c:showBubbleSize val="0"/>
        </c:dLbls>
        <c:gapWidth val="219"/>
        <c:overlap val="-27"/>
        <c:axId val="598579960"/>
        <c:axId val="598577664"/>
      </c:barChart>
      <c:dateAx>
        <c:axId val="598579960"/>
        <c:scaling>
          <c:orientation val="minMax"/>
        </c:scaling>
        <c:delete val="0"/>
        <c:axPos val="b"/>
        <c:numFmt formatCode="m/d/yyyy" sourceLinked="1"/>
        <c:majorTickMark val="out"/>
        <c:minorTickMark val="none"/>
        <c:tickLblPos val="low"/>
        <c:spPr>
          <a:noFill/>
          <a:ln w="9525" cap="flat" cmpd="sng" algn="ctr">
            <a:solidFill>
              <a:sysClr val="windowText" lastClr="000000">
                <a:lumMod val="65000"/>
                <a:lumOff val="35000"/>
              </a:sys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8577664"/>
        <c:crosses val="autoZero"/>
        <c:auto val="1"/>
        <c:lblOffset val="100"/>
        <c:baseTimeUnit val="months"/>
      </c:dateAx>
      <c:valAx>
        <c:axId val="598577664"/>
        <c:scaling>
          <c:orientation val="minMax"/>
        </c:scaling>
        <c:delete val="0"/>
        <c:axPos val="l"/>
        <c:numFmt formatCode="#,##0" sourceLinked="0"/>
        <c:majorTickMark val="out"/>
        <c:minorTickMark val="none"/>
        <c:tickLblPos val="nextTo"/>
        <c:spPr>
          <a:noFill/>
          <a:ln>
            <a:solidFill>
              <a:sysClr val="windowText" lastClr="000000">
                <a:lumMod val="65000"/>
                <a:lumOff val="35000"/>
              </a:sysClr>
            </a:solidFill>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8579960"/>
        <c:crosses val="autoZero"/>
        <c:crossBetween val="between"/>
        <c:dispUnits>
          <c:builtInUnit val="millions"/>
        </c:dispUnits>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sk-SK"/>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08730000359835E-2"/>
          <c:y val="5.0925925925925923E-2"/>
          <c:w val="0.91232911777502268"/>
          <c:h val="0.86970387672832761"/>
        </c:manualLayout>
      </c:layout>
      <c:barChart>
        <c:barDir val="col"/>
        <c:grouping val="clustered"/>
        <c:varyColors val="0"/>
        <c:ser>
          <c:idx val="0"/>
          <c:order val="0"/>
          <c:tx>
            <c:strRef>
              <c:f>'2'!$D$3</c:f>
              <c:strCache>
                <c:ptCount val="1"/>
                <c:pt idx="0">
                  <c:v>Čisté predaje</c:v>
                </c:pt>
              </c:strCache>
            </c:strRef>
          </c:tx>
          <c:spPr>
            <a:solidFill>
              <a:schemeClr val="accent1"/>
            </a:solidFill>
            <a:ln>
              <a:noFill/>
            </a:ln>
            <a:effectLst/>
          </c:spPr>
          <c:invertIfNegative val="0"/>
          <c:cat>
            <c:strRef>
              <c:f>'2'!$C$5:$C$9</c:f>
              <c:strCache>
                <c:ptCount val="5"/>
                <c:pt idx="0">
                  <c:v>Dlhopisové</c:v>
                </c:pt>
                <c:pt idx="1">
                  <c:v>Akciové</c:v>
                </c:pt>
                <c:pt idx="2">
                  <c:v>Zmiešané</c:v>
                </c:pt>
                <c:pt idx="3">
                  <c:v>Realitné</c:v>
                </c:pt>
                <c:pt idx="4">
                  <c:v>Fondy altern. invest.</c:v>
                </c:pt>
              </c:strCache>
            </c:strRef>
          </c:cat>
          <c:val>
            <c:numRef>
              <c:f>'2'!$D$5:$D$8</c:f>
              <c:numCache>
                <c:formatCode>#,##0</c:formatCode>
                <c:ptCount val="4"/>
                <c:pt idx="0">
                  <c:v>-75213719.179999992</c:v>
                </c:pt>
                <c:pt idx="1">
                  <c:v>102373065.22</c:v>
                </c:pt>
                <c:pt idx="2">
                  <c:v>15262124.769999981</c:v>
                </c:pt>
                <c:pt idx="3">
                  <c:v>38823260.13000001</c:v>
                </c:pt>
              </c:numCache>
            </c:numRef>
          </c:val>
          <c:extLst>
            <c:ext xmlns:c16="http://schemas.microsoft.com/office/drawing/2014/chart" uri="{C3380CC4-5D6E-409C-BE32-E72D297353CC}">
              <c16:uniqueId val="{00000000-6C8D-47F9-9517-359C34473723}"/>
            </c:ext>
          </c:extLst>
        </c:ser>
        <c:ser>
          <c:idx val="1"/>
          <c:order val="1"/>
          <c:tx>
            <c:strRef>
              <c:f>'2'!$E$3</c:f>
              <c:strCache>
                <c:ptCount val="1"/>
                <c:pt idx="0">
                  <c:v>Zmena NAV</c:v>
                </c:pt>
              </c:strCache>
            </c:strRef>
          </c:tx>
          <c:spPr>
            <a:solidFill>
              <a:schemeClr val="accent2"/>
            </a:solidFill>
            <a:ln>
              <a:noFill/>
            </a:ln>
            <a:effectLst/>
          </c:spPr>
          <c:invertIfNegative val="0"/>
          <c:cat>
            <c:strRef>
              <c:f>'2'!$C$5:$C$9</c:f>
              <c:strCache>
                <c:ptCount val="5"/>
                <c:pt idx="0">
                  <c:v>Dlhopisové</c:v>
                </c:pt>
                <c:pt idx="1">
                  <c:v>Akciové</c:v>
                </c:pt>
                <c:pt idx="2">
                  <c:v>Zmiešané</c:v>
                </c:pt>
                <c:pt idx="3">
                  <c:v>Realitné</c:v>
                </c:pt>
                <c:pt idx="4">
                  <c:v>Fondy altern. invest.</c:v>
                </c:pt>
              </c:strCache>
            </c:strRef>
          </c:cat>
          <c:val>
            <c:numRef>
              <c:f>'2'!$E$5:$E$8</c:f>
              <c:numCache>
                <c:formatCode>#,##0</c:formatCode>
                <c:ptCount val="4"/>
                <c:pt idx="0">
                  <c:v>-99952210.497497797</c:v>
                </c:pt>
                <c:pt idx="1">
                  <c:v>69901426.294300675</c:v>
                </c:pt>
                <c:pt idx="2">
                  <c:v>-137060188.31859779</c:v>
                </c:pt>
                <c:pt idx="3">
                  <c:v>51594859.218599796</c:v>
                </c:pt>
              </c:numCache>
            </c:numRef>
          </c:val>
          <c:extLst>
            <c:ext xmlns:c16="http://schemas.microsoft.com/office/drawing/2014/chart" uri="{C3380CC4-5D6E-409C-BE32-E72D297353CC}">
              <c16:uniqueId val="{00000001-6C8D-47F9-9517-359C34473723}"/>
            </c:ext>
          </c:extLst>
        </c:ser>
        <c:dLbls>
          <c:showLegendKey val="0"/>
          <c:showVal val="0"/>
          <c:showCatName val="0"/>
          <c:showSerName val="0"/>
          <c:showPercent val="0"/>
          <c:showBubbleSize val="0"/>
        </c:dLbls>
        <c:gapWidth val="219"/>
        <c:overlap val="-27"/>
        <c:axId val="598579960"/>
        <c:axId val="598577664"/>
      </c:barChart>
      <c:catAx>
        <c:axId val="598579960"/>
        <c:scaling>
          <c:orientation val="minMax"/>
        </c:scaling>
        <c:delete val="0"/>
        <c:axPos val="b"/>
        <c:numFmt formatCode="General" sourceLinked="1"/>
        <c:majorTickMark val="out"/>
        <c:minorTickMark val="none"/>
        <c:tickLblPos val="low"/>
        <c:spPr>
          <a:noFill/>
          <a:ln w="9525" cap="flat" cmpd="sng" algn="ctr">
            <a:solidFill>
              <a:sysClr val="windowText" lastClr="000000">
                <a:lumMod val="65000"/>
                <a:lumOff val="35000"/>
              </a:sys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8577664"/>
        <c:crosses val="autoZero"/>
        <c:auto val="1"/>
        <c:lblAlgn val="ctr"/>
        <c:lblOffset val="100"/>
        <c:noMultiLvlLbl val="0"/>
      </c:catAx>
      <c:valAx>
        <c:axId val="598577664"/>
        <c:scaling>
          <c:orientation val="minMax"/>
        </c:scaling>
        <c:delete val="0"/>
        <c:axPos val="l"/>
        <c:numFmt formatCode="#,##0" sourceLinked="0"/>
        <c:majorTickMark val="out"/>
        <c:minorTickMark val="none"/>
        <c:tickLblPos val="nextTo"/>
        <c:spPr>
          <a:noFill/>
          <a:ln>
            <a:solidFill>
              <a:sysClr val="windowText" lastClr="000000">
                <a:lumMod val="65000"/>
                <a:lumOff val="35000"/>
              </a:sysClr>
            </a:solidFill>
          </a:ln>
          <a:effectLst/>
        </c:spPr>
        <c:txPr>
          <a:bodyPr rot="-6000000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sk-SK"/>
          </a:p>
        </c:txPr>
        <c:crossAx val="598579960"/>
        <c:crosses val="autoZero"/>
        <c:crossBetween val="between"/>
        <c:dispUnits>
          <c:builtInUnit val="millions"/>
          <c:dispUnitsLbl/>
        </c:dispUnits>
      </c:valAx>
      <c:spPr>
        <a:noFill/>
        <a:ln>
          <a:noFill/>
        </a:ln>
        <a:effectLst/>
      </c:spPr>
    </c:plotArea>
    <c:legend>
      <c:legendPos val="b"/>
      <c:layout>
        <c:manualLayout>
          <c:xMode val="edge"/>
          <c:yMode val="edge"/>
          <c:x val="3.2681767350676724E-2"/>
          <c:y val="0.82280224541310332"/>
          <c:w val="0.52666235613008927"/>
          <c:h val="9.58580869575360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sk-SK"/>
        </a:p>
      </c:txPr>
    </c:legend>
    <c:plotVisOnly val="1"/>
    <c:dispBlanksAs val="gap"/>
    <c:showDLblsOverMax val="0"/>
    <c:extLst/>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sk-SK" sz="1000" b="1">
                <a:solidFill>
                  <a:sysClr val="windowText" lastClr="000000"/>
                </a:solidFill>
              </a:rPr>
              <a:t>Júlový prieskum</a:t>
            </a:r>
          </a:p>
        </c:rich>
      </c:tx>
      <c:overlay val="1"/>
      <c:spPr>
        <a:noFill/>
        <a:ln>
          <a:noFill/>
        </a:ln>
        <a:effectLst/>
      </c:spPr>
    </c:title>
    <c:autoTitleDeleted val="0"/>
    <c:plotArea>
      <c:layout>
        <c:manualLayout>
          <c:layoutTarget val="inner"/>
          <c:xMode val="edge"/>
          <c:yMode val="edge"/>
          <c:x val="0.21877812001494795"/>
          <c:y val="0.1275525260834933"/>
          <c:w val="0.58018638847229598"/>
          <c:h val="0.76700704700469646"/>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D3-4ACD-B8C4-41358A62162B}"/>
              </c:ext>
            </c:extLst>
          </c:dPt>
          <c:dPt>
            <c:idx val="1"/>
            <c:bubble3D val="0"/>
            <c:spPr>
              <a:pattFill prst="wdUpDiag">
                <a:fgClr>
                  <a:srgbClr val="0067AC"/>
                </a:fgClr>
                <a:bgClr>
                  <a:schemeClr val="accent3"/>
                </a:bgClr>
              </a:pattFill>
              <a:ln w="19050">
                <a:solidFill>
                  <a:schemeClr val="lt1"/>
                </a:solidFill>
              </a:ln>
              <a:effectLst/>
            </c:spPr>
            <c:extLst>
              <c:ext xmlns:c16="http://schemas.microsoft.com/office/drawing/2014/chart" uri="{C3380CC4-5D6E-409C-BE32-E72D297353CC}">
                <c16:uniqueId val="{00000003-A5D3-4ACD-B8C4-41358A62162B}"/>
              </c:ext>
            </c:extLst>
          </c:dPt>
          <c:dPt>
            <c:idx val="2"/>
            <c:bubble3D val="0"/>
            <c:spPr>
              <a:solidFill>
                <a:schemeClr val="accent3"/>
              </a:solidFill>
              <a:ln w="19050">
                <a:noFill/>
              </a:ln>
              <a:effectLst/>
            </c:spPr>
            <c:extLst>
              <c:ext xmlns:c16="http://schemas.microsoft.com/office/drawing/2014/chart" uri="{C3380CC4-5D6E-409C-BE32-E72D297353CC}">
                <c16:uniqueId val="{00000005-A5D3-4ACD-B8C4-41358A62162B}"/>
              </c:ext>
            </c:extLst>
          </c:dPt>
          <c:dPt>
            <c:idx val="3"/>
            <c:bubble3D val="0"/>
            <c:spPr>
              <a:pattFill prst="wdUpDiag">
                <a:fgClr>
                  <a:schemeClr val="accent2"/>
                </a:fgClr>
                <a:bgClr>
                  <a:schemeClr val="bg1"/>
                </a:bgClr>
              </a:pattFill>
              <a:ln w="19050">
                <a:solidFill>
                  <a:schemeClr val="lt1"/>
                </a:solidFill>
              </a:ln>
              <a:effectLst/>
            </c:spPr>
            <c:extLst>
              <c:ext xmlns:c16="http://schemas.microsoft.com/office/drawing/2014/chart" uri="{C3380CC4-5D6E-409C-BE32-E72D297353CC}">
                <c16:uniqueId val="{00000007-A5D3-4ACD-B8C4-41358A62162B}"/>
              </c:ext>
            </c:extLst>
          </c:dPt>
          <c:dLbls>
            <c:dLbl>
              <c:idx val="0"/>
              <c:layout>
                <c:manualLayout>
                  <c:x val="3.00748031496063E-2"/>
                  <c:y val="9.671259842519684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D3-4ACD-B8C4-41358A62162B}"/>
                </c:ext>
              </c:extLst>
            </c:dLbl>
            <c:dLbl>
              <c:idx val="2"/>
              <c:layout>
                <c:manualLayout>
                  <c:x val="-0.14793107478751022"/>
                  <c:y val="-2.344294843672983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D3-4ACD-B8C4-41358A62162B}"/>
                </c:ext>
              </c:extLst>
            </c:dLbl>
            <c:dLbl>
              <c:idx val="3"/>
              <c:layout>
                <c:manualLayout>
                  <c:x val="-8.7020997375328087E-3"/>
                  <c:y val="-1.326917468649752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D3-4ACD-B8C4-41358A62162B}"/>
                </c:ext>
              </c:extLst>
            </c:dLbl>
            <c:spPr>
              <a:noFill/>
              <a:ln>
                <a:noFill/>
              </a:ln>
              <a:effectLst/>
            </c:spPr>
            <c:txPr>
              <a:bodyPr rot="0" spcFirstLastPara="1" vertOverflow="ellipsis" vert="horz" wrap="square" lIns="0" tIns="0" rIns="0" bIns="0" anchor="ctr" anchorCtr="1"/>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sk-SK"/>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Sheet1!$A$3:$A$6</c:f>
              <c:strCache>
                <c:ptCount val="4"/>
                <c:pt idx="0">
                  <c:v>Domácnosti výraznejšie vystavené kríze</c:v>
                </c:pt>
                <c:pt idx="1">
                  <c:v>Domácnosti výraznejšie vystavené kríze aj s vysokou úverovou zaťaženosťou</c:v>
                </c:pt>
                <c:pt idx="2">
                  <c:v>Domácnosti s vysokou úverovou zaťaženosťou </c:v>
                </c:pt>
                <c:pt idx="3">
                  <c:v>Iné domácnosti</c:v>
                </c:pt>
              </c:strCache>
            </c:strRef>
          </c:cat>
          <c:val>
            <c:numRef>
              <c:f>Sheet1!$B$3:$B$6</c:f>
              <c:numCache>
                <c:formatCode>0%</c:formatCode>
                <c:ptCount val="4"/>
                <c:pt idx="0">
                  <c:v>0.29329000000000005</c:v>
                </c:pt>
                <c:pt idx="1">
                  <c:v>0.15090919999999999</c:v>
                </c:pt>
                <c:pt idx="2">
                  <c:v>0.20314289999999999</c:v>
                </c:pt>
                <c:pt idx="3">
                  <c:v>0.35265789999999997</c:v>
                </c:pt>
              </c:numCache>
            </c:numRef>
          </c:val>
          <c:extLst>
            <c:ext xmlns:c16="http://schemas.microsoft.com/office/drawing/2014/chart" uri="{C3380CC4-5D6E-409C-BE32-E72D297353CC}">
              <c16:uniqueId val="{00000008-A5D3-4ACD-B8C4-41358A62162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Verdana" panose="020B0604030504040204" pitchFamily="34" charset="0"/>
          <a:ea typeface="Verdana" panose="020B0604030504040204" pitchFamily="34"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sk-SK" sz="1000" b="1">
                <a:solidFill>
                  <a:sysClr val="windowText" lastClr="000000"/>
                </a:solidFill>
                <a:latin typeface="Verdana" panose="020B0604030504040204" pitchFamily="34" charset="0"/>
                <a:ea typeface="Verdana" panose="020B0604030504040204" pitchFamily="34" charset="0"/>
              </a:rPr>
              <a:t>Augustový prieskum</a:t>
            </a:r>
          </a:p>
        </c:rich>
      </c:tx>
      <c:overlay val="1"/>
      <c:spPr>
        <a:noFill/>
        <a:ln>
          <a:noFill/>
        </a:ln>
        <a:effectLst/>
      </c:spPr>
    </c:title>
    <c:autoTitleDeleted val="0"/>
    <c:plotArea>
      <c:layout/>
      <c:pieChart>
        <c:varyColors val="1"/>
        <c:ser>
          <c:idx val="0"/>
          <c:order val="0"/>
          <c:explosion val="2"/>
          <c:dPt>
            <c:idx val="0"/>
            <c:bubble3D val="0"/>
            <c:spPr>
              <a:solidFill>
                <a:srgbClr val="0067AC"/>
              </a:solidFill>
              <a:ln w="19050">
                <a:solidFill>
                  <a:schemeClr val="lt1"/>
                </a:solidFill>
              </a:ln>
              <a:effectLst/>
            </c:spPr>
            <c:extLst>
              <c:ext xmlns:c16="http://schemas.microsoft.com/office/drawing/2014/chart" uri="{C3380CC4-5D6E-409C-BE32-E72D297353CC}">
                <c16:uniqueId val="{00000001-3DF5-4A68-9070-02FE48B429B1}"/>
              </c:ext>
            </c:extLst>
          </c:dPt>
          <c:dPt>
            <c:idx val="1"/>
            <c:bubble3D val="0"/>
            <c:spPr>
              <a:pattFill prst="wdUpDiag">
                <a:fgClr>
                  <a:srgbClr val="0067AC"/>
                </a:fgClr>
                <a:bgClr>
                  <a:schemeClr val="accent3"/>
                </a:bgClr>
              </a:pattFill>
              <a:ln w="19050">
                <a:solidFill>
                  <a:schemeClr val="lt1"/>
                </a:solidFill>
              </a:ln>
              <a:effectLst/>
            </c:spPr>
            <c:extLst>
              <c:ext xmlns:c16="http://schemas.microsoft.com/office/drawing/2014/chart" uri="{C3380CC4-5D6E-409C-BE32-E72D297353CC}">
                <c16:uniqueId val="{00000003-3DF5-4A68-9070-02FE48B429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F5-4A68-9070-02FE48B429B1}"/>
              </c:ext>
            </c:extLst>
          </c:dPt>
          <c:dPt>
            <c:idx val="3"/>
            <c:bubble3D val="0"/>
            <c:spPr>
              <a:pattFill prst="wdUpDiag">
                <a:fgClr>
                  <a:schemeClr val="accent2"/>
                </a:fgClr>
                <a:bgClr>
                  <a:schemeClr val="bg1"/>
                </a:bgClr>
              </a:pattFill>
              <a:ln w="19050">
                <a:solidFill>
                  <a:schemeClr val="lt1"/>
                </a:solidFill>
              </a:ln>
              <a:effectLst/>
            </c:spPr>
            <c:extLst>
              <c:ext xmlns:c16="http://schemas.microsoft.com/office/drawing/2014/chart" uri="{C3380CC4-5D6E-409C-BE32-E72D297353CC}">
                <c16:uniqueId val="{00000007-3DF5-4A68-9070-02FE48B429B1}"/>
              </c:ext>
            </c:extLst>
          </c:dPt>
          <c:dLbls>
            <c:dLbl>
              <c:idx val="0"/>
              <c:layout>
                <c:manualLayout>
                  <c:x val="5.5618547681539704E-2"/>
                  <c:y val="0.151716500553709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F5-4A68-9070-02FE48B429B1}"/>
                </c:ext>
              </c:extLst>
            </c:dLbl>
            <c:dLbl>
              <c:idx val="1"/>
              <c:layout>
                <c:manualLayout>
                  <c:x val="2.6685039370078739E-2"/>
                  <c:y val="-2.79798746086971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F5-4A68-9070-02FE48B429B1}"/>
                </c:ext>
              </c:extLst>
            </c:dLbl>
            <c:dLbl>
              <c:idx val="2"/>
              <c:layout>
                <c:manualLayout>
                  <c:x val="-0.31571399973308423"/>
                  <c:y val="-5.9247332739457742E-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F5-4A68-9070-02FE48B429B1}"/>
                </c:ext>
              </c:extLst>
            </c:dLbl>
            <c:dLbl>
              <c:idx val="3"/>
              <c:layout>
                <c:manualLayout>
                  <c:x val="1.6285214348206473E-2"/>
                  <c:y val="-7.29439052676554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DF5-4A68-9070-02FE48B429B1}"/>
                </c:ext>
              </c:extLst>
            </c:dLbl>
            <c:spPr>
              <a:noFill/>
              <a:ln>
                <a:noFill/>
              </a:ln>
              <a:effectLst/>
            </c:spPr>
            <c:txPr>
              <a:bodyPr rot="0" spcFirstLastPara="1" vertOverflow="ellipsis" vert="horz" wrap="square" lIns="0" tIns="0" rIns="0" bIns="0" anchor="ctr" anchorCtr="1">
                <a:spAutoFit/>
              </a:bodyPr>
              <a:lstStyle/>
              <a:p>
                <a:pPr>
                  <a:defRPr sz="7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mn-cs"/>
                  </a:defRPr>
                </a:pPr>
                <a:endParaRPr lang="sk-SK"/>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Sheet1!$A$3:$A$6</c:f>
              <c:strCache>
                <c:ptCount val="4"/>
                <c:pt idx="0">
                  <c:v>Domácnosti výraznejšie vystavené kríze</c:v>
                </c:pt>
                <c:pt idx="1">
                  <c:v>Domácnosti výraznejšie vystavené kríze aj s vysokou úverovou zaťaženosťou</c:v>
                </c:pt>
                <c:pt idx="2">
                  <c:v>Domácnosti s vysokou úverovou zaťaženosťou </c:v>
                </c:pt>
                <c:pt idx="3">
                  <c:v>Iné domácnosti</c:v>
                </c:pt>
              </c:strCache>
            </c:strRef>
          </c:cat>
          <c:val>
            <c:numRef>
              <c:f>Sheet1!$C$3:$C$6</c:f>
              <c:numCache>
                <c:formatCode>0%</c:formatCode>
                <c:ptCount val="4"/>
                <c:pt idx="0">
                  <c:v>0.2408526</c:v>
                </c:pt>
                <c:pt idx="1">
                  <c:v>0.1451373</c:v>
                </c:pt>
                <c:pt idx="2">
                  <c:v>0.22411420000000001</c:v>
                </c:pt>
                <c:pt idx="3">
                  <c:v>0.38989590000000002</c:v>
                </c:pt>
              </c:numCache>
            </c:numRef>
          </c:val>
          <c:extLst>
            <c:ext xmlns:c16="http://schemas.microsoft.com/office/drawing/2014/chart" uri="{C3380CC4-5D6E-409C-BE32-E72D297353CC}">
              <c16:uniqueId val="{00000008-3DF5-4A68-9070-02FE48B429B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spPr>
            <a:solidFill>
              <a:schemeClr val="accent6"/>
            </a:solidFill>
            <a:scene3d>
              <a:camera prst="orthographicFront"/>
              <a:lightRig rig="threePt" dir="t"/>
            </a:scene3d>
          </c:spPr>
          <c:dPt>
            <c:idx val="0"/>
            <c:bubble3D val="0"/>
            <c:spPr>
              <a:solidFill>
                <a:srgbClr val="A6835A"/>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1-6C00-4D5C-B049-C1853D32DB5E}"/>
              </c:ext>
            </c:extLst>
          </c:dPt>
          <c:dPt>
            <c:idx val="1"/>
            <c:bubble3D val="0"/>
            <c:spPr>
              <a:solidFill>
                <a:srgbClr val="005A4E"/>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3-6C00-4D5C-B049-C1853D32DB5E}"/>
              </c:ext>
            </c:extLst>
          </c:dPt>
          <c:dPt>
            <c:idx val="2"/>
            <c:bubble3D val="0"/>
            <c:spPr>
              <a:solidFill>
                <a:srgbClr val="73253E"/>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5-6C00-4D5C-B049-C1853D32DB5E}"/>
              </c:ext>
            </c:extLst>
          </c:dPt>
          <c:dPt>
            <c:idx val="3"/>
            <c:bubble3D val="0"/>
            <c:spPr>
              <a:solidFill>
                <a:srgbClr val="CD5F27"/>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7-6C00-4D5C-B049-C1853D32DB5E}"/>
              </c:ext>
            </c:extLst>
          </c:dPt>
          <c:dPt>
            <c:idx val="4"/>
            <c:bubble3D val="0"/>
            <c:spPr>
              <a:solidFill>
                <a:srgbClr val="C5932C"/>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9-6C00-4D5C-B049-C1853D32DB5E}"/>
              </c:ext>
            </c:extLst>
          </c:dPt>
          <c:dPt>
            <c:idx val="5"/>
            <c:bubble3D val="0"/>
            <c:spPr>
              <a:solidFill>
                <a:srgbClr val="0067AC"/>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B-6C00-4D5C-B049-C1853D32DB5E}"/>
              </c:ext>
            </c:extLst>
          </c:dPt>
          <c:dLbls>
            <c:dLbl>
              <c:idx val="0"/>
              <c:layout>
                <c:manualLayout>
                  <c:x val="5.5802120988058335E-3"/>
                  <c:y val="-0.26640202365475163"/>
                </c:manualLayout>
              </c:layout>
              <c:tx>
                <c:rich>
                  <a:bodyPr/>
                  <a:lstStyle/>
                  <a:p>
                    <a:fld id="{265FCB23-B087-44AF-BDF5-E973162937DE}" type="CATEGORYNAME">
                      <a:rPr lang="en-US"/>
                      <a:pPr/>
                      <a:t>[CATEGORY NAME]</a:t>
                    </a:fld>
                    <a:r>
                      <a:rPr lang="en-US" baseline="0"/>
                      <a:t> </a:t>
                    </a:r>
                  </a:p>
                  <a:p>
                    <a:r>
                      <a:rPr lang="en-US" baseline="0"/>
                      <a:t>(60 % všetkých domácností)</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00-4D5C-B049-C1853D32DB5E}"/>
                </c:ext>
              </c:extLst>
            </c:dLbl>
            <c:dLbl>
              <c:idx val="1"/>
              <c:layout>
                <c:manualLayout>
                  <c:x val="0.23709892187782822"/>
                  <c:y val="-5.4964856284480279E-2"/>
                </c:manualLayout>
              </c:layout>
              <c:tx>
                <c:rich>
                  <a:bodyPr rot="0" spcFirstLastPara="1" vertOverflow="ellipsis" vert="horz" wrap="square" anchor="ctr" anchorCtr="1"/>
                  <a:lstStyle/>
                  <a:p>
                    <a:pPr>
                      <a:defRPr sz="700" b="0" i="0" u="none" strike="noStrike" kern="1200" baseline="0">
                        <a:solidFill>
                          <a:srgbClr val="005A4E"/>
                        </a:solidFill>
                        <a:latin typeface="Verdana" panose="020B0604030504040204" pitchFamily="34" charset="0"/>
                        <a:ea typeface="Verdana" panose="020B0604030504040204" pitchFamily="34" charset="0"/>
                        <a:cs typeface="+mn-cs"/>
                      </a:defRPr>
                    </a:pPr>
                    <a:fld id="{03365F2B-6CBA-4228-831A-FF0E8C2500AC}" type="CATEGORYNAME">
                      <a:rPr lang="en-US" sz="700">
                        <a:solidFill>
                          <a:srgbClr val="005A4E"/>
                        </a:solidFill>
                      </a:rPr>
                      <a:pPr>
                        <a:defRPr sz="700">
                          <a:solidFill>
                            <a:srgbClr val="005A4E"/>
                          </a:solidFill>
                        </a:defRPr>
                      </a:pPr>
                      <a:t>[CATEGORY NAME]</a:t>
                    </a:fld>
                    <a:endParaRPr lang="en-US" sz="700">
                      <a:solidFill>
                        <a:srgbClr val="005A4E"/>
                      </a:solidFill>
                    </a:endParaRPr>
                  </a:p>
                  <a:p>
                    <a:pPr>
                      <a:defRPr sz="700">
                        <a:solidFill>
                          <a:srgbClr val="005A4E"/>
                        </a:solidFill>
                      </a:defRPr>
                    </a:pPr>
                    <a:r>
                      <a:rPr lang="en-US" sz="700">
                        <a:solidFill>
                          <a:srgbClr val="005A4E"/>
                        </a:solidFill>
                      </a:rPr>
                      <a:t>(91,0 % zadlžených domácností)</a:t>
                    </a:r>
                  </a:p>
                </c:rich>
              </c:tx>
              <c:spPr>
                <a:noFill/>
                <a:ln>
                  <a:noFill/>
                </a:ln>
                <a:effectLst/>
              </c:spPr>
              <c:txPr>
                <a:bodyPr rot="0" spcFirstLastPara="1" vertOverflow="ellipsis" vert="horz" wrap="square" anchor="ctr" anchorCtr="1"/>
                <a:lstStyle/>
                <a:p>
                  <a:pPr>
                    <a:defRPr sz="700" b="0" i="0" u="none" strike="noStrike" kern="1200" baseline="0">
                      <a:solidFill>
                        <a:srgbClr val="005A4E"/>
                      </a:solidFill>
                      <a:latin typeface="Verdana" panose="020B0604030504040204" pitchFamily="34" charset="0"/>
                      <a:ea typeface="Verdana" panose="020B0604030504040204" pitchFamily="34" charset="0"/>
                      <a:cs typeface="+mn-cs"/>
                    </a:defRPr>
                  </a:pPr>
                  <a:endParaRPr lang="sk-SK"/>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00-4D5C-B049-C1853D32DB5E}"/>
                </c:ext>
              </c:extLst>
            </c:dLbl>
            <c:dLbl>
              <c:idx val="2"/>
              <c:layout>
                <c:manualLayout>
                  <c:x val="3.5800448538851434E-2"/>
                  <c:y val="-0.23936589226514751"/>
                </c:manualLayout>
              </c:layout>
              <c:tx>
                <c:rich>
                  <a:bodyPr/>
                  <a:lstStyle/>
                  <a:p>
                    <a:r>
                      <a:rPr lang="en-US">
                        <a:solidFill>
                          <a:srgbClr val="73253E"/>
                        </a:solidFill>
                      </a:rPr>
                      <a:t>Domácnosti,</a:t>
                    </a:r>
                    <a:r>
                      <a:rPr lang="en-US" baseline="0">
                        <a:solidFill>
                          <a:srgbClr val="73253E"/>
                        </a:solidFill>
                      </a:rPr>
                      <a:t> ktoré sa obávajú neschopnosti splácať (1,1 % zadlžených domácností)</a:t>
                    </a:r>
                    <a:endParaRPr lang="en-US">
                      <a:solidFill>
                        <a:srgbClr val="73253E"/>
                      </a:solidFill>
                    </a:endParaRPr>
                  </a:p>
                </c:rich>
              </c:tx>
              <c:showLegendKey val="0"/>
              <c:showVal val="1"/>
              <c:showCatName val="1"/>
              <c:showSerName val="0"/>
              <c:showPercent val="0"/>
              <c:showBubbleSize val="0"/>
              <c:extLst>
                <c:ext xmlns:c15="http://schemas.microsoft.com/office/drawing/2012/chart" uri="{CE6537A1-D6FC-4f65-9D91-7224C49458BB}">
                  <c15:layout>
                    <c:manualLayout>
                      <c:w val="0.1420388181809917"/>
                      <c:h val="0.33488484213413328"/>
                    </c:manualLayout>
                  </c15:layout>
                </c:ext>
                <c:ext xmlns:c16="http://schemas.microsoft.com/office/drawing/2014/chart" uri="{C3380CC4-5D6E-409C-BE32-E72D297353CC}">
                  <c16:uniqueId val="{00000005-6C00-4D5C-B049-C1853D32DB5E}"/>
                </c:ext>
              </c:extLst>
            </c:dLbl>
            <c:dLbl>
              <c:idx val="3"/>
              <c:layout>
                <c:manualLayout>
                  <c:x val="7.4809505260997576E-3"/>
                  <c:y val="1.2538284373158821E-3"/>
                </c:manualLayout>
              </c:layout>
              <c:tx>
                <c:rich>
                  <a:bodyPr/>
                  <a:lstStyle/>
                  <a:p>
                    <a:r>
                      <a:rPr lang="en-US">
                        <a:solidFill>
                          <a:srgbClr val="CD5F27"/>
                        </a:solidFill>
                      </a:rPr>
                      <a:t>Domácnosti so zvýšeným rizikom,</a:t>
                    </a:r>
                    <a:r>
                      <a:rPr lang="en-US" baseline="0">
                        <a:solidFill>
                          <a:srgbClr val="CD5F27"/>
                        </a:solidFill>
                      </a:rPr>
                      <a:t> ktoré by mali byť schopné splácať </a:t>
                    </a:r>
                    <a:br>
                      <a:rPr lang="en-US" baseline="0">
                        <a:solidFill>
                          <a:srgbClr val="CD5F27"/>
                        </a:solidFill>
                      </a:rPr>
                    </a:br>
                    <a:r>
                      <a:rPr lang="en-US" baseline="0">
                        <a:solidFill>
                          <a:srgbClr val="CD5F27"/>
                        </a:solidFill>
                      </a:rPr>
                      <a:t>(5,1 % zadlžených domácností)</a:t>
                    </a:r>
                    <a:endParaRPr lang="en-US">
                      <a:solidFill>
                        <a:srgbClr val="CD5F27"/>
                      </a:solidFill>
                    </a:endParaRP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00-4D5C-B049-C1853D32DB5E}"/>
                </c:ext>
              </c:extLst>
            </c:dLbl>
            <c:dLbl>
              <c:idx val="4"/>
              <c:layout>
                <c:manualLayout>
                  <c:x val="-0.1617777554397678"/>
                  <c:y val="6.5193296521904268E-2"/>
                </c:manualLayout>
              </c:layout>
              <c:tx>
                <c:rich>
                  <a:bodyPr rot="0" spcFirstLastPara="1" vertOverflow="ellipsis" vert="horz" wrap="square" anchor="ctr" anchorCtr="1"/>
                  <a:lstStyle/>
                  <a:p>
                    <a:pPr>
                      <a:defRPr sz="700" b="0" i="0" u="none" strike="noStrike" kern="1200" baseline="0">
                        <a:solidFill>
                          <a:srgbClr val="C5932C"/>
                        </a:solidFill>
                        <a:latin typeface="Verdana" panose="020B0604030504040204" pitchFamily="34" charset="0"/>
                        <a:ea typeface="Verdana" panose="020B0604030504040204" pitchFamily="34" charset="0"/>
                        <a:cs typeface="+mn-cs"/>
                      </a:defRPr>
                    </a:pPr>
                    <a:r>
                      <a:rPr lang="en-US" sz="700">
                        <a:solidFill>
                          <a:srgbClr val="C5932C"/>
                        </a:solidFill>
                      </a:rPr>
                      <a:t>Domácnosti blízko hranice rizika finančných</a:t>
                    </a:r>
                    <a:r>
                      <a:rPr lang="en-US" sz="700" baseline="0">
                        <a:solidFill>
                          <a:srgbClr val="C5932C"/>
                        </a:solidFill>
                      </a:rPr>
                      <a:t> ťažkostí (2,8 % zadlžených domácností)</a:t>
                    </a:r>
                    <a:endParaRPr lang="en-US" sz="700">
                      <a:solidFill>
                        <a:srgbClr val="C5932C"/>
                      </a:solidFill>
                    </a:endParaRPr>
                  </a:p>
                </c:rich>
              </c:tx>
              <c:spPr>
                <a:noFill/>
                <a:ln>
                  <a:noFill/>
                </a:ln>
                <a:effectLst/>
              </c:spPr>
              <c:txPr>
                <a:bodyPr rot="0" spcFirstLastPara="1" vertOverflow="ellipsis" vert="horz" wrap="square" anchor="ctr" anchorCtr="1"/>
                <a:lstStyle/>
                <a:p>
                  <a:pPr>
                    <a:defRPr sz="700" b="0" i="0" u="none" strike="noStrike" kern="1200" baseline="0">
                      <a:solidFill>
                        <a:srgbClr val="C5932C"/>
                      </a:solidFill>
                      <a:latin typeface="Verdana" panose="020B0604030504040204" pitchFamily="34" charset="0"/>
                      <a:ea typeface="Verdana" panose="020B0604030504040204" pitchFamily="34" charset="0"/>
                      <a:cs typeface="+mn-cs"/>
                    </a:defRPr>
                  </a:pPr>
                  <a:endParaRPr lang="sk-SK"/>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00-4D5C-B049-C1853D32DB5E}"/>
                </c:ext>
              </c:extLst>
            </c:dLbl>
            <c:dLbl>
              <c:idx val="5"/>
              <c:layout>
                <c:manualLayout>
                  <c:x val="-2.4018490385845952E-2"/>
                  <c:y val="0.23132708610271169"/>
                </c:manualLayout>
              </c:layout>
              <c:tx>
                <c:rich>
                  <a:bodyPr rot="0" spcFirstLastPara="1" vertOverflow="ellipsis" vert="horz" wrap="square" anchor="ctr" anchorCtr="1"/>
                  <a:lstStyle/>
                  <a:p>
                    <a:pPr>
                      <a:defRPr sz="700" b="0" i="0" u="none" strike="noStrike" kern="1200" baseline="0">
                        <a:solidFill>
                          <a:srgbClr val="0067AC"/>
                        </a:solidFill>
                        <a:latin typeface="Verdana" panose="020B0604030504040204" pitchFamily="34" charset="0"/>
                        <a:ea typeface="Verdana" panose="020B0604030504040204" pitchFamily="34" charset="0"/>
                        <a:cs typeface="+mn-cs"/>
                      </a:defRPr>
                    </a:pPr>
                    <a:r>
                      <a:rPr lang="en-US" sz="700">
                        <a:solidFill>
                          <a:srgbClr val="0067AC"/>
                        </a:solidFill>
                      </a:rPr>
                      <a:t>Zadlžené domácnosti</a:t>
                    </a:r>
                  </a:p>
                  <a:p>
                    <a:pPr>
                      <a:defRPr sz="700">
                        <a:solidFill>
                          <a:srgbClr val="0067AC"/>
                        </a:solidFill>
                      </a:defRPr>
                    </a:pPr>
                    <a:r>
                      <a:rPr lang="en-US" sz="700" baseline="0">
                        <a:solidFill>
                          <a:srgbClr val="0067AC"/>
                        </a:solidFill>
                      </a:rPr>
                      <a:t>(40 % všetkých domácností)</a:t>
                    </a:r>
                    <a:endParaRPr lang="en-US" sz="700">
                      <a:solidFill>
                        <a:srgbClr val="0067AC"/>
                      </a:solidFill>
                    </a:endParaRPr>
                  </a:p>
                </c:rich>
              </c:tx>
              <c:spPr>
                <a:noFill/>
                <a:ln>
                  <a:noFill/>
                </a:ln>
                <a:effectLst/>
              </c:spPr>
              <c:txPr>
                <a:bodyPr rot="0" spcFirstLastPara="1" vertOverflow="ellipsis" vert="horz" wrap="square" anchor="ctr" anchorCtr="1"/>
                <a:lstStyle/>
                <a:p>
                  <a:pPr>
                    <a:defRPr sz="700" b="0" i="0" u="none" strike="noStrike" kern="1200" baseline="0">
                      <a:solidFill>
                        <a:srgbClr val="0067AC"/>
                      </a:solidFill>
                      <a:latin typeface="Verdana" panose="020B0604030504040204" pitchFamily="34" charset="0"/>
                      <a:ea typeface="Verdana" panose="020B0604030504040204" pitchFamily="34" charset="0"/>
                      <a:cs typeface="+mn-cs"/>
                    </a:defRPr>
                  </a:pPr>
                  <a:endParaRPr lang="sk-SK"/>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00-4D5C-B049-C1853D32DB5E}"/>
                </c:ext>
              </c:extLst>
            </c:dLbl>
            <c:dLbl>
              <c:idx val="6"/>
              <c:tx>
                <c:rich>
                  <a:bodyPr/>
                  <a:lstStyle/>
                  <a:p>
                    <a:fld id="{41A80EBC-7B14-443D-A0EB-9A5DDC16A48B}" type="CATEGORYNAME">
                      <a:rPr lang="en-US"/>
                      <a:pPr/>
                      <a:t>[CATEGORY NAME]</a:t>
                    </a:fld>
                    <a:r>
                      <a:rPr lang="en-US"/>
                      <a:t>zad</a:t>
                    </a:r>
                  </a:p>
                  <a:p>
                    <a:r>
                      <a:rPr lang="en-US" baseline="0"/>
                      <a:t>; </a:t>
                    </a:r>
                    <a:fld id="{A56A337B-FF66-45EC-B631-0D8F9384A5F1}"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6C00-4D5C-B049-C1853D32DB5E}"/>
                </c:ext>
              </c:extLst>
            </c:dLbl>
            <c:spPr>
              <a:noFill/>
              <a:ln>
                <a:noFill/>
              </a:ln>
              <a:effectLst/>
            </c:spPr>
            <c:txPr>
              <a:bodyPr rot="0" spcFirstLastPara="1" vertOverflow="ellipsis" vert="horz" wrap="square" anchor="ctr" anchorCtr="1"/>
              <a:lstStyle/>
              <a:p>
                <a:pPr>
                  <a:defRPr sz="700" b="0" i="0" u="none" strike="noStrike" kern="1200" baseline="0">
                    <a:solidFill>
                      <a:srgbClr val="A6835A"/>
                    </a:solidFill>
                    <a:latin typeface="Verdana" panose="020B0604030504040204" pitchFamily="34" charset="0"/>
                    <a:ea typeface="Verdana" panose="020B0604030504040204" pitchFamily="34" charset="0"/>
                    <a:cs typeface="+mn-cs"/>
                  </a:defRPr>
                </a:pPr>
                <a:endParaRPr lang="sk-SK"/>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(2)'!$B$1:$B$5</c:f>
              <c:strCache>
                <c:ptCount val="5"/>
                <c:pt idx="0">
                  <c:v>Nezadlžené domácnosti</c:v>
                </c:pt>
                <c:pt idx="1">
                  <c:v>Domácnosti bez zvýšeného rizika finančných ťažkostí</c:v>
                </c:pt>
                <c:pt idx="2">
                  <c:v>Domácnosti so zvýšeným rizikom finančných ťažkostí, ktoré očakávajú problém so splácaním úverov aj po skončení koronakrízy</c:v>
                </c:pt>
                <c:pt idx="3">
                  <c:v>Domácnosti so zvýšeným rizikom finančných ťažkostí, ktoré očakávajú, že po skončení koronakrízy budú schopné splácať</c:v>
                </c:pt>
                <c:pt idx="4">
                  <c:v>Domácnosti blízko hranice rizika finančných ťažkostí</c:v>
                </c:pt>
              </c:strCache>
            </c:strRef>
          </c:cat>
          <c:val>
            <c:numRef>
              <c:f>'Sheet1 (2)'!$C$1:$C$5</c:f>
              <c:numCache>
                <c:formatCode>0%</c:formatCode>
                <c:ptCount val="5"/>
                <c:pt idx="0">
                  <c:v>0.6</c:v>
                </c:pt>
                <c:pt idx="1">
                  <c:v>0.36399999999999999</c:v>
                </c:pt>
                <c:pt idx="2">
                  <c:v>4.4000000000000003E-3</c:v>
                </c:pt>
                <c:pt idx="3">
                  <c:v>2.0400000000000001E-2</c:v>
                </c:pt>
                <c:pt idx="4">
                  <c:v>1.1200000000000002E-2</c:v>
                </c:pt>
              </c:numCache>
            </c:numRef>
          </c:val>
          <c:extLst>
            <c:ext xmlns:c16="http://schemas.microsoft.com/office/drawing/2014/chart" uri="{C3380CC4-5D6E-409C-BE32-E72D297353CC}">
              <c16:uniqueId val="{0000000D-6C00-4D5C-B049-C1853D32DB5E}"/>
            </c:ext>
          </c:extLst>
        </c:ser>
        <c:dLbls>
          <c:showLegendKey val="0"/>
          <c:showVal val="1"/>
          <c:showCatName val="1"/>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14873140857"/>
          <c:y val="2.5299269953378615E-2"/>
          <c:w val="0.86913429571303591"/>
          <c:h val="0.74748088851016414"/>
        </c:manualLayout>
      </c:layout>
      <c:barChart>
        <c:barDir val="col"/>
        <c:grouping val="clustered"/>
        <c:varyColors val="0"/>
        <c:ser>
          <c:idx val="0"/>
          <c:order val="0"/>
          <c:tx>
            <c:strRef>
              <c:f>DSTI!$B$1</c:f>
              <c:strCache>
                <c:ptCount val="1"/>
                <c:pt idx="0">
                  <c:v>Domácnosti so zvýšeným rizikom finančných ťažkostí - nárast počas koronakrízy</c:v>
                </c:pt>
              </c:strCache>
            </c:strRef>
          </c:tx>
          <c:spPr>
            <a:solidFill>
              <a:schemeClr val="accent1"/>
            </a:solidFill>
            <a:ln>
              <a:noFill/>
            </a:ln>
            <a:effectLst/>
          </c:spPr>
          <c:invertIfNegative val="0"/>
          <c:cat>
            <c:strRef>
              <c:f>DSTI!$A$2:$A$5</c:f>
              <c:strCache>
                <c:ptCount val="4"/>
                <c:pt idx="0">
                  <c:v>0 % až 40 %</c:v>
                </c:pt>
                <c:pt idx="1">
                  <c:v>40 % až 60 %</c:v>
                </c:pt>
                <c:pt idx="2">
                  <c:v>60 % až 80 %</c:v>
                </c:pt>
                <c:pt idx="3">
                  <c:v>80 % až 100 %</c:v>
                </c:pt>
              </c:strCache>
            </c:strRef>
          </c:cat>
          <c:val>
            <c:numRef>
              <c:f>DSTI!$B$2:$B$5</c:f>
              <c:numCache>
                <c:formatCode>0%</c:formatCode>
                <c:ptCount val="4"/>
                <c:pt idx="0">
                  <c:v>2.7033574272281941E-2</c:v>
                </c:pt>
                <c:pt idx="1">
                  <c:v>9.3396990667091756E-2</c:v>
                </c:pt>
                <c:pt idx="2">
                  <c:v>0.32948043210871097</c:v>
                </c:pt>
                <c:pt idx="3">
                  <c:v>0.40864896775797421</c:v>
                </c:pt>
              </c:numCache>
            </c:numRef>
          </c:val>
          <c:extLst>
            <c:ext xmlns:c16="http://schemas.microsoft.com/office/drawing/2014/chart" uri="{C3380CC4-5D6E-409C-BE32-E72D297353CC}">
              <c16:uniqueId val="{00000000-B371-4B2A-84D0-AB7726961A0B}"/>
            </c:ext>
          </c:extLst>
        </c:ser>
        <c:dLbls>
          <c:showLegendKey val="0"/>
          <c:showVal val="0"/>
          <c:showCatName val="0"/>
          <c:showSerName val="0"/>
          <c:showPercent val="0"/>
          <c:showBubbleSize val="0"/>
        </c:dLbls>
        <c:gapWidth val="219"/>
        <c:overlap val="-27"/>
        <c:axId val="937881832"/>
        <c:axId val="937892328"/>
      </c:barChart>
      <c:catAx>
        <c:axId val="937881832"/>
        <c:scaling>
          <c:orientation val="minMax"/>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sk-SK"/>
                  <a:t>Podiel splátok k príjmu zníženému o životné minimum</a:t>
                </a:r>
              </a:p>
              <a:p>
                <a:pPr>
                  <a:defRPr/>
                </a:pPr>
                <a:r>
                  <a:rPr lang="sk-SK"/>
                  <a:t>(hodnoty pred krízou)</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crossAx val="937892328"/>
        <c:crosses val="autoZero"/>
        <c:auto val="1"/>
        <c:lblAlgn val="ctr"/>
        <c:lblOffset val="100"/>
        <c:noMultiLvlLbl val="0"/>
      </c:catAx>
      <c:valAx>
        <c:axId val="937892328"/>
        <c:scaling>
          <c:orientation val="minMax"/>
          <c:max val="0.43000000000000005"/>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crossAx val="937881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6503267973856"/>
          <c:y val="2.3312962962962962E-2"/>
          <c:w val="0.90918712044241967"/>
          <c:h val="0.81088456790123453"/>
        </c:manualLayout>
      </c:layout>
      <c:areaChart>
        <c:grouping val="stacked"/>
        <c:varyColors val="0"/>
        <c:ser>
          <c:idx val="0"/>
          <c:order val="0"/>
          <c:tx>
            <c:v>low</c:v>
          </c:tx>
          <c:spPr>
            <a:solidFill>
              <a:sysClr val="window" lastClr="FFFFFF"/>
            </a:solidFill>
            <a:ln w="25400">
              <a:noFill/>
            </a:ln>
          </c:spPr>
          <c:cat>
            <c:numRef>
              <c:f>Sheet1!$A$3:$A$93</c:f>
              <c:numCache>
                <c:formatCode>[$-41B]mmm\-yy;@</c:formatCode>
                <c:ptCount val="9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numCache>
            </c:numRef>
          </c:cat>
          <c:val>
            <c:numRef>
              <c:f>Sheet1!$B$3:$B$93</c:f>
              <c:numCache>
                <c:formatCode>General</c:formatCode>
                <c:ptCount val="91"/>
                <c:pt idx="0">
                  <c:v>-7.9721195137157141E-2</c:v>
                </c:pt>
                <c:pt idx="1">
                  <c:v>-7.5511296628836211E-2</c:v>
                </c:pt>
                <c:pt idx="2">
                  <c:v>-6.7997034198559847E-2</c:v>
                </c:pt>
                <c:pt idx="3">
                  <c:v>-9.0400780189942964E-2</c:v>
                </c:pt>
                <c:pt idx="4">
                  <c:v>-9.1988647695342596E-2</c:v>
                </c:pt>
                <c:pt idx="5">
                  <c:v>-8.0279395913046392E-2</c:v>
                </c:pt>
                <c:pt idx="6">
                  <c:v>-9.9534171690810191E-2</c:v>
                </c:pt>
                <c:pt idx="7">
                  <c:v>-6.1727991454911979E-2</c:v>
                </c:pt>
                <c:pt idx="8">
                  <c:v>-5.9026698985801485E-2</c:v>
                </c:pt>
                <c:pt idx="9">
                  <c:v>-4.8022097370275962E-2</c:v>
                </c:pt>
                <c:pt idx="10">
                  <c:v>-6.0245018775590797E-2</c:v>
                </c:pt>
                <c:pt idx="11">
                  <c:v>-9.6696784215209886E-2</c:v>
                </c:pt>
                <c:pt idx="12">
                  <c:v>-6.5385125203099081E-2</c:v>
                </c:pt>
                <c:pt idx="13">
                  <c:v>-6.4440958369493206E-2</c:v>
                </c:pt>
                <c:pt idx="14">
                  <c:v>-6.5206603822236253E-2</c:v>
                </c:pt>
                <c:pt idx="15">
                  <c:v>-6.7636984935072086E-2</c:v>
                </c:pt>
                <c:pt idx="16">
                  <c:v>-9.4006959912582566E-2</c:v>
                </c:pt>
                <c:pt idx="17">
                  <c:v>-8.0617458153220301E-2</c:v>
                </c:pt>
                <c:pt idx="18">
                  <c:v>-5.2036425112893081E-2</c:v>
                </c:pt>
                <c:pt idx="19">
                  <c:v>-2.8153150313558806E-2</c:v>
                </c:pt>
                <c:pt idx="20">
                  <c:v>-6.7591325988275053E-2</c:v>
                </c:pt>
                <c:pt idx="21">
                  <c:v>-4.7361518871444408E-2</c:v>
                </c:pt>
                <c:pt idx="22">
                  <c:v>-1.4951663755495948E-2</c:v>
                </c:pt>
                <c:pt idx="23">
                  <c:v>-4.2058101183779562E-2</c:v>
                </c:pt>
                <c:pt idx="24">
                  <c:v>-7.0243753992555724E-2</c:v>
                </c:pt>
                <c:pt idx="25">
                  <c:v>-2.8083083991707058E-2</c:v>
                </c:pt>
                <c:pt idx="26">
                  <c:v>-9.4451066121281624E-3</c:v>
                </c:pt>
                <c:pt idx="27">
                  <c:v>-8.2573257221148499E-3</c:v>
                </c:pt>
                <c:pt idx="28">
                  <c:v>-4.9526323819015228E-3</c:v>
                </c:pt>
                <c:pt idx="29">
                  <c:v>-4.8508973725635562E-3</c:v>
                </c:pt>
                <c:pt idx="30">
                  <c:v>-1.107136949464832E-2</c:v>
                </c:pt>
                <c:pt idx="31">
                  <c:v>-1.926129376383906E-2</c:v>
                </c:pt>
                <c:pt idx="32">
                  <c:v>2.1236088272518994E-2</c:v>
                </c:pt>
                <c:pt idx="33">
                  <c:v>-7.8782902773288921E-4</c:v>
                </c:pt>
                <c:pt idx="34">
                  <c:v>-3.978369370788537E-2</c:v>
                </c:pt>
                <c:pt idx="35">
                  <c:v>2.050388087542665E-2</c:v>
                </c:pt>
                <c:pt idx="36">
                  <c:v>2.4798630189891258E-2</c:v>
                </c:pt>
                <c:pt idx="37">
                  <c:v>-1.6406413629870942E-2</c:v>
                </c:pt>
                <c:pt idx="38">
                  <c:v>-3.3707647168035315E-3</c:v>
                </c:pt>
                <c:pt idx="39">
                  <c:v>-1.2730446468677103E-2</c:v>
                </c:pt>
                <c:pt idx="40">
                  <c:v>2.1466813266346474E-2</c:v>
                </c:pt>
                <c:pt idx="41">
                  <c:v>1.3867623986217437E-2</c:v>
                </c:pt>
                <c:pt idx="42">
                  <c:v>3.0018936401215446E-2</c:v>
                </c:pt>
                <c:pt idx="43">
                  <c:v>2.4513338385201422E-3</c:v>
                </c:pt>
                <c:pt idx="44">
                  <c:v>-1.5297830677472091E-2</c:v>
                </c:pt>
                <c:pt idx="45">
                  <c:v>4.3517292186835976E-3</c:v>
                </c:pt>
                <c:pt idx="46">
                  <c:v>-2.0257198762184014E-2</c:v>
                </c:pt>
                <c:pt idx="47">
                  <c:v>-3.8080931233994919E-2</c:v>
                </c:pt>
                <c:pt idx="48">
                  <c:v>-1.7725241003701542E-3</c:v>
                </c:pt>
                <c:pt idx="49">
                  <c:v>-2.2557407185669898E-3</c:v>
                </c:pt>
                <c:pt idx="50">
                  <c:v>-1.9523852053063784E-2</c:v>
                </c:pt>
                <c:pt idx="51">
                  <c:v>5.5958659729224425E-3</c:v>
                </c:pt>
                <c:pt idx="52">
                  <c:v>9.6594783003119966E-3</c:v>
                </c:pt>
                <c:pt idx="53">
                  <c:v>2.1164957238796633E-2</c:v>
                </c:pt>
                <c:pt idx="54">
                  <c:v>5.3478295133450371E-2</c:v>
                </c:pt>
                <c:pt idx="55">
                  <c:v>8.0408797111838237E-2</c:v>
                </c:pt>
                <c:pt idx="56">
                  <c:v>5.7686849509241411E-2</c:v>
                </c:pt>
                <c:pt idx="57">
                  <c:v>4.822800667218341E-2</c:v>
                </c:pt>
                <c:pt idx="58">
                  <c:v>3.8574455838322086E-2</c:v>
                </c:pt>
                <c:pt idx="59">
                  <c:v>3.7660846422467475E-2</c:v>
                </c:pt>
                <c:pt idx="60">
                  <c:v>2.0043292344537278E-2</c:v>
                </c:pt>
                <c:pt idx="61">
                  <c:v>6.142774983648791E-3</c:v>
                </c:pt>
                <c:pt idx="62">
                  <c:v>1.676929036163799E-2</c:v>
                </c:pt>
                <c:pt idx="63">
                  <c:v>1.8830719726299461E-2</c:v>
                </c:pt>
                <c:pt idx="64">
                  <c:v>-3.4857364960639292E-3</c:v>
                </c:pt>
                <c:pt idx="65">
                  <c:v>1.8643960612286792E-3</c:v>
                </c:pt>
                <c:pt idx="66">
                  <c:v>1.7295849481858028E-2</c:v>
                </c:pt>
                <c:pt idx="67">
                  <c:v>2.6025621608568916E-2</c:v>
                </c:pt>
                <c:pt idx="68">
                  <c:v>5.9727146772672324E-3</c:v>
                </c:pt>
                <c:pt idx="69">
                  <c:v>2.3366554308813736E-2</c:v>
                </c:pt>
                <c:pt idx="70">
                  <c:v>2.1455958709459377E-2</c:v>
                </c:pt>
                <c:pt idx="71">
                  <c:v>2.7618768113452097E-4</c:v>
                </c:pt>
                <c:pt idx="72">
                  <c:v>-8.2191206880877221E-4</c:v>
                </c:pt>
                <c:pt idx="73">
                  <c:v>1.4919867170278822E-2</c:v>
                </c:pt>
                <c:pt idx="74">
                  <c:v>1.7569234459714256E-2</c:v>
                </c:pt>
                <c:pt idx="75">
                  <c:v>8.1710154686278624E-3</c:v>
                </c:pt>
                <c:pt idx="76">
                  <c:v>2.0643247318460567E-2</c:v>
                </c:pt>
                <c:pt idx="77">
                  <c:v>3.710726937927733E-4</c:v>
                </c:pt>
                <c:pt idx="78">
                  <c:v>6.8408197296043749E-4</c:v>
                </c:pt>
                <c:pt idx="79">
                  <c:v>-7.2665263663290736E-4</c:v>
                </c:pt>
                <c:pt idx="80">
                  <c:v>-5.2303635755516775E-3</c:v>
                </c:pt>
                <c:pt idx="81">
                  <c:v>-5.6829732478747563E-3</c:v>
                </c:pt>
                <c:pt idx="82">
                  <c:v>6.3014656925933776E-3</c:v>
                </c:pt>
                <c:pt idx="83">
                  <c:v>-2.70038647666479E-2</c:v>
                </c:pt>
                <c:pt idx="84">
                  <c:v>-3.2168469210741402E-2</c:v>
                </c:pt>
                <c:pt idx="85">
                  <c:v>-1.5519985228482636E-2</c:v>
                </c:pt>
                <c:pt idx="86">
                  <c:v>-6.1779253595343753E-3</c:v>
                </c:pt>
                <c:pt idx="87">
                  <c:v>-9.9413256460472166E-3</c:v>
                </c:pt>
                <c:pt idx="88">
                  <c:v>-9.4285328209778307E-3</c:v>
                </c:pt>
                <c:pt idx="89">
                  <c:v>3.2893416341227555E-3</c:v>
                </c:pt>
                <c:pt idx="90">
                  <c:v>-4.6381937246097182E-3</c:v>
                </c:pt>
              </c:numCache>
            </c:numRef>
          </c:val>
          <c:extLst>
            <c:ext xmlns:c16="http://schemas.microsoft.com/office/drawing/2014/chart" uri="{C3380CC4-5D6E-409C-BE32-E72D297353CC}">
              <c16:uniqueId val="{00000000-A24B-4DB2-AB12-B90CAE33D080}"/>
            </c:ext>
          </c:extLst>
        </c:ser>
        <c:ser>
          <c:idx val="1"/>
          <c:order val="1"/>
          <c:tx>
            <c:v>Medzikvartilové rozpätie odvetví</c:v>
          </c:tx>
          <c:spPr>
            <a:solidFill>
              <a:srgbClr val="0067AC">
                <a:lumMod val="20000"/>
                <a:lumOff val="80000"/>
              </a:srgbClr>
            </a:solidFill>
            <a:ln w="9525">
              <a:noFill/>
            </a:ln>
          </c:spPr>
          <c:cat>
            <c:numRef>
              <c:f>Sheet1!$A$3:$A$93</c:f>
              <c:numCache>
                <c:formatCode>[$-41B]mmm\-yy;@</c:formatCode>
                <c:ptCount val="91"/>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numCache>
            </c:numRef>
          </c:cat>
          <c:val>
            <c:numRef>
              <c:f>Sheet1!$D$3:$D$93</c:f>
              <c:numCache>
                <c:formatCode>General</c:formatCode>
                <c:ptCount val="91"/>
                <c:pt idx="0">
                  <c:v>0.13591554725990052</c:v>
                </c:pt>
                <c:pt idx="1">
                  <c:v>0.1235581340728677</c:v>
                </c:pt>
                <c:pt idx="2">
                  <c:v>9.600734462384708E-2</c:v>
                </c:pt>
                <c:pt idx="3">
                  <c:v>0.10570632390939333</c:v>
                </c:pt>
                <c:pt idx="4">
                  <c:v>7.7971766710286217E-2</c:v>
                </c:pt>
                <c:pt idx="5">
                  <c:v>0.14663153623329511</c:v>
                </c:pt>
                <c:pt idx="6">
                  <c:v>0.17800254810587174</c:v>
                </c:pt>
                <c:pt idx="7">
                  <c:v>0.15338950675309854</c:v>
                </c:pt>
                <c:pt idx="8">
                  <c:v>0.12782982819417776</c:v>
                </c:pt>
                <c:pt idx="9">
                  <c:v>9.4590612561391785E-2</c:v>
                </c:pt>
                <c:pt idx="10">
                  <c:v>9.1295406712552596E-2</c:v>
                </c:pt>
                <c:pt idx="11">
                  <c:v>0.14483323273563842</c:v>
                </c:pt>
                <c:pt idx="12">
                  <c:v>0.12402124167472256</c:v>
                </c:pt>
                <c:pt idx="13">
                  <c:v>0.12430175963960327</c:v>
                </c:pt>
                <c:pt idx="14">
                  <c:v>0.14284549408046859</c:v>
                </c:pt>
                <c:pt idx="15">
                  <c:v>0.15111774252122889</c:v>
                </c:pt>
                <c:pt idx="16">
                  <c:v>0.20554148464229272</c:v>
                </c:pt>
                <c:pt idx="17">
                  <c:v>0.15191858987738516</c:v>
                </c:pt>
                <c:pt idx="18">
                  <c:v>0.12387751348341525</c:v>
                </c:pt>
                <c:pt idx="19">
                  <c:v>0.10698694934970499</c:v>
                </c:pt>
                <c:pt idx="20">
                  <c:v>0.14049043359176966</c:v>
                </c:pt>
                <c:pt idx="21">
                  <c:v>0.11852958693399113</c:v>
                </c:pt>
                <c:pt idx="22">
                  <c:v>0.10339171846346074</c:v>
                </c:pt>
                <c:pt idx="23">
                  <c:v>0.12926045581804374</c:v>
                </c:pt>
                <c:pt idx="24">
                  <c:v>0.1401361626509901</c:v>
                </c:pt>
                <c:pt idx="25">
                  <c:v>9.3847265845376449E-2</c:v>
                </c:pt>
                <c:pt idx="26">
                  <c:v>8.3459403050013758E-2</c:v>
                </c:pt>
                <c:pt idx="27">
                  <c:v>0.10019787331977198</c:v>
                </c:pt>
                <c:pt idx="28">
                  <c:v>0.12524149717741112</c:v>
                </c:pt>
                <c:pt idx="29">
                  <c:v>0.13791687401149072</c:v>
                </c:pt>
                <c:pt idx="30">
                  <c:v>0.11177027341728468</c:v>
                </c:pt>
                <c:pt idx="31">
                  <c:v>0.13048416038406802</c:v>
                </c:pt>
                <c:pt idx="32">
                  <c:v>7.9564241455969409E-2</c:v>
                </c:pt>
                <c:pt idx="33">
                  <c:v>0.12742377122818516</c:v>
                </c:pt>
                <c:pt idx="34">
                  <c:v>0.16181984662729609</c:v>
                </c:pt>
                <c:pt idx="35">
                  <c:v>0.18768969669696434</c:v>
                </c:pt>
                <c:pt idx="36">
                  <c:v>0.13408967827739915</c:v>
                </c:pt>
                <c:pt idx="37">
                  <c:v>0.17993202584491519</c:v>
                </c:pt>
                <c:pt idx="38">
                  <c:v>0.19111661961572046</c:v>
                </c:pt>
                <c:pt idx="39">
                  <c:v>0.19011568289199782</c:v>
                </c:pt>
                <c:pt idx="40">
                  <c:v>0.10143340148109792</c:v>
                </c:pt>
                <c:pt idx="41">
                  <c:v>9.8205503176060027E-2</c:v>
                </c:pt>
                <c:pt idx="42">
                  <c:v>0.11141117318660299</c:v>
                </c:pt>
                <c:pt idx="43">
                  <c:v>0.13009986078574198</c:v>
                </c:pt>
                <c:pt idx="44">
                  <c:v>0.11350079022275089</c:v>
                </c:pt>
                <c:pt idx="45">
                  <c:v>0.14770261083197317</c:v>
                </c:pt>
                <c:pt idx="46">
                  <c:v>0.12839669406440257</c:v>
                </c:pt>
                <c:pt idx="47">
                  <c:v>0.16963283566579013</c:v>
                </c:pt>
                <c:pt idx="48">
                  <c:v>0.17147015858092968</c:v>
                </c:pt>
                <c:pt idx="49">
                  <c:v>0.1805954898035978</c:v>
                </c:pt>
                <c:pt idx="50">
                  <c:v>0.15341712331530605</c:v>
                </c:pt>
                <c:pt idx="51">
                  <c:v>0.1095732525223671</c:v>
                </c:pt>
                <c:pt idx="52">
                  <c:v>0.10619069162993633</c:v>
                </c:pt>
                <c:pt idx="53">
                  <c:v>0.10901927087836305</c:v>
                </c:pt>
                <c:pt idx="54">
                  <c:v>7.5582480340064651E-2</c:v>
                </c:pt>
                <c:pt idx="55">
                  <c:v>3.222923526031618E-2</c:v>
                </c:pt>
                <c:pt idx="56">
                  <c:v>0.11332218303890773</c:v>
                </c:pt>
                <c:pt idx="57">
                  <c:v>8.9454316545834023E-2</c:v>
                </c:pt>
                <c:pt idx="58">
                  <c:v>0.10481139872862422</c:v>
                </c:pt>
                <c:pt idx="59">
                  <c:v>7.1467802458144436E-2</c:v>
                </c:pt>
                <c:pt idx="60">
                  <c:v>0.10189660975202053</c:v>
                </c:pt>
                <c:pt idx="61">
                  <c:v>0.16006094963774176</c:v>
                </c:pt>
                <c:pt idx="62">
                  <c:v>0.16745958432601493</c:v>
                </c:pt>
                <c:pt idx="63">
                  <c:v>0.17130375670795051</c:v>
                </c:pt>
                <c:pt idx="64">
                  <c:v>0.18011211940019917</c:v>
                </c:pt>
                <c:pt idx="65">
                  <c:v>0.17966015964560333</c:v>
                </c:pt>
                <c:pt idx="66">
                  <c:v>0.15955151641277165</c:v>
                </c:pt>
                <c:pt idx="67">
                  <c:v>0.13622773817683265</c:v>
                </c:pt>
                <c:pt idx="68">
                  <c:v>0.14039998518767682</c:v>
                </c:pt>
                <c:pt idx="69">
                  <c:v>0.16506320716993461</c:v>
                </c:pt>
                <c:pt idx="70">
                  <c:v>0.16966696594191288</c:v>
                </c:pt>
                <c:pt idx="71">
                  <c:v>0.17041647406776178</c:v>
                </c:pt>
                <c:pt idx="72">
                  <c:v>0.15050765463694649</c:v>
                </c:pt>
                <c:pt idx="73">
                  <c:v>0.12797120522346794</c:v>
                </c:pt>
                <c:pt idx="74">
                  <c:v>0.10242270123280883</c:v>
                </c:pt>
                <c:pt idx="75">
                  <c:v>7.7823059580910958E-2</c:v>
                </c:pt>
                <c:pt idx="76">
                  <c:v>6.855461393938489E-2</c:v>
                </c:pt>
                <c:pt idx="77">
                  <c:v>6.0920151435922998E-2</c:v>
                </c:pt>
                <c:pt idx="78">
                  <c:v>7.2119314827414849E-2</c:v>
                </c:pt>
                <c:pt idx="79">
                  <c:v>7.289071120323759E-2</c:v>
                </c:pt>
                <c:pt idx="80">
                  <c:v>8.226187148704539E-2</c:v>
                </c:pt>
                <c:pt idx="81">
                  <c:v>7.2463515681622515E-2</c:v>
                </c:pt>
                <c:pt idx="82">
                  <c:v>7.2699994655985756E-2</c:v>
                </c:pt>
                <c:pt idx="83">
                  <c:v>0.15524516935892968</c:v>
                </c:pt>
                <c:pt idx="84">
                  <c:v>0.1398550294767365</c:v>
                </c:pt>
                <c:pt idx="85">
                  <c:v>0.1568179753394574</c:v>
                </c:pt>
                <c:pt idx="86">
                  <c:v>0.160264166113193</c:v>
                </c:pt>
                <c:pt idx="87">
                  <c:v>0.11431403923393602</c:v>
                </c:pt>
                <c:pt idx="88">
                  <c:v>0.1012251566317241</c:v>
                </c:pt>
                <c:pt idx="89">
                  <c:v>8.1430101667604782E-2</c:v>
                </c:pt>
                <c:pt idx="90">
                  <c:v>7.5231313220834095E-2</c:v>
                </c:pt>
              </c:numCache>
            </c:numRef>
          </c:val>
          <c:extLst>
            <c:ext xmlns:c16="http://schemas.microsoft.com/office/drawing/2014/chart" uri="{C3380CC4-5D6E-409C-BE32-E72D297353CC}">
              <c16:uniqueId val="{00000001-A24B-4DB2-AB12-B90CAE33D080}"/>
            </c:ext>
          </c:extLst>
        </c:ser>
        <c:dLbls>
          <c:showLegendKey val="0"/>
          <c:showVal val="0"/>
          <c:showCatName val="0"/>
          <c:showSerName val="0"/>
          <c:showPercent val="0"/>
          <c:showBubbleSize val="0"/>
        </c:dLbls>
        <c:axId val="473331968"/>
        <c:axId val="473358336"/>
      </c:areaChart>
      <c:lineChart>
        <c:grouping val="standard"/>
        <c:varyColors val="0"/>
        <c:ser>
          <c:idx val="2"/>
          <c:order val="2"/>
          <c:tx>
            <c:strRef>
              <c:f>Sheet1!$E$2</c:f>
              <c:strCache>
                <c:ptCount val="1"/>
                <c:pt idx="0">
                  <c:v>Priemysel</c:v>
                </c:pt>
              </c:strCache>
            </c:strRef>
          </c:tx>
          <c:spPr>
            <a:ln>
              <a:solidFill>
                <a:srgbClr val="D15F27"/>
              </a:solidFill>
            </a:ln>
          </c:spPr>
          <c:marker>
            <c:symbol val="none"/>
          </c:marker>
          <c:cat>
            <c:numRef>
              <c:f>[1]Trzby!$BK$5:$GL$5</c:f>
              <c:numCache>
                <c:formatCode>General</c:formatCode>
                <c:ptCount val="1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numCache>
            </c:numRef>
          </c:cat>
          <c:val>
            <c:numRef>
              <c:f>Sheet1!$E$3:$E$93</c:f>
              <c:numCache>
                <c:formatCode>General</c:formatCode>
                <c:ptCount val="91"/>
                <c:pt idx="0">
                  <c:v>-8.068206726152638E-2</c:v>
                </c:pt>
                <c:pt idx="1">
                  <c:v>-7.3144671603563527E-2</c:v>
                </c:pt>
                <c:pt idx="2">
                  <c:v>-8.9896308481077214E-2</c:v>
                </c:pt>
                <c:pt idx="3">
                  <c:v>-0.1194418209600806</c:v>
                </c:pt>
                <c:pt idx="4">
                  <c:v>-0.12412173773410695</c:v>
                </c:pt>
                <c:pt idx="5">
                  <c:v>-0.11014146787058599</c:v>
                </c:pt>
                <c:pt idx="6">
                  <c:v>-0.17833028250162353</c:v>
                </c:pt>
                <c:pt idx="7">
                  <c:v>-0.14780863398253741</c:v>
                </c:pt>
                <c:pt idx="8">
                  <c:v>-0.13397935374134728</c:v>
                </c:pt>
                <c:pt idx="9">
                  <c:v>-0.13396988900921003</c:v>
                </c:pt>
                <c:pt idx="10">
                  <c:v>-7.5726457601447028E-2</c:v>
                </c:pt>
                <c:pt idx="11">
                  <c:v>-0.10726276029654835</c:v>
                </c:pt>
                <c:pt idx="12">
                  <c:v>-0.133588819772126</c:v>
                </c:pt>
                <c:pt idx="13">
                  <c:v>-0.13465181849838459</c:v>
                </c:pt>
                <c:pt idx="14">
                  <c:v>-0.11099469656457295</c:v>
                </c:pt>
                <c:pt idx="15">
                  <c:v>-9.4062987042953905E-2</c:v>
                </c:pt>
                <c:pt idx="16">
                  <c:v>-0.10398835347845559</c:v>
                </c:pt>
                <c:pt idx="17">
                  <c:v>-8.2745482515921842E-2</c:v>
                </c:pt>
                <c:pt idx="18">
                  <c:v>-4.0240203746660597E-2</c:v>
                </c:pt>
                <c:pt idx="19">
                  <c:v>-3.1981493930167249E-2</c:v>
                </c:pt>
                <c:pt idx="20">
                  <c:v>-3.4673577124759603E-2</c:v>
                </c:pt>
                <c:pt idx="21">
                  <c:v>-5.755339254196068E-2</c:v>
                </c:pt>
                <c:pt idx="22">
                  <c:v>-3.2345204872815891E-2</c:v>
                </c:pt>
                <c:pt idx="23">
                  <c:v>-1.134352706145203E-2</c:v>
                </c:pt>
                <c:pt idx="24">
                  <c:v>3.7231728743086556E-2</c:v>
                </c:pt>
                <c:pt idx="25">
                  <c:v>5.0090863403277064E-2</c:v>
                </c:pt>
                <c:pt idx="26">
                  <c:v>3.9251364395071375E-2</c:v>
                </c:pt>
                <c:pt idx="27">
                  <c:v>3.5856480480804365E-2</c:v>
                </c:pt>
                <c:pt idx="28">
                  <c:v>0.10220163772224278</c:v>
                </c:pt>
                <c:pt idx="29">
                  <c:v>0.15400629645997932</c:v>
                </c:pt>
                <c:pt idx="30">
                  <c:v>0.16802809447416589</c:v>
                </c:pt>
                <c:pt idx="31">
                  <c:v>0.13773732425607288</c:v>
                </c:pt>
                <c:pt idx="32">
                  <c:v>0.10934170447833735</c:v>
                </c:pt>
                <c:pt idx="33">
                  <c:v>0.17375901207904287</c:v>
                </c:pt>
                <c:pt idx="34">
                  <c:v>0.12514123937154009</c:v>
                </c:pt>
                <c:pt idx="35">
                  <c:v>0.11973310982217544</c:v>
                </c:pt>
                <c:pt idx="36">
                  <c:v>7.8057568930564258E-2</c:v>
                </c:pt>
                <c:pt idx="37">
                  <c:v>4.7957993131481302E-2</c:v>
                </c:pt>
                <c:pt idx="38">
                  <c:v>7.7808209907757497E-2</c:v>
                </c:pt>
                <c:pt idx="39">
                  <c:v>0.11020000758083071</c:v>
                </c:pt>
                <c:pt idx="40">
                  <c:v>6.8154807470957257E-2</c:v>
                </c:pt>
                <c:pt idx="41">
                  <c:v>4.1752502091426003E-2</c:v>
                </c:pt>
                <c:pt idx="42">
                  <c:v>3.3165212838279556E-2</c:v>
                </c:pt>
                <c:pt idx="43">
                  <c:v>4.8592455997868766E-2</c:v>
                </c:pt>
                <c:pt idx="44">
                  <c:v>6.7576849916633375E-2</c:v>
                </c:pt>
                <c:pt idx="45">
                  <c:v>4.9057478368355945E-2</c:v>
                </c:pt>
                <c:pt idx="46">
                  <c:v>5.1599284687401381E-2</c:v>
                </c:pt>
                <c:pt idx="47">
                  <c:v>5.8654625456893372E-2</c:v>
                </c:pt>
                <c:pt idx="48">
                  <c:v>0.14148357398455191</c:v>
                </c:pt>
                <c:pt idx="49">
                  <c:v>0.16890623881328826</c:v>
                </c:pt>
                <c:pt idx="50">
                  <c:v>0.12445618656672686</c:v>
                </c:pt>
                <c:pt idx="51">
                  <c:v>0.12512635027970354</c:v>
                </c:pt>
                <c:pt idx="52">
                  <c:v>0.1145076922336592</c:v>
                </c:pt>
                <c:pt idx="53">
                  <c:v>0.11195629912519078</c:v>
                </c:pt>
                <c:pt idx="54">
                  <c:v>0.15752118625906308</c:v>
                </c:pt>
                <c:pt idx="55">
                  <c:v>0.12638561419679739</c:v>
                </c:pt>
                <c:pt idx="56">
                  <c:v>0.14029207968434232</c:v>
                </c:pt>
                <c:pt idx="57">
                  <c:v>8.1538071982624194E-2</c:v>
                </c:pt>
                <c:pt idx="58">
                  <c:v>8.1666364349315179E-2</c:v>
                </c:pt>
                <c:pt idx="59">
                  <c:v>6.5669642541937412E-2</c:v>
                </c:pt>
                <c:pt idx="60">
                  <c:v>1.0500588652598841E-2</c:v>
                </c:pt>
                <c:pt idx="61">
                  <c:v>7.3159157825175569E-4</c:v>
                </c:pt>
                <c:pt idx="62">
                  <c:v>2.3780998901222317E-2</c:v>
                </c:pt>
                <c:pt idx="63">
                  <c:v>2.1866646559405511E-2</c:v>
                </c:pt>
                <c:pt idx="64">
                  <c:v>1.175659650848826E-2</c:v>
                </c:pt>
                <c:pt idx="65">
                  <c:v>1.5488501486320416E-2</c:v>
                </c:pt>
                <c:pt idx="66">
                  <c:v>-2.7061821695609556E-2</c:v>
                </c:pt>
                <c:pt idx="67">
                  <c:v>2.9975733061856635E-2</c:v>
                </c:pt>
                <c:pt idx="68">
                  <c:v>3.7791429312915792E-2</c:v>
                </c:pt>
                <c:pt idx="69">
                  <c:v>0.15295874518348684</c:v>
                </c:pt>
                <c:pt idx="70">
                  <c:v>0.15333242087338439</c:v>
                </c:pt>
                <c:pt idx="71">
                  <c:v>0.14438745457189928</c:v>
                </c:pt>
                <c:pt idx="72">
                  <c:v>0.14784891991574201</c:v>
                </c:pt>
                <c:pt idx="73">
                  <c:v>0.16149429853018948</c:v>
                </c:pt>
                <c:pt idx="74">
                  <c:v>0.11990241927713186</c:v>
                </c:pt>
                <c:pt idx="75">
                  <c:v>0.11058649132547638</c:v>
                </c:pt>
                <c:pt idx="76">
                  <c:v>0.13820009114311449</c:v>
                </c:pt>
                <c:pt idx="77">
                  <c:v>0.13442052665206727</c:v>
                </c:pt>
                <c:pt idx="78">
                  <c:v>0.13440732862952953</c:v>
                </c:pt>
                <c:pt idx="79">
                  <c:v>9.3982447094698163E-2</c:v>
                </c:pt>
                <c:pt idx="80">
                  <c:v>0.15800793253396139</c:v>
                </c:pt>
                <c:pt idx="81">
                  <c:v>4.0280866622063316E-2</c:v>
                </c:pt>
                <c:pt idx="82">
                  <c:v>2.8891172653977115E-2</c:v>
                </c:pt>
                <c:pt idx="83">
                  <c:v>2.3790704438529264E-2</c:v>
                </c:pt>
                <c:pt idx="84">
                  <c:v>2.0729630894498197E-2</c:v>
                </c:pt>
                <c:pt idx="85">
                  <c:v>1.9313455493090492E-2</c:v>
                </c:pt>
                <c:pt idx="86">
                  <c:v>8.5818013181458985E-2</c:v>
                </c:pt>
                <c:pt idx="87">
                  <c:v>9.8488030182678266E-2</c:v>
                </c:pt>
                <c:pt idx="88">
                  <c:v>8.9636436481903337E-2</c:v>
                </c:pt>
                <c:pt idx="89">
                  <c:v>8.9462958374961321E-2</c:v>
                </c:pt>
                <c:pt idx="90">
                  <c:v>7.8330093835399239E-2</c:v>
                </c:pt>
              </c:numCache>
            </c:numRef>
          </c:val>
          <c:smooth val="0"/>
          <c:extLst>
            <c:ext xmlns:c16="http://schemas.microsoft.com/office/drawing/2014/chart" uri="{C3380CC4-5D6E-409C-BE32-E72D297353CC}">
              <c16:uniqueId val="{00000002-A24B-4DB2-AB12-B90CAE33D080}"/>
            </c:ext>
          </c:extLst>
        </c:ser>
        <c:ser>
          <c:idx val="4"/>
          <c:order val="3"/>
          <c:tx>
            <c:strRef>
              <c:f>Sheet1!$F$2</c:f>
              <c:strCache>
                <c:ptCount val="1"/>
                <c:pt idx="0">
                  <c:v>Úvery podnikom</c:v>
                </c:pt>
              </c:strCache>
            </c:strRef>
          </c:tx>
          <c:spPr>
            <a:ln w="22225">
              <a:solidFill>
                <a:srgbClr val="0067AC"/>
              </a:solidFill>
            </a:ln>
          </c:spPr>
          <c:marker>
            <c:symbol val="none"/>
          </c:marker>
          <c:cat>
            <c:numRef>
              <c:f>[1]Trzby!$BK$5:$GL$5</c:f>
              <c:numCache>
                <c:formatCode>General</c:formatCode>
                <c:ptCount val="13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numCache>
            </c:numRef>
          </c:cat>
          <c:val>
            <c:numRef>
              <c:f>Sheet1!$F$3:$F$93</c:f>
              <c:numCache>
                <c:formatCode>General</c:formatCode>
                <c:ptCount val="91"/>
                <c:pt idx="0">
                  <c:v>-2.8503449487871646E-2</c:v>
                </c:pt>
                <c:pt idx="1">
                  <c:v>-3.0569779962724475E-2</c:v>
                </c:pt>
                <c:pt idx="2">
                  <c:v>-4.2630375949279431E-2</c:v>
                </c:pt>
                <c:pt idx="3">
                  <c:v>-5.5907578463838314E-2</c:v>
                </c:pt>
                <c:pt idx="4">
                  <c:v>-5.7936544819726099E-2</c:v>
                </c:pt>
                <c:pt idx="5">
                  <c:v>-3.4805282680001937E-2</c:v>
                </c:pt>
                <c:pt idx="6">
                  <c:v>-5.3706270428624192E-2</c:v>
                </c:pt>
                <c:pt idx="7">
                  <c:v>-3.6098700129647443E-2</c:v>
                </c:pt>
                <c:pt idx="8">
                  <c:v>-2.2182189819617948E-2</c:v>
                </c:pt>
                <c:pt idx="9">
                  <c:v>-2.2201019348931372E-2</c:v>
                </c:pt>
                <c:pt idx="10">
                  <c:v>-3.2424374655417032E-2</c:v>
                </c:pt>
                <c:pt idx="11">
                  <c:v>-2.5829602953646003E-2</c:v>
                </c:pt>
                <c:pt idx="12">
                  <c:v>-9.7224169613817635E-3</c:v>
                </c:pt>
                <c:pt idx="13">
                  <c:v>-1.0817767722219429E-2</c:v>
                </c:pt>
                <c:pt idx="14">
                  <c:v>7.0015718158100704E-4</c:v>
                </c:pt>
                <c:pt idx="15">
                  <c:v>6.551483196557184E-3</c:v>
                </c:pt>
                <c:pt idx="16">
                  <c:v>2.1809314782634814E-3</c:v>
                </c:pt>
                <c:pt idx="17">
                  <c:v>-3.1825830836491598E-3</c:v>
                </c:pt>
                <c:pt idx="18">
                  <c:v>1.5147928069361161E-2</c:v>
                </c:pt>
                <c:pt idx="19">
                  <c:v>2.5176398686530987E-2</c:v>
                </c:pt>
                <c:pt idx="20">
                  <c:v>5.3810259208377786E-3</c:v>
                </c:pt>
                <c:pt idx="21">
                  <c:v>1.6945885055499321E-3</c:v>
                </c:pt>
                <c:pt idx="22">
                  <c:v>1.8183032185533854E-2</c:v>
                </c:pt>
                <c:pt idx="23">
                  <c:v>-1.5281409348868458E-2</c:v>
                </c:pt>
                <c:pt idx="24">
                  <c:v>-1.9911624780097448E-2</c:v>
                </c:pt>
                <c:pt idx="25">
                  <c:v>-9.3129617395445452E-3</c:v>
                </c:pt>
                <c:pt idx="26">
                  <c:v>-7.7545225006337981E-3</c:v>
                </c:pt>
                <c:pt idx="27">
                  <c:v>-5.2496971328577224E-3</c:v>
                </c:pt>
                <c:pt idx="28">
                  <c:v>1.9636730092897681E-2</c:v>
                </c:pt>
                <c:pt idx="29">
                  <c:v>2.3228302290875691E-2</c:v>
                </c:pt>
                <c:pt idx="30">
                  <c:v>2.0885612239572193E-2</c:v>
                </c:pt>
                <c:pt idx="31">
                  <c:v>1.6614857442558639E-2</c:v>
                </c:pt>
                <c:pt idx="32">
                  <c:v>3.4457369999042253E-2</c:v>
                </c:pt>
                <c:pt idx="33">
                  <c:v>4.7678362012137709E-2</c:v>
                </c:pt>
                <c:pt idx="34">
                  <c:v>6.3350343998334946E-2</c:v>
                </c:pt>
                <c:pt idx="35">
                  <c:v>9.0095404978605353E-2</c:v>
                </c:pt>
                <c:pt idx="36">
                  <c:v>6.9596713728042214E-2</c:v>
                </c:pt>
                <c:pt idx="37">
                  <c:v>5.7860588023787685E-2</c:v>
                </c:pt>
                <c:pt idx="38">
                  <c:v>7.5258974339658335E-2</c:v>
                </c:pt>
                <c:pt idx="39">
                  <c:v>8.0488823572814727E-2</c:v>
                </c:pt>
                <c:pt idx="40">
                  <c:v>5.6901362820571011E-2</c:v>
                </c:pt>
                <c:pt idx="41">
                  <c:v>4.9211229235880394E-2</c:v>
                </c:pt>
                <c:pt idx="42">
                  <c:v>7.2235309259548686E-2</c:v>
                </c:pt>
                <c:pt idx="43">
                  <c:v>6.0834683826701985E-2</c:v>
                </c:pt>
                <c:pt idx="44">
                  <c:v>5.3404698689126784E-2</c:v>
                </c:pt>
                <c:pt idx="45">
                  <c:v>6.2567848934620418E-2</c:v>
                </c:pt>
                <c:pt idx="46">
                  <c:v>4.2685759503340082E-2</c:v>
                </c:pt>
                <c:pt idx="47">
                  <c:v>5.2823845923356982E-2</c:v>
                </c:pt>
                <c:pt idx="48">
                  <c:v>8.2946004868348133E-2</c:v>
                </c:pt>
                <c:pt idx="49">
                  <c:v>9.4282440870160134E-2</c:v>
                </c:pt>
                <c:pt idx="50">
                  <c:v>7.3822918962534123E-2</c:v>
                </c:pt>
                <c:pt idx="51">
                  <c:v>8.1234948288521736E-2</c:v>
                </c:pt>
                <c:pt idx="52">
                  <c:v>9.7905658311609578E-2</c:v>
                </c:pt>
                <c:pt idx="53">
                  <c:v>9.9610344844401011E-2</c:v>
                </c:pt>
                <c:pt idx="54">
                  <c:v>9.1098519802258693E-2</c:v>
                </c:pt>
                <c:pt idx="55">
                  <c:v>9.5227930340306743E-2</c:v>
                </c:pt>
                <c:pt idx="56">
                  <c:v>9.2248382117669392E-2</c:v>
                </c:pt>
                <c:pt idx="57">
                  <c:v>7.1998683323097667E-2</c:v>
                </c:pt>
                <c:pt idx="58">
                  <c:v>6.8805120663681718E-2</c:v>
                </c:pt>
                <c:pt idx="59">
                  <c:v>6.7374058534435566E-2</c:v>
                </c:pt>
                <c:pt idx="60">
                  <c:v>5.1968766435464664E-2</c:v>
                </c:pt>
                <c:pt idx="61">
                  <c:v>4.9420863601562948E-2</c:v>
                </c:pt>
                <c:pt idx="62">
                  <c:v>5.6683322840568762E-2</c:v>
                </c:pt>
                <c:pt idx="63">
                  <c:v>4.8564101075408317E-2</c:v>
                </c:pt>
                <c:pt idx="64">
                  <c:v>4.1690623587328002E-2</c:v>
                </c:pt>
                <c:pt idx="65">
                  <c:v>5.4012606531421925E-2</c:v>
                </c:pt>
                <c:pt idx="66">
                  <c:v>4.3485280799956172E-2</c:v>
                </c:pt>
                <c:pt idx="67">
                  <c:v>4.9490108448648762E-2</c:v>
                </c:pt>
                <c:pt idx="68">
                  <c:v>4.6778548297419009E-2</c:v>
                </c:pt>
                <c:pt idx="69">
                  <c:v>6.0079894663766176E-2</c:v>
                </c:pt>
                <c:pt idx="70">
                  <c:v>5.5951117121580296E-2</c:v>
                </c:pt>
                <c:pt idx="71">
                  <c:v>5.1437253930963323E-2</c:v>
                </c:pt>
                <c:pt idx="72">
                  <c:v>5.1139083623193526E-2</c:v>
                </c:pt>
                <c:pt idx="73">
                  <c:v>5.0083319033961793E-2</c:v>
                </c:pt>
                <c:pt idx="74">
                  <c:v>4.7918413508482249E-2</c:v>
                </c:pt>
                <c:pt idx="75">
                  <c:v>4.8389471152741059E-2</c:v>
                </c:pt>
                <c:pt idx="76">
                  <c:v>4.8911245487126331E-2</c:v>
                </c:pt>
                <c:pt idx="77">
                  <c:v>3.5293222825873993E-2</c:v>
                </c:pt>
                <c:pt idx="78">
                  <c:v>3.2983424827695007E-2</c:v>
                </c:pt>
                <c:pt idx="79">
                  <c:v>3.847777615781145E-2</c:v>
                </c:pt>
                <c:pt idx="80">
                  <c:v>5.762182088545087E-2</c:v>
                </c:pt>
                <c:pt idx="81">
                  <c:v>3.4575886521194699E-2</c:v>
                </c:pt>
                <c:pt idx="82">
                  <c:v>3.4720143495096556E-2</c:v>
                </c:pt>
                <c:pt idx="83">
                  <c:v>3.5511732668349838E-2</c:v>
                </c:pt>
                <c:pt idx="84">
                  <c:v>2.3151326139525752E-2</c:v>
                </c:pt>
                <c:pt idx="85">
                  <c:v>3.018199739119698E-2</c:v>
                </c:pt>
                <c:pt idx="86">
                  <c:v>3.7129606313322849E-2</c:v>
                </c:pt>
                <c:pt idx="87">
                  <c:v>3.4825416195536141E-2</c:v>
                </c:pt>
                <c:pt idx="88">
                  <c:v>3.4647945031616612E-2</c:v>
                </c:pt>
                <c:pt idx="89">
                  <c:v>3.7975956896031171E-2</c:v>
                </c:pt>
                <c:pt idx="90">
                  <c:v>4.4632980669253142E-2</c:v>
                </c:pt>
              </c:numCache>
            </c:numRef>
          </c:val>
          <c:smooth val="0"/>
          <c:extLst>
            <c:ext xmlns:c16="http://schemas.microsoft.com/office/drawing/2014/chart" uri="{C3380CC4-5D6E-409C-BE32-E72D297353CC}">
              <c16:uniqueId val="{00000003-A24B-4DB2-AB12-B90CAE33D080}"/>
            </c:ext>
          </c:extLst>
        </c:ser>
        <c:dLbls>
          <c:showLegendKey val="0"/>
          <c:showVal val="0"/>
          <c:showCatName val="0"/>
          <c:showSerName val="0"/>
          <c:showPercent val="0"/>
          <c:showBubbleSize val="0"/>
        </c:dLbls>
        <c:marker val="1"/>
        <c:smooth val="0"/>
        <c:axId val="473331968"/>
        <c:axId val="473358336"/>
      </c:lineChart>
      <c:dateAx>
        <c:axId val="473331968"/>
        <c:scaling>
          <c:orientation val="minMax"/>
          <c:min val="41275"/>
        </c:scaling>
        <c:delete val="0"/>
        <c:axPos val="b"/>
        <c:numFmt formatCode="mm\/yy" sourceLinked="0"/>
        <c:majorTickMark val="out"/>
        <c:minorTickMark val="none"/>
        <c:tickLblPos val="low"/>
        <c:txPr>
          <a:bodyPr rot="-5400000"/>
          <a:lstStyle/>
          <a:p>
            <a:pPr algn="ctr">
              <a:defRPr/>
            </a:pPr>
            <a:endParaRPr lang="sk-SK"/>
          </a:p>
        </c:txPr>
        <c:crossAx val="473358336"/>
        <c:crosses val="autoZero"/>
        <c:auto val="1"/>
        <c:lblOffset val="100"/>
        <c:baseTimeUnit val="months"/>
        <c:majorUnit val="3"/>
        <c:majorTimeUnit val="months"/>
        <c:minorUnit val="3"/>
        <c:minorTimeUnit val="months"/>
      </c:dateAx>
      <c:valAx>
        <c:axId val="473358336"/>
        <c:scaling>
          <c:orientation val="minMax"/>
          <c:min val="-0.25"/>
        </c:scaling>
        <c:delete val="0"/>
        <c:axPos val="l"/>
        <c:numFmt formatCode="0%" sourceLinked="0"/>
        <c:majorTickMark val="out"/>
        <c:minorTickMark val="none"/>
        <c:tickLblPos val="nextTo"/>
        <c:crossAx val="473331968"/>
        <c:crosses val="autoZero"/>
        <c:crossBetween val="between"/>
        <c:majorUnit val="0.1"/>
        <c:minorUnit val="4.0000000000000008E-2"/>
      </c:valAx>
      <c:spPr>
        <a:noFill/>
      </c:spPr>
    </c:plotArea>
    <c:legend>
      <c:legendPos val="r"/>
      <c:legendEntry>
        <c:idx val="1"/>
        <c:delete val="1"/>
      </c:legendEntry>
      <c:layout>
        <c:manualLayout>
          <c:xMode val="edge"/>
          <c:yMode val="edge"/>
          <c:x val="0.45238655978813458"/>
          <c:y val="0.61059146907415929"/>
          <c:w val="0.54761344021186542"/>
          <c:h val="0.20519576366122821"/>
        </c:manualLayout>
      </c:layout>
      <c:overlay val="0"/>
      <c:txPr>
        <a:bodyPr/>
        <a:lstStyle/>
        <a:p>
          <a:pPr algn="ctr">
            <a:defRPr/>
          </a:pPr>
          <a:endParaRPr lang="sk-SK"/>
        </a:p>
      </c:txPr>
    </c:legend>
    <c:plotVisOnly val="1"/>
    <c:dispBlanksAs val="gap"/>
    <c:showDLblsOverMax val="0"/>
  </c:chart>
  <c:spPr>
    <a:ln>
      <a:noFill/>
    </a:ln>
  </c:spPr>
  <c:txPr>
    <a:bodyPr/>
    <a:lstStyle/>
    <a:p>
      <a:pPr>
        <a:defRPr sz="800">
          <a:latin typeface="Verdana" panose="020B0604030504040204" pitchFamily="34" charset="0"/>
          <a:ea typeface="Verdana" panose="020B0604030504040204" pitchFamily="34" charset="0"/>
        </a:defRPr>
      </a:pPr>
      <a:endParaRPr lang="sk-SK"/>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8114610673665"/>
          <c:y val="2.5428331875182269E-2"/>
          <c:w val="0.8722521872265967"/>
          <c:h val="0.71310281029212086"/>
        </c:manualLayout>
      </c:layout>
      <c:barChart>
        <c:barDir val="col"/>
        <c:grouping val="stacked"/>
        <c:varyColors val="0"/>
        <c:ser>
          <c:idx val="1"/>
          <c:order val="1"/>
          <c:tx>
            <c:strRef>
              <c:f>Sheet2!$C$3</c:f>
              <c:strCache>
                <c:ptCount val="1"/>
                <c:pt idx="0">
                  <c:v>Zmena rastu úverov  (2019/12 - 2020/07)</c:v>
                </c:pt>
              </c:strCache>
            </c:strRef>
          </c:tx>
          <c:spPr>
            <a:solidFill>
              <a:schemeClr val="accent2"/>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A05F-412E-9A6F-66C0BDA7DD30}"/>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A05F-412E-9A6F-66C0BDA7DD3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A05F-412E-9A6F-66C0BDA7DD30}"/>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7-A05F-412E-9A6F-66C0BDA7DD30}"/>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9-A05F-412E-9A6F-66C0BDA7DD30}"/>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B-A05F-412E-9A6F-66C0BDA7DD30}"/>
              </c:ext>
            </c:extLst>
          </c:dPt>
          <c:dPt>
            <c:idx val="7"/>
            <c:invertIfNegative val="0"/>
            <c:bubble3D val="0"/>
            <c:spPr>
              <a:solidFill>
                <a:schemeClr val="accent4"/>
              </a:solidFill>
              <a:ln>
                <a:noFill/>
              </a:ln>
              <a:effectLst/>
            </c:spPr>
            <c:extLst>
              <c:ext xmlns:c16="http://schemas.microsoft.com/office/drawing/2014/chart" uri="{C3380CC4-5D6E-409C-BE32-E72D297353CC}">
                <c16:uniqueId val="{0000000D-A05F-412E-9A6F-66C0BDA7DD30}"/>
              </c:ext>
            </c:extLst>
          </c:dPt>
          <c:dPt>
            <c:idx val="8"/>
            <c:invertIfNegative val="0"/>
            <c:bubble3D val="0"/>
            <c:spPr>
              <a:solidFill>
                <a:schemeClr val="accent4"/>
              </a:solidFill>
              <a:ln>
                <a:noFill/>
              </a:ln>
              <a:effectLst/>
            </c:spPr>
            <c:extLst>
              <c:ext xmlns:c16="http://schemas.microsoft.com/office/drawing/2014/chart" uri="{C3380CC4-5D6E-409C-BE32-E72D297353CC}">
                <c16:uniqueId val="{0000000F-A05F-412E-9A6F-66C0BDA7DD30}"/>
              </c:ext>
            </c:extLst>
          </c:dPt>
          <c:dPt>
            <c:idx val="11"/>
            <c:invertIfNegative val="0"/>
            <c:bubble3D val="0"/>
            <c:spPr>
              <a:solidFill>
                <a:schemeClr val="accent4"/>
              </a:solidFill>
              <a:ln>
                <a:noFill/>
              </a:ln>
              <a:effectLst/>
            </c:spPr>
            <c:extLst>
              <c:ext xmlns:c16="http://schemas.microsoft.com/office/drawing/2014/chart" uri="{C3380CC4-5D6E-409C-BE32-E72D297353CC}">
                <c16:uniqueId val="{00000011-A05F-412E-9A6F-66C0BDA7DD30}"/>
              </c:ext>
            </c:extLst>
          </c:dPt>
          <c:dPt>
            <c:idx val="16"/>
            <c:invertIfNegative val="0"/>
            <c:bubble3D val="0"/>
            <c:spPr>
              <a:solidFill>
                <a:schemeClr val="accent4"/>
              </a:solidFill>
              <a:ln>
                <a:noFill/>
              </a:ln>
              <a:effectLst/>
            </c:spPr>
            <c:extLst>
              <c:ext xmlns:c16="http://schemas.microsoft.com/office/drawing/2014/chart" uri="{C3380CC4-5D6E-409C-BE32-E72D297353CC}">
                <c16:uniqueId val="{00000013-A05F-412E-9A6F-66C0BDA7DD30}"/>
              </c:ext>
            </c:extLst>
          </c:dPt>
          <c:dPt>
            <c:idx val="21"/>
            <c:invertIfNegative val="0"/>
            <c:bubble3D val="0"/>
            <c:spPr>
              <a:solidFill>
                <a:schemeClr val="accent4"/>
              </a:solidFill>
              <a:ln>
                <a:noFill/>
              </a:ln>
              <a:effectLst/>
            </c:spPr>
            <c:extLst>
              <c:ext xmlns:c16="http://schemas.microsoft.com/office/drawing/2014/chart" uri="{C3380CC4-5D6E-409C-BE32-E72D297353CC}">
                <c16:uniqueId val="{00000015-A05F-412E-9A6F-66C0BDA7DD30}"/>
              </c:ext>
            </c:extLst>
          </c:dPt>
          <c:cat>
            <c:strRef>
              <c:f>Sheet2!$A$4:$A$31</c:f>
              <c:strCache>
                <c:ptCount val="28"/>
                <c:pt idx="0">
                  <c:v>Litva</c:v>
                </c:pt>
                <c:pt idx="1">
                  <c:v>Maďarsko</c:v>
                </c:pt>
                <c:pt idx="2">
                  <c:v>Poľsko</c:v>
                </c:pt>
                <c:pt idx="3">
                  <c:v>Belgicko</c:v>
                </c:pt>
                <c:pt idx="4">
                  <c:v>Bulharsko</c:v>
                </c:pt>
                <c:pt idx="5">
                  <c:v>Malta</c:v>
                </c:pt>
                <c:pt idx="6">
                  <c:v>Rumunsko</c:v>
                </c:pt>
                <c:pt idx="7">
                  <c:v>Slovinsko</c:v>
                </c:pt>
                <c:pt idx="8">
                  <c:v>Česko</c:v>
                </c:pt>
                <c:pt idx="9">
                  <c:v>Írsko</c:v>
                </c:pt>
                <c:pt idx="10">
                  <c:v>Dánsko</c:v>
                </c:pt>
                <c:pt idx="11">
                  <c:v>Lotyšsko</c:v>
                </c:pt>
                <c:pt idx="12">
                  <c:v>Rakúsko</c:v>
                </c:pt>
                <c:pt idx="13">
                  <c:v>Estónsko</c:v>
                </c:pt>
                <c:pt idx="14">
                  <c:v>Nemecko</c:v>
                </c:pt>
                <c:pt idx="15">
                  <c:v>Luxembursko</c:v>
                </c:pt>
                <c:pt idx="16">
                  <c:v>Slovensko</c:v>
                </c:pt>
                <c:pt idx="17">
                  <c:v>Cyprus</c:v>
                </c:pt>
                <c:pt idx="18">
                  <c:v>Holandsko</c:v>
                </c:pt>
                <c:pt idx="19">
                  <c:v>Švédsko</c:v>
                </c:pt>
                <c:pt idx="20">
                  <c:v>Fínsko</c:v>
                </c:pt>
                <c:pt idx="21">
                  <c:v>Chorvátsko</c:v>
                </c:pt>
                <c:pt idx="22">
                  <c:v>Grécko</c:v>
                </c:pt>
                <c:pt idx="23">
                  <c:v>Portugalsko</c:v>
                </c:pt>
                <c:pt idx="24">
                  <c:v>Spoj. kráľovstvo</c:v>
                </c:pt>
                <c:pt idx="25">
                  <c:v>Francúzsko</c:v>
                </c:pt>
                <c:pt idx="26">
                  <c:v>Taliansko</c:v>
                </c:pt>
                <c:pt idx="27">
                  <c:v>Španielsko</c:v>
                </c:pt>
              </c:strCache>
            </c:strRef>
          </c:cat>
          <c:val>
            <c:numRef>
              <c:f>Sheet2!$C$4:$C$31</c:f>
              <c:numCache>
                <c:formatCode>General</c:formatCode>
                <c:ptCount val="28"/>
                <c:pt idx="0">
                  <c:v>-8.5000000000000006E-2</c:v>
                </c:pt>
                <c:pt idx="1">
                  <c:v>-6.8000000000000005E-2</c:v>
                </c:pt>
                <c:pt idx="2">
                  <c:v>-5.5999999999999994E-2</c:v>
                </c:pt>
                <c:pt idx="3">
                  <c:v>-5.4000000000000006E-2</c:v>
                </c:pt>
                <c:pt idx="4">
                  <c:v>-4.4999999999999998E-2</c:v>
                </c:pt>
                <c:pt idx="5">
                  <c:v>-2.4000000000000004E-2</c:v>
                </c:pt>
                <c:pt idx="6">
                  <c:v>-0.02</c:v>
                </c:pt>
                <c:pt idx="7">
                  <c:v>-1.9999999999999997E-2</c:v>
                </c:pt>
                <c:pt idx="8">
                  <c:v>-1.2999999999999998E-2</c:v>
                </c:pt>
                <c:pt idx="9">
                  <c:v>-1.2999999999999998E-2</c:v>
                </c:pt>
                <c:pt idx="10">
                  <c:v>-6.000000000000001E-3</c:v>
                </c:pt>
                <c:pt idx="11">
                  <c:v>-5.0000000000000001E-3</c:v>
                </c:pt>
                <c:pt idx="12">
                  <c:v>-3.9999999999999949E-3</c:v>
                </c:pt>
                <c:pt idx="13">
                  <c:v>0</c:v>
                </c:pt>
                <c:pt idx="14">
                  <c:v>9.9999999999999655E-4</c:v>
                </c:pt>
                <c:pt idx="15">
                  <c:v>7.9999999999999984E-3</c:v>
                </c:pt>
                <c:pt idx="16">
                  <c:v>0.01</c:v>
                </c:pt>
                <c:pt idx="17">
                  <c:v>1.4000000000000004E-2</c:v>
                </c:pt>
                <c:pt idx="18">
                  <c:v>2.2000000000000002E-2</c:v>
                </c:pt>
                <c:pt idx="19">
                  <c:v>2.3000000000000003E-2</c:v>
                </c:pt>
                <c:pt idx="20">
                  <c:v>3.6999999999999991E-2</c:v>
                </c:pt>
                <c:pt idx="21">
                  <c:v>4.300000000000001E-2</c:v>
                </c:pt>
                <c:pt idx="22">
                  <c:v>4.6000000000000006E-2</c:v>
                </c:pt>
                <c:pt idx="23">
                  <c:v>6.8000000000000005E-2</c:v>
                </c:pt>
                <c:pt idx="24">
                  <c:v>7.1000000000000008E-2</c:v>
                </c:pt>
                <c:pt idx="25">
                  <c:v>7.6999999999999999E-2</c:v>
                </c:pt>
                <c:pt idx="26">
                  <c:v>0.08</c:v>
                </c:pt>
                <c:pt idx="27">
                  <c:v>9.1000000000000011E-2</c:v>
                </c:pt>
              </c:numCache>
            </c:numRef>
          </c:val>
          <c:extLst>
            <c:ext xmlns:c16="http://schemas.microsoft.com/office/drawing/2014/chart" uri="{C3380CC4-5D6E-409C-BE32-E72D297353CC}">
              <c16:uniqueId val="{00000016-A05F-412E-9A6F-66C0BDA7DD30}"/>
            </c:ext>
          </c:extLst>
        </c:ser>
        <c:ser>
          <c:idx val="2"/>
          <c:order val="2"/>
          <c:tx>
            <c:strRef>
              <c:f>Sheet2!$D$3</c:f>
              <c:strCache>
                <c:ptCount val="1"/>
                <c:pt idx="0">
                  <c:v>Zmena rastu úverov CEE  (2019/12 - 2020/07)</c:v>
                </c:pt>
              </c:strCache>
            </c:strRef>
          </c:tx>
          <c:spPr>
            <a:solidFill>
              <a:schemeClr val="accent4"/>
            </a:solidFill>
            <a:ln>
              <a:noFill/>
            </a:ln>
            <a:effectLst/>
          </c:spPr>
          <c:invertIfNegative val="0"/>
          <c:cat>
            <c:strRef>
              <c:f>Sheet2!$A$4:$A$31</c:f>
              <c:strCache>
                <c:ptCount val="28"/>
                <c:pt idx="0">
                  <c:v>Litva</c:v>
                </c:pt>
                <c:pt idx="1">
                  <c:v>Maďarsko</c:v>
                </c:pt>
                <c:pt idx="2">
                  <c:v>Poľsko</c:v>
                </c:pt>
                <c:pt idx="3">
                  <c:v>Belgicko</c:v>
                </c:pt>
                <c:pt idx="4">
                  <c:v>Bulharsko</c:v>
                </c:pt>
                <c:pt idx="5">
                  <c:v>Malta</c:v>
                </c:pt>
                <c:pt idx="6">
                  <c:v>Rumunsko</c:v>
                </c:pt>
                <c:pt idx="7">
                  <c:v>Slovinsko</c:v>
                </c:pt>
                <c:pt idx="8">
                  <c:v>Česko</c:v>
                </c:pt>
                <c:pt idx="9">
                  <c:v>Írsko</c:v>
                </c:pt>
                <c:pt idx="10">
                  <c:v>Dánsko</c:v>
                </c:pt>
                <c:pt idx="11">
                  <c:v>Lotyšsko</c:v>
                </c:pt>
                <c:pt idx="12">
                  <c:v>Rakúsko</c:v>
                </c:pt>
                <c:pt idx="13">
                  <c:v>Estónsko</c:v>
                </c:pt>
                <c:pt idx="14">
                  <c:v>Nemecko</c:v>
                </c:pt>
                <c:pt idx="15">
                  <c:v>Luxembursko</c:v>
                </c:pt>
                <c:pt idx="16">
                  <c:v>Slovensko</c:v>
                </c:pt>
                <c:pt idx="17">
                  <c:v>Cyprus</c:v>
                </c:pt>
                <c:pt idx="18">
                  <c:v>Holandsko</c:v>
                </c:pt>
                <c:pt idx="19">
                  <c:v>Švédsko</c:v>
                </c:pt>
                <c:pt idx="20">
                  <c:v>Fínsko</c:v>
                </c:pt>
                <c:pt idx="21">
                  <c:v>Chorvátsko</c:v>
                </c:pt>
                <c:pt idx="22">
                  <c:v>Grécko</c:v>
                </c:pt>
                <c:pt idx="23">
                  <c:v>Portugalsko</c:v>
                </c:pt>
                <c:pt idx="24">
                  <c:v>Spoj. kráľovstvo</c:v>
                </c:pt>
                <c:pt idx="25">
                  <c:v>Francúzsko</c:v>
                </c:pt>
                <c:pt idx="26">
                  <c:v>Taliansko</c:v>
                </c:pt>
                <c:pt idx="27">
                  <c:v>Španielsko</c:v>
                </c:pt>
              </c:strCache>
            </c:strRef>
          </c:cat>
          <c:val>
            <c:numRef>
              <c:f>Sheet2!$D$4:$D$31</c:f>
              <c:numCache>
                <c:formatCode>General</c:formatCode>
                <c:ptCount val="28"/>
              </c:numCache>
            </c:numRef>
          </c:val>
          <c:extLst>
            <c:ext xmlns:c16="http://schemas.microsoft.com/office/drawing/2014/chart" uri="{C3380CC4-5D6E-409C-BE32-E72D297353CC}">
              <c16:uniqueId val="{00000017-A05F-412E-9A6F-66C0BDA7DD30}"/>
            </c:ext>
          </c:extLst>
        </c:ser>
        <c:dLbls>
          <c:showLegendKey val="0"/>
          <c:showVal val="0"/>
          <c:showCatName val="0"/>
          <c:showSerName val="0"/>
          <c:showPercent val="0"/>
          <c:showBubbleSize val="0"/>
        </c:dLbls>
        <c:gapWidth val="100"/>
        <c:overlap val="100"/>
        <c:axId val="307826287"/>
        <c:axId val="68273247"/>
      </c:barChart>
      <c:scatterChart>
        <c:scatterStyle val="lineMarker"/>
        <c:varyColors val="0"/>
        <c:ser>
          <c:idx val="0"/>
          <c:order val="0"/>
          <c:tx>
            <c:strRef>
              <c:f>Sheet2!$B$3</c:f>
              <c:strCache>
                <c:ptCount val="1"/>
                <c:pt idx="0">
                  <c:v>Rast úverov - 2020/07</c:v>
                </c:pt>
              </c:strCache>
            </c:strRef>
          </c:tx>
          <c:spPr>
            <a:ln w="25400" cap="rnd">
              <a:noFill/>
              <a:round/>
            </a:ln>
            <a:effectLst/>
          </c:spPr>
          <c:marker>
            <c:symbol val="diamond"/>
            <c:size val="7"/>
            <c:spPr>
              <a:solidFill>
                <a:schemeClr val="accent1"/>
              </a:solidFill>
              <a:ln w="9525">
                <a:noFill/>
              </a:ln>
              <a:effectLst/>
            </c:spPr>
          </c:marker>
          <c:xVal>
            <c:strRef>
              <c:f>Sheet2!$A$4:$A$31</c:f>
              <c:strCache>
                <c:ptCount val="28"/>
                <c:pt idx="0">
                  <c:v>Litva</c:v>
                </c:pt>
                <c:pt idx="1">
                  <c:v>Maďarsko</c:v>
                </c:pt>
                <c:pt idx="2">
                  <c:v>Poľsko</c:v>
                </c:pt>
                <c:pt idx="3">
                  <c:v>Belgicko</c:v>
                </c:pt>
                <c:pt idx="4">
                  <c:v>Bulharsko</c:v>
                </c:pt>
                <c:pt idx="5">
                  <c:v>Malta</c:v>
                </c:pt>
                <c:pt idx="6">
                  <c:v>Rumunsko</c:v>
                </c:pt>
                <c:pt idx="7">
                  <c:v>Slovinsko</c:v>
                </c:pt>
                <c:pt idx="8">
                  <c:v>Česko</c:v>
                </c:pt>
                <c:pt idx="9">
                  <c:v>Írsko</c:v>
                </c:pt>
                <c:pt idx="10">
                  <c:v>Dánsko</c:v>
                </c:pt>
                <c:pt idx="11">
                  <c:v>Lotyšsko</c:v>
                </c:pt>
                <c:pt idx="12">
                  <c:v>Rakúsko</c:v>
                </c:pt>
                <c:pt idx="13">
                  <c:v>Estónsko</c:v>
                </c:pt>
                <c:pt idx="14">
                  <c:v>Nemecko</c:v>
                </c:pt>
                <c:pt idx="15">
                  <c:v>Luxembursko</c:v>
                </c:pt>
                <c:pt idx="16">
                  <c:v>Slovensko</c:v>
                </c:pt>
                <c:pt idx="17">
                  <c:v>Cyprus</c:v>
                </c:pt>
                <c:pt idx="18">
                  <c:v>Holandsko</c:v>
                </c:pt>
                <c:pt idx="19">
                  <c:v>Švédsko</c:v>
                </c:pt>
                <c:pt idx="20">
                  <c:v>Fínsko</c:v>
                </c:pt>
                <c:pt idx="21">
                  <c:v>Chorvátsko</c:v>
                </c:pt>
                <c:pt idx="22">
                  <c:v>Grécko</c:v>
                </c:pt>
                <c:pt idx="23">
                  <c:v>Portugalsko</c:v>
                </c:pt>
                <c:pt idx="24">
                  <c:v>Spoj. kráľovstvo</c:v>
                </c:pt>
                <c:pt idx="25">
                  <c:v>Francúzsko</c:v>
                </c:pt>
                <c:pt idx="26">
                  <c:v>Taliansko</c:v>
                </c:pt>
                <c:pt idx="27">
                  <c:v>Španielsko</c:v>
                </c:pt>
              </c:strCache>
            </c:strRef>
          </c:xVal>
          <c:yVal>
            <c:numRef>
              <c:f>Sheet2!$B$4:$B$31</c:f>
              <c:numCache>
                <c:formatCode>General</c:formatCode>
                <c:ptCount val="28"/>
                <c:pt idx="0">
                  <c:v>-9.3000000000000013E-2</c:v>
                </c:pt>
                <c:pt idx="1">
                  <c:v>7.2999999999999995E-2</c:v>
                </c:pt>
                <c:pt idx="2">
                  <c:v>-2.7999999999999997E-2</c:v>
                </c:pt>
                <c:pt idx="3">
                  <c:v>6.0000000000000001E-3</c:v>
                </c:pt>
                <c:pt idx="4">
                  <c:v>3.1E-2</c:v>
                </c:pt>
                <c:pt idx="5">
                  <c:v>0.04</c:v>
                </c:pt>
                <c:pt idx="6">
                  <c:v>2.2000000000000002E-2</c:v>
                </c:pt>
                <c:pt idx="7">
                  <c:v>8.0000000000000002E-3</c:v>
                </c:pt>
                <c:pt idx="8">
                  <c:v>2.5000000000000001E-2</c:v>
                </c:pt>
                <c:pt idx="9">
                  <c:v>-5.5999999999999994E-2</c:v>
                </c:pt>
                <c:pt idx="10">
                  <c:v>2.6000000000000002E-2</c:v>
                </c:pt>
                <c:pt idx="11">
                  <c:v>-1.3000000000000001E-2</c:v>
                </c:pt>
                <c:pt idx="12">
                  <c:v>5.9000000000000004E-2</c:v>
                </c:pt>
                <c:pt idx="13">
                  <c:v>0</c:v>
                </c:pt>
                <c:pt idx="14">
                  <c:v>0.06</c:v>
                </c:pt>
                <c:pt idx="15">
                  <c:v>7.2999999999999995E-2</c:v>
                </c:pt>
                <c:pt idx="16">
                  <c:v>5.4000000000000006E-2</c:v>
                </c:pt>
                <c:pt idx="17">
                  <c:v>-3.5000000000000003E-2</c:v>
                </c:pt>
                <c:pt idx="18">
                  <c:v>-8.0000000000000002E-3</c:v>
                </c:pt>
                <c:pt idx="19">
                  <c:v>5.9000000000000004E-2</c:v>
                </c:pt>
                <c:pt idx="20">
                  <c:v>0.107</c:v>
                </c:pt>
                <c:pt idx="21">
                  <c:v>6.2E-2</c:v>
                </c:pt>
                <c:pt idx="22">
                  <c:v>6.4000000000000001E-2</c:v>
                </c:pt>
                <c:pt idx="23">
                  <c:v>7.2000000000000008E-2</c:v>
                </c:pt>
                <c:pt idx="24">
                  <c:v>9.8000000000000004E-2</c:v>
                </c:pt>
                <c:pt idx="25">
                  <c:v>0.126</c:v>
                </c:pt>
                <c:pt idx="26">
                  <c:v>2.6000000000000002E-2</c:v>
                </c:pt>
                <c:pt idx="27">
                  <c:v>8.3000000000000004E-2</c:v>
                </c:pt>
              </c:numCache>
            </c:numRef>
          </c:yVal>
          <c:smooth val="0"/>
          <c:extLst>
            <c:ext xmlns:c16="http://schemas.microsoft.com/office/drawing/2014/chart" uri="{C3380CC4-5D6E-409C-BE32-E72D297353CC}">
              <c16:uniqueId val="{00000018-A05F-412E-9A6F-66C0BDA7DD30}"/>
            </c:ext>
          </c:extLst>
        </c:ser>
        <c:dLbls>
          <c:showLegendKey val="0"/>
          <c:showVal val="0"/>
          <c:showCatName val="0"/>
          <c:showSerName val="0"/>
          <c:showPercent val="0"/>
          <c:showBubbleSize val="0"/>
        </c:dLbls>
        <c:axId val="307826287"/>
        <c:axId val="68273247"/>
      </c:scatterChart>
      <c:catAx>
        <c:axId val="30782628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crossAx val="68273247"/>
        <c:crosses val="autoZero"/>
        <c:auto val="1"/>
        <c:lblAlgn val="ctr"/>
        <c:lblOffset val="100"/>
        <c:noMultiLvlLbl val="0"/>
      </c:catAx>
      <c:valAx>
        <c:axId val="6827324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crossAx val="307826287"/>
        <c:crosses val="autoZero"/>
        <c:crossBetween val="between"/>
      </c:valAx>
      <c:spPr>
        <a:noFill/>
        <a:ln>
          <a:noFill/>
        </a:ln>
        <a:effectLst/>
      </c:spPr>
    </c:plotArea>
    <c:legend>
      <c:legendPos val="b"/>
      <c:layout>
        <c:manualLayout>
          <c:xMode val="edge"/>
          <c:yMode val="edge"/>
          <c:x val="0.24019272735975702"/>
          <c:y val="0.49683615557306809"/>
          <c:w val="0.68670816534780343"/>
          <c:h val="0.218558571684006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defRPr>
      </a:pPr>
      <a:endParaRPr lang="sk-SK"/>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55626391499263E-2"/>
          <c:y val="4.7008547008547008E-2"/>
          <c:w val="0.49699407471957802"/>
          <c:h val="0.86293424860353996"/>
        </c:manualLayout>
      </c:layout>
      <c:barChart>
        <c:barDir val="bar"/>
        <c:grouping val="clustered"/>
        <c:varyColors val="0"/>
        <c:ser>
          <c:idx val="1"/>
          <c:order val="0"/>
          <c:tx>
            <c:strRef>
              <c:f>Sheet2!$C$3</c:f>
              <c:strCache>
                <c:ptCount val="1"/>
                <c:pt idx="0">
                  <c:v>Mikropodniky</c:v>
                </c:pt>
              </c:strCache>
            </c:strRef>
          </c:tx>
          <c:spPr>
            <a:solidFill>
              <a:schemeClr val="accent2"/>
            </a:solidFill>
            <a:ln>
              <a:noFill/>
            </a:ln>
            <a:effectLst/>
          </c:spPr>
          <c:invertIfNegative val="0"/>
          <c:cat>
            <c:strRef>
              <c:f>Sheet2!$A$4:$A$22</c:f>
              <c:strCache>
                <c:ptCount val="19"/>
                <c:pt idx="0">
                  <c:v>POĽNOHOSPODÁRSTVO</c:v>
                </c:pt>
                <c:pt idx="1">
                  <c:v>ŤAŽBA A DOBÝVANIE</c:v>
                </c:pt>
                <c:pt idx="2">
                  <c:v>PRIEMYSELNÁ VÝROBA</c:v>
                </c:pt>
                <c:pt idx="3">
                  <c:v>DODÁVKA ENERGIÍ</c:v>
                </c:pt>
                <c:pt idx="4">
                  <c:v>DODÁVKA VODY</c:v>
                </c:pt>
                <c:pt idx="5">
                  <c:v>STAVEBNÍCTVO</c:v>
                </c:pt>
                <c:pt idx="6">
                  <c:v>VEĽKO A MALOOBCHOD; AUTOMOTIV</c:v>
                </c:pt>
                <c:pt idx="7">
                  <c:v>DOPRAVA A SKLADOVANIE</c:v>
                </c:pt>
                <c:pt idx="8">
                  <c:v>UBYTOVACIE A STRAVOVACIE SLUŽBY</c:v>
                </c:pt>
                <c:pt idx="9">
                  <c:v>INFORMÁCIE A KOMUNIKÁCIA</c:v>
                </c:pt>
                <c:pt idx="10">
                  <c:v>FINANČNÉ A POISŤOVACIE ČINNOSTI</c:v>
                </c:pt>
                <c:pt idx="11">
                  <c:v>ČINNOSTI V OBLASTI NEHNUTEĽNOSTÍ</c:v>
                </c:pt>
                <c:pt idx="12">
                  <c:v>ODBORNÉ, VEDECKÉ A TECHNICKÉ ČINNOSTI</c:v>
                </c:pt>
                <c:pt idx="13">
                  <c:v>ADMINISTRATÍVNE A PODPORNÉ SLUŽBY</c:v>
                </c:pt>
                <c:pt idx="14">
                  <c:v>VZDELÁVANIE</c:v>
                </c:pt>
                <c:pt idx="15">
                  <c:v>ZDRAVOTNÍCTVO A SOCIÁLNA POMOC</c:v>
                </c:pt>
                <c:pt idx="16">
                  <c:v>UMENIE, ZÁBAVA A REKREÁCIA</c:v>
                </c:pt>
                <c:pt idx="17">
                  <c:v>OSTATNÉ ČINNOSTI</c:v>
                </c:pt>
                <c:pt idx="18">
                  <c:v>Spolu</c:v>
                </c:pt>
              </c:strCache>
            </c:strRef>
          </c:cat>
          <c:val>
            <c:numRef>
              <c:f>Sheet2!$C$4:$C$22</c:f>
              <c:numCache>
                <c:formatCode>General</c:formatCode>
                <c:ptCount val="19"/>
                <c:pt idx="0">
                  <c:v>-2.0606934650389867E-2</c:v>
                </c:pt>
                <c:pt idx="1">
                  <c:v>-2.0606934650389867E-2</c:v>
                </c:pt>
                <c:pt idx="2">
                  <c:v>-0.37545834933010341</c:v>
                </c:pt>
                <c:pt idx="3">
                  <c:v>-0.37710690410213454</c:v>
                </c:pt>
                <c:pt idx="4">
                  <c:v>-2.0606934650389867E-2</c:v>
                </c:pt>
                <c:pt idx="5">
                  <c:v>-0.16464940785661503</c:v>
                </c:pt>
                <c:pt idx="6">
                  <c:v>-0.17062541890522809</c:v>
                </c:pt>
                <c:pt idx="7">
                  <c:v>-0.32950488505973397</c:v>
                </c:pt>
                <c:pt idx="8">
                  <c:v>-0.32950488505973397</c:v>
                </c:pt>
                <c:pt idx="9">
                  <c:v>-0.15887946615450588</c:v>
                </c:pt>
                <c:pt idx="10">
                  <c:v>-0.19555980983219984</c:v>
                </c:pt>
                <c:pt idx="11">
                  <c:v>-0.18628668923952441</c:v>
                </c:pt>
                <c:pt idx="12">
                  <c:v>-0.18628668923952441</c:v>
                </c:pt>
                <c:pt idx="13">
                  <c:v>-0.18628668923952441</c:v>
                </c:pt>
                <c:pt idx="14">
                  <c:v>-0.15620056464995521</c:v>
                </c:pt>
                <c:pt idx="15">
                  <c:v>-0.15620056464995521</c:v>
                </c:pt>
                <c:pt idx="16">
                  <c:v>-0.15620056464995521</c:v>
                </c:pt>
                <c:pt idx="17">
                  <c:v>-0.15620056464995521</c:v>
                </c:pt>
                <c:pt idx="18">
                  <c:v>-0.19999999999999996</c:v>
                </c:pt>
              </c:numCache>
            </c:numRef>
          </c:val>
          <c:extLst>
            <c:ext xmlns:c16="http://schemas.microsoft.com/office/drawing/2014/chart" uri="{C3380CC4-5D6E-409C-BE32-E72D297353CC}">
              <c16:uniqueId val="{00000000-DFEB-40CD-8A94-5D246F1CE9B3}"/>
            </c:ext>
          </c:extLst>
        </c:ser>
        <c:ser>
          <c:idx val="0"/>
          <c:order val="1"/>
          <c:tx>
            <c:strRef>
              <c:f>Sheet2!$B$3</c:f>
              <c:strCache>
                <c:ptCount val="1"/>
                <c:pt idx="0">
                  <c:v>Podniky bez mikropodnikov</c:v>
                </c:pt>
              </c:strCache>
            </c:strRef>
          </c:tx>
          <c:spPr>
            <a:solidFill>
              <a:schemeClr val="accent1"/>
            </a:solidFill>
            <a:ln>
              <a:noFill/>
            </a:ln>
            <a:effectLst/>
          </c:spPr>
          <c:invertIfNegative val="0"/>
          <c:cat>
            <c:strRef>
              <c:f>Sheet2!$A$4:$A$22</c:f>
              <c:strCache>
                <c:ptCount val="19"/>
                <c:pt idx="0">
                  <c:v>POĽNOHOSPODÁRSTVO</c:v>
                </c:pt>
                <c:pt idx="1">
                  <c:v>ŤAŽBA A DOBÝVANIE</c:v>
                </c:pt>
                <c:pt idx="2">
                  <c:v>PRIEMYSELNÁ VÝROBA</c:v>
                </c:pt>
                <c:pt idx="3">
                  <c:v>DODÁVKA ENERGIÍ</c:v>
                </c:pt>
                <c:pt idx="4">
                  <c:v>DODÁVKA VODY</c:v>
                </c:pt>
                <c:pt idx="5">
                  <c:v>STAVEBNÍCTVO</c:v>
                </c:pt>
                <c:pt idx="6">
                  <c:v>VEĽKO A MALOOBCHOD; AUTOMOTIV</c:v>
                </c:pt>
                <c:pt idx="7">
                  <c:v>DOPRAVA A SKLADOVANIE</c:v>
                </c:pt>
                <c:pt idx="8">
                  <c:v>UBYTOVACIE A STRAVOVACIE SLUŽBY</c:v>
                </c:pt>
                <c:pt idx="9">
                  <c:v>INFORMÁCIE A KOMUNIKÁCIA</c:v>
                </c:pt>
                <c:pt idx="10">
                  <c:v>FINANČNÉ A POISŤOVACIE ČINNOSTI</c:v>
                </c:pt>
                <c:pt idx="11">
                  <c:v>ČINNOSTI V OBLASTI NEHNUTEĽNOSTÍ</c:v>
                </c:pt>
                <c:pt idx="12">
                  <c:v>ODBORNÉ, VEDECKÉ A TECHNICKÉ ČINNOSTI</c:v>
                </c:pt>
                <c:pt idx="13">
                  <c:v>ADMINISTRATÍVNE A PODPORNÉ SLUŽBY</c:v>
                </c:pt>
                <c:pt idx="14">
                  <c:v>VZDELÁVANIE</c:v>
                </c:pt>
                <c:pt idx="15">
                  <c:v>ZDRAVOTNÍCTVO A SOCIÁLNA POMOC</c:v>
                </c:pt>
                <c:pt idx="16">
                  <c:v>UMENIE, ZÁBAVA A REKREÁCIA</c:v>
                </c:pt>
                <c:pt idx="17">
                  <c:v>OSTATNÉ ČINNOSTI</c:v>
                </c:pt>
                <c:pt idx="18">
                  <c:v>Spolu</c:v>
                </c:pt>
              </c:strCache>
            </c:strRef>
          </c:cat>
          <c:val>
            <c:numRef>
              <c:f>Sheet2!$B$4:$B$22</c:f>
              <c:numCache>
                <c:formatCode>General</c:formatCode>
                <c:ptCount val="19"/>
                <c:pt idx="0">
                  <c:v>-1.0339978869468689E-2</c:v>
                </c:pt>
                <c:pt idx="1">
                  <c:v>-1.0339978869468689E-2</c:v>
                </c:pt>
                <c:pt idx="2">
                  <c:v>-0.1883944150017195</c:v>
                </c:pt>
                <c:pt idx="3">
                  <c:v>-0.18922161331127699</c:v>
                </c:pt>
                <c:pt idx="4">
                  <c:v>-1.0339978869468689E-2</c:v>
                </c:pt>
                <c:pt idx="5">
                  <c:v>-8.2616431167054818E-2</c:v>
                </c:pt>
                <c:pt idx="6">
                  <c:v>-8.5615025039200737E-2</c:v>
                </c:pt>
                <c:pt idx="7">
                  <c:v>-0.16533626212280431</c:v>
                </c:pt>
                <c:pt idx="8">
                  <c:v>-0.16533626212280431</c:v>
                </c:pt>
                <c:pt idx="9">
                  <c:v>-7.9721237083603597E-2</c:v>
                </c:pt>
                <c:pt idx="10">
                  <c:v>-9.8126399471257855E-2</c:v>
                </c:pt>
                <c:pt idx="11">
                  <c:v>-9.3473408979996939E-2</c:v>
                </c:pt>
                <c:pt idx="12">
                  <c:v>-9.3473408979996939E-2</c:v>
                </c:pt>
                <c:pt idx="13">
                  <c:v>-9.3473408979996939E-2</c:v>
                </c:pt>
                <c:pt idx="14">
                  <c:v>-7.8377039830572662E-2</c:v>
                </c:pt>
                <c:pt idx="15">
                  <c:v>-7.8377039830572662E-2</c:v>
                </c:pt>
                <c:pt idx="16">
                  <c:v>-7.8377039830572662E-2</c:v>
                </c:pt>
                <c:pt idx="17">
                  <c:v>-7.8377039830572662E-2</c:v>
                </c:pt>
                <c:pt idx="18">
                  <c:v>-0.12470295857988158</c:v>
                </c:pt>
              </c:numCache>
            </c:numRef>
          </c:val>
          <c:extLst>
            <c:ext xmlns:c16="http://schemas.microsoft.com/office/drawing/2014/chart" uri="{C3380CC4-5D6E-409C-BE32-E72D297353CC}">
              <c16:uniqueId val="{00000001-DFEB-40CD-8A94-5D246F1CE9B3}"/>
            </c:ext>
          </c:extLst>
        </c:ser>
        <c:dLbls>
          <c:showLegendKey val="0"/>
          <c:showVal val="0"/>
          <c:showCatName val="0"/>
          <c:showSerName val="0"/>
          <c:showPercent val="0"/>
          <c:showBubbleSize val="0"/>
        </c:dLbls>
        <c:gapWidth val="100"/>
        <c:overlap val="50"/>
        <c:axId val="471534015"/>
        <c:axId val="423980175"/>
      </c:barChart>
      <c:catAx>
        <c:axId val="471534015"/>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Verdana" panose="020B0604030504040204" pitchFamily="34" charset="0"/>
                <a:cs typeface="+mn-cs"/>
              </a:defRPr>
            </a:pPr>
            <a:endParaRPr lang="sk-SK"/>
          </a:p>
        </c:txPr>
        <c:crossAx val="423980175"/>
        <c:crosses val="autoZero"/>
        <c:auto val="1"/>
        <c:lblAlgn val="ctr"/>
        <c:lblOffset val="100"/>
        <c:noMultiLvlLbl val="0"/>
      </c:catAx>
      <c:valAx>
        <c:axId val="423980175"/>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mn-cs"/>
              </a:defRPr>
            </a:pPr>
            <a:endParaRPr lang="sk-SK"/>
          </a:p>
        </c:txPr>
        <c:crossAx val="471534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Verdana" panose="020B0604030504040204" pitchFamily="34" charset="0"/>
          <a:ea typeface="Verdana" panose="020B0604030504040204" pitchFamily="34" charset="0"/>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0.60842</cdr:x>
      <cdr:y>0</cdr:y>
    </cdr:from>
    <cdr:to>
      <cdr:x>0.64312</cdr:x>
      <cdr:y>0.97448</cdr:y>
    </cdr:to>
    <cdr:sp macro="" textlink="">
      <cdr:nvSpPr>
        <cdr:cNvPr id="2" name="Rectangle: Rounded Corners 1">
          <a:extLst xmlns:a="http://schemas.openxmlformats.org/drawingml/2006/main">
            <a:ext uri="{FF2B5EF4-FFF2-40B4-BE49-F238E27FC236}">
              <a16:creationId xmlns:a16="http://schemas.microsoft.com/office/drawing/2014/main" id="{394A031D-0D99-43F9-9926-BD22A5CD003B}"/>
            </a:ext>
          </a:extLst>
        </cdr:cNvPr>
        <cdr:cNvSpPr/>
      </cdr:nvSpPr>
      <cdr:spPr>
        <a:xfrm xmlns:a="http://schemas.openxmlformats.org/drawingml/2006/main">
          <a:off x="2796362" y="0"/>
          <a:ext cx="159489" cy="2942988"/>
        </a:xfrm>
        <a:prstGeom xmlns:a="http://schemas.openxmlformats.org/drawingml/2006/main" prst="roundRect">
          <a:avLst/>
        </a:prstGeom>
        <a:noFill xmlns:a="http://schemas.openxmlformats.org/drawingml/2006/main"/>
        <a:ln xmlns:a="http://schemas.openxmlformats.org/drawingml/2006/main">
          <a:solidFill>
            <a:schemeClr val="accent5"/>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drawings/drawing2.xml><?xml version="1.0" encoding="utf-8"?>
<c:userShapes xmlns:c="http://schemas.openxmlformats.org/drawingml/2006/chart">
  <cdr:relSizeAnchor xmlns:cdr="http://schemas.openxmlformats.org/drawingml/2006/chartDrawing">
    <cdr:from>
      <cdr:x>0.15288</cdr:x>
      <cdr:y>0.03994</cdr:y>
    </cdr:from>
    <cdr:to>
      <cdr:x>0.33684</cdr:x>
      <cdr:y>0.12908</cdr:y>
    </cdr:to>
    <cdr:sp macro="" textlink="">
      <cdr:nvSpPr>
        <cdr:cNvPr id="2" name="TextBox 1">
          <a:extLst xmlns:a="http://schemas.openxmlformats.org/drawingml/2006/main">
            <a:ext uri="{FF2B5EF4-FFF2-40B4-BE49-F238E27FC236}">
              <a16:creationId xmlns:a16="http://schemas.microsoft.com/office/drawing/2014/main" id="{0BC68B6E-4DEE-4398-B652-3A1D189F9450}"/>
            </a:ext>
          </a:extLst>
        </cdr:cNvPr>
        <cdr:cNvSpPr txBox="1"/>
      </cdr:nvSpPr>
      <cdr:spPr>
        <a:xfrm xmlns:a="http://schemas.openxmlformats.org/drawingml/2006/main">
          <a:off x="880709" y="73501"/>
          <a:ext cx="1059743" cy="164038"/>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sk-SK" sz="700" dirty="0">
              <a:latin typeface="Verdana" panose="020B0604030504040204" pitchFamily="34" charset="0"/>
              <a:ea typeface="Verdana" panose="020B0604030504040204" pitchFamily="34" charset="0"/>
            </a:rPr>
            <a:t>Globálna finančná kríza</a:t>
          </a:r>
        </a:p>
      </cdr:txBody>
    </cdr:sp>
  </cdr:relSizeAnchor>
  <cdr:relSizeAnchor xmlns:cdr="http://schemas.openxmlformats.org/drawingml/2006/chartDrawing">
    <cdr:from>
      <cdr:x>0.7833</cdr:x>
      <cdr:y>0.03494</cdr:y>
    </cdr:from>
    <cdr:to>
      <cdr:x>0.85469</cdr:x>
      <cdr:y>0.12407</cdr:y>
    </cdr:to>
    <cdr:sp macro="" textlink="">
      <cdr:nvSpPr>
        <cdr:cNvPr id="3" name="TextBox 1">
          <a:extLst xmlns:a="http://schemas.openxmlformats.org/drawingml/2006/main">
            <a:ext uri="{FF2B5EF4-FFF2-40B4-BE49-F238E27FC236}">
              <a16:creationId xmlns:a16="http://schemas.microsoft.com/office/drawing/2014/main" id="{16D41DAE-4151-4BE9-9B8D-151016970997}"/>
            </a:ext>
          </a:extLst>
        </cdr:cNvPr>
        <cdr:cNvSpPr txBox="1"/>
      </cdr:nvSpPr>
      <cdr:spPr>
        <a:xfrm xmlns:a="http://schemas.openxmlformats.org/drawingml/2006/main">
          <a:off x="3872229" y="97503"/>
          <a:ext cx="352915" cy="248746"/>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700" dirty="0">
              <a:latin typeface="Verdana" panose="020B0604030504040204" pitchFamily="34" charset="0"/>
              <a:ea typeface="Verdana" panose="020B0604030504040204" pitchFamily="34" charset="0"/>
            </a:rPr>
            <a:t>COVID-19</a:t>
          </a:r>
        </a:p>
      </cdr:txBody>
    </cdr:sp>
  </cdr:relSizeAnchor>
</c:userShapes>
</file>

<file path=word/drawings/drawing3.xml><?xml version="1.0" encoding="utf-8"?>
<c:userShapes xmlns:c="http://schemas.openxmlformats.org/drawingml/2006/chart">
  <cdr:relSizeAnchor xmlns:cdr="http://schemas.openxmlformats.org/drawingml/2006/chartDrawing">
    <cdr:from>
      <cdr:x>0.2231</cdr:x>
      <cdr:y>0.19942</cdr:y>
    </cdr:from>
    <cdr:to>
      <cdr:x>0.2231</cdr:x>
      <cdr:y>0.29718</cdr:y>
    </cdr:to>
    <cdr:cxnSp macro="">
      <cdr:nvCxnSpPr>
        <cdr:cNvPr id="2" name="Straight Arrow Connector 1">
          <a:extLst xmlns:a="http://schemas.openxmlformats.org/drawingml/2006/main">
            <a:ext uri="{FF2B5EF4-FFF2-40B4-BE49-F238E27FC236}">
              <a16:creationId xmlns:a16="http://schemas.microsoft.com/office/drawing/2014/main" id="{6EC3DE12-3F4E-4D15-95AF-18365BE2C89D}"/>
            </a:ext>
          </a:extLst>
        </cdr:cNvPr>
        <cdr:cNvCxnSpPr/>
      </cdr:nvCxnSpPr>
      <cdr:spPr>
        <a:xfrm xmlns:a="http://schemas.openxmlformats.org/drawingml/2006/main">
          <a:off x="997907" y="426126"/>
          <a:ext cx="0" cy="208874"/>
        </a:xfrm>
        <a:prstGeom xmlns:a="http://schemas.openxmlformats.org/drawingml/2006/main" prst="straightConnector1">
          <a:avLst/>
        </a:prstGeom>
        <a:ln xmlns:a="http://schemas.openxmlformats.org/drawingml/2006/main" w="28575">
          <a:solidFill>
            <a:sysClr val="windowText" lastClr="000000"/>
          </a:solidFill>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0.12386</cdr:x>
      <cdr:y>0.09143</cdr:y>
    </cdr:from>
    <cdr:to>
      <cdr:x>0.34542</cdr:x>
      <cdr:y>0.1866</cdr:y>
    </cdr:to>
    <cdr:sp macro="" textlink="">
      <cdr:nvSpPr>
        <cdr:cNvPr id="3" name="TextBox 1">
          <a:extLst xmlns:a="http://schemas.openxmlformats.org/drawingml/2006/main">
            <a:ext uri="{FF2B5EF4-FFF2-40B4-BE49-F238E27FC236}">
              <a16:creationId xmlns:a16="http://schemas.microsoft.com/office/drawing/2014/main" id="{37CB40E2-3065-4956-9758-7F59FD95CA74}"/>
            </a:ext>
          </a:extLst>
        </cdr:cNvPr>
        <cdr:cNvSpPr txBox="1"/>
      </cdr:nvSpPr>
      <cdr:spPr>
        <a:xfrm xmlns:a="http://schemas.openxmlformats.org/drawingml/2006/main">
          <a:off x="554040" y="195362"/>
          <a:ext cx="991024" cy="203357"/>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latin typeface="Verdana" panose="020B0604030504040204" pitchFamily="34" charset="0"/>
              <a:ea typeface="Verdana" panose="020B0604030504040204" pitchFamily="34" charset="0"/>
            </a:rPr>
            <a:t>0,8</a:t>
          </a:r>
          <a:r>
            <a:rPr lang="sk-SK" sz="800" b="1" baseline="0">
              <a:latin typeface="Verdana" panose="020B0604030504040204" pitchFamily="34" charset="0"/>
              <a:ea typeface="Verdana" panose="020B0604030504040204" pitchFamily="34" charset="0"/>
            </a:rPr>
            <a:t> mld. EUR</a:t>
          </a:r>
          <a:endParaRPr lang="sk-SK" sz="800" b="1">
            <a:latin typeface="Verdana" panose="020B0604030504040204" pitchFamily="34" charset="0"/>
            <a:ea typeface="Verdana" panose="020B0604030504040204" pitchFamily="34" charset="0"/>
          </a:endParaRPr>
        </a:p>
      </cdr:txBody>
    </cdr:sp>
  </cdr:relSizeAnchor>
  <cdr:relSizeAnchor xmlns:cdr="http://schemas.openxmlformats.org/drawingml/2006/chartDrawing">
    <cdr:from>
      <cdr:x>0.4144</cdr:x>
      <cdr:y>0.04252</cdr:y>
    </cdr:from>
    <cdr:to>
      <cdr:x>0.62266</cdr:x>
      <cdr:y>0.13841</cdr:y>
    </cdr:to>
    <cdr:sp macro="" textlink="">
      <cdr:nvSpPr>
        <cdr:cNvPr id="4" name="TextBox 1">
          <a:extLst xmlns:a="http://schemas.openxmlformats.org/drawingml/2006/main">
            <a:ext uri="{FF2B5EF4-FFF2-40B4-BE49-F238E27FC236}">
              <a16:creationId xmlns:a16="http://schemas.microsoft.com/office/drawing/2014/main" id="{7E94F961-05FE-4670-BBAC-B89644B459AD}"/>
            </a:ext>
          </a:extLst>
        </cdr:cNvPr>
        <cdr:cNvSpPr txBox="1"/>
      </cdr:nvSpPr>
      <cdr:spPr>
        <a:xfrm xmlns:a="http://schemas.openxmlformats.org/drawingml/2006/main">
          <a:off x="1853586" y="90861"/>
          <a:ext cx="931535" cy="20489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k-SK" sz="800" b="1">
              <a:latin typeface="Verdana" panose="020B0604030504040204" pitchFamily="34" charset="0"/>
              <a:ea typeface="Verdana" panose="020B0604030504040204" pitchFamily="34" charset="0"/>
            </a:rPr>
            <a:t>2,7</a:t>
          </a:r>
          <a:r>
            <a:rPr lang="sk-SK" sz="800" b="1" baseline="0">
              <a:latin typeface="Verdana" panose="020B0604030504040204" pitchFamily="34" charset="0"/>
              <a:ea typeface="Verdana" panose="020B0604030504040204" pitchFamily="34" charset="0"/>
            </a:rPr>
            <a:t> mld. EUR</a:t>
          </a:r>
          <a:endParaRPr lang="sk-SK" sz="800" b="1">
            <a:latin typeface="Verdana" panose="020B0604030504040204" pitchFamily="34" charset="0"/>
            <a:ea typeface="Verdana" panose="020B0604030504040204" pitchFamily="34" charset="0"/>
          </a:endParaRPr>
        </a:p>
      </cdr:txBody>
    </cdr:sp>
  </cdr:relSizeAnchor>
  <cdr:relSizeAnchor xmlns:cdr="http://schemas.openxmlformats.org/drawingml/2006/chartDrawing">
    <cdr:from>
      <cdr:x>0.50885</cdr:x>
      <cdr:y>0.16279</cdr:y>
    </cdr:from>
    <cdr:to>
      <cdr:x>0.50885</cdr:x>
      <cdr:y>0.43388</cdr:y>
    </cdr:to>
    <cdr:cxnSp macro="">
      <cdr:nvCxnSpPr>
        <cdr:cNvPr id="5" name="Straight Arrow Connector 4">
          <a:extLst xmlns:a="http://schemas.openxmlformats.org/drawingml/2006/main">
            <a:ext uri="{FF2B5EF4-FFF2-40B4-BE49-F238E27FC236}">
              <a16:creationId xmlns:a16="http://schemas.microsoft.com/office/drawing/2014/main" id="{CACD1ED6-CC1A-459B-9127-CD85FADB6A86}"/>
            </a:ext>
          </a:extLst>
        </cdr:cNvPr>
        <cdr:cNvCxnSpPr/>
      </cdr:nvCxnSpPr>
      <cdr:spPr>
        <a:xfrm xmlns:a="http://schemas.openxmlformats.org/drawingml/2006/main">
          <a:off x="2276037" y="347843"/>
          <a:ext cx="0" cy="579257"/>
        </a:xfrm>
        <a:prstGeom xmlns:a="http://schemas.openxmlformats.org/drawingml/2006/main" prst="straightConnector1">
          <a:avLst/>
        </a:prstGeom>
        <a:ln xmlns:a="http://schemas.openxmlformats.org/drawingml/2006/main" w="28575">
          <a:solidFill>
            <a:sysClr val="windowText" lastClr="000000"/>
          </a:solidFill>
          <a:prstDash val="sysDot"/>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0.8168</cdr:x>
      <cdr:y>0.2119</cdr:y>
    </cdr:from>
    <cdr:to>
      <cdr:x>0.89236</cdr:x>
      <cdr:y>0.41718</cdr:y>
    </cdr:to>
    <cdr:sp macro="" textlink="">
      <cdr:nvSpPr>
        <cdr:cNvPr id="2" name="Right Brace 1">
          <a:extLst xmlns:a="http://schemas.openxmlformats.org/drawingml/2006/main">
            <a:ext uri="{FF2B5EF4-FFF2-40B4-BE49-F238E27FC236}">
              <a16:creationId xmlns:a16="http://schemas.microsoft.com/office/drawing/2014/main" id="{59546398-07FE-43E3-96B9-28EB022DD60B}"/>
            </a:ext>
          </a:extLst>
        </cdr:cNvPr>
        <cdr:cNvSpPr/>
      </cdr:nvSpPr>
      <cdr:spPr>
        <a:xfrm xmlns:a="http://schemas.openxmlformats.org/drawingml/2006/main">
          <a:off x="3822583" y="702260"/>
          <a:ext cx="353617" cy="680313"/>
        </a:xfrm>
        <a:prstGeom xmlns:a="http://schemas.openxmlformats.org/drawingml/2006/main" prst="rightBrace">
          <a:avLst>
            <a:gd name="adj1" fmla="val 8333"/>
            <a:gd name="adj2" fmla="val 48143"/>
          </a:avLst>
        </a:prstGeom>
        <a:solidFill xmlns:a="http://schemas.openxmlformats.org/drawingml/2006/main">
          <a:schemeClr val="bg1"/>
        </a:solidFill>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sk-SK" sz="1100"/>
        </a:p>
      </cdr:txBody>
    </cdr:sp>
  </cdr:relSizeAnchor>
  <cdr:relSizeAnchor xmlns:cdr="http://schemas.openxmlformats.org/drawingml/2006/chartDrawing">
    <cdr:from>
      <cdr:x>0.89956</cdr:x>
      <cdr:y>0.27249</cdr:y>
    </cdr:from>
    <cdr:to>
      <cdr:x>0.9911</cdr:x>
      <cdr:y>0.40614</cdr:y>
    </cdr:to>
    <cdr:sp macro="" textlink="">
      <cdr:nvSpPr>
        <cdr:cNvPr id="3" name="TextBox 2">
          <a:extLst xmlns:a="http://schemas.openxmlformats.org/drawingml/2006/main">
            <a:ext uri="{FF2B5EF4-FFF2-40B4-BE49-F238E27FC236}">
              <a16:creationId xmlns:a16="http://schemas.microsoft.com/office/drawing/2014/main" id="{596CD42F-E018-4218-B9AF-02A8A486DBD3}"/>
            </a:ext>
          </a:extLst>
        </cdr:cNvPr>
        <cdr:cNvSpPr txBox="1"/>
      </cdr:nvSpPr>
      <cdr:spPr>
        <a:xfrm xmlns:a="http://schemas.openxmlformats.org/drawingml/2006/main">
          <a:off x="4209887" y="903064"/>
          <a:ext cx="428403" cy="442925"/>
        </a:xfrm>
        <a:prstGeom xmlns:a="http://schemas.openxmlformats.org/drawingml/2006/main" prst="rect">
          <a:avLst/>
        </a:prstGeom>
        <a:ln xmlns:a="http://schemas.openxmlformats.org/drawingml/2006/main">
          <a:noFill/>
        </a:ln>
      </cdr:spPr>
      <cdr:txBody>
        <a:bodyPr xmlns:a="http://schemas.openxmlformats.org/drawingml/2006/main" vertOverflow="clip" wrap="none" rtlCol="0"/>
        <a:lstStyle xmlns:a="http://schemas.openxmlformats.org/drawingml/2006/main"/>
        <a:p xmlns:a="http://schemas.openxmlformats.org/drawingml/2006/main">
          <a:r>
            <a:rPr lang="sk-SK" sz="800">
              <a:latin typeface="Verdana" panose="020B0604030504040204" pitchFamily="34" charset="0"/>
              <a:ea typeface="Verdana" panose="020B0604030504040204" pitchFamily="34" charset="0"/>
            </a:rPr>
            <a:t>0,5 %</a:t>
          </a:r>
        </a:p>
        <a:p xmlns:a="http://schemas.openxmlformats.org/drawingml/2006/main">
          <a:r>
            <a:rPr lang="sk-SK" sz="800">
              <a:latin typeface="Verdana" panose="020B0604030504040204" pitchFamily="34" charset="0"/>
              <a:ea typeface="Verdana" panose="020B0604030504040204" pitchFamily="34" charset="0"/>
            </a:rPr>
            <a:t>RWA</a:t>
          </a:r>
        </a:p>
      </cdr:txBody>
    </cdr:sp>
  </cdr:relSizeAnchor>
</c:userShapes>
</file>

<file path=word/drawings/drawing5.xml><?xml version="1.0" encoding="utf-8"?>
<c:userShapes xmlns:c="http://schemas.openxmlformats.org/drawingml/2006/chart">
  <cdr:relSizeAnchor xmlns:cdr="http://schemas.openxmlformats.org/drawingml/2006/chartDrawing">
    <cdr:from>
      <cdr:x>0.13305</cdr:x>
      <cdr:y>0.02084</cdr:y>
    </cdr:from>
    <cdr:to>
      <cdr:x>0.17862</cdr:x>
      <cdr:y>0.97971</cdr:y>
    </cdr:to>
    <cdr:sp macro="" textlink="">
      <cdr:nvSpPr>
        <cdr:cNvPr id="2" name="Rectangle: Rounded Corners 1"/>
        <cdr:cNvSpPr/>
      </cdr:nvSpPr>
      <cdr:spPr>
        <a:xfrm xmlns:a="http://schemas.openxmlformats.org/drawingml/2006/main">
          <a:off x="623681" y="51756"/>
          <a:ext cx="213613" cy="2381344"/>
        </a:xfrm>
        <a:prstGeom xmlns:a="http://schemas.openxmlformats.org/drawingml/2006/main" prst="roundRect">
          <a:avLst/>
        </a:prstGeom>
        <a:no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k-SK"/>
        </a:p>
      </cdr:txBody>
    </cdr:sp>
  </cdr:relSizeAnchor>
</c:userShapes>
</file>

<file path=word/theme/theme1.xml><?xml version="1.0" encoding="utf-8"?>
<a:theme xmlns:a="http://schemas.openxmlformats.org/drawingml/2006/main" name="Office Theme">
  <a:themeElements>
    <a:clrScheme name="NBS dizajn manuál">
      <a:dk1>
        <a:sysClr val="windowText" lastClr="000000"/>
      </a:dk1>
      <a:lt1>
        <a:sysClr val="window" lastClr="FFFFFF"/>
      </a:lt1>
      <a:dk2>
        <a:srgbClr val="44546A"/>
      </a:dk2>
      <a:lt2>
        <a:srgbClr val="E7E6E6"/>
      </a:lt2>
      <a:accent1>
        <a:srgbClr val="0067AC"/>
      </a:accent1>
      <a:accent2>
        <a:srgbClr val="D15F27"/>
      </a:accent2>
      <a:accent3>
        <a:srgbClr val="A2A9AD"/>
      </a:accent3>
      <a:accent4>
        <a:srgbClr val="005A4E"/>
      </a:accent4>
      <a:accent5>
        <a:srgbClr val="73253E"/>
      </a:accent5>
      <a:accent6>
        <a:srgbClr val="A6835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S_DM">
    <a:dk1>
      <a:sysClr val="windowText" lastClr="000000"/>
    </a:dk1>
    <a:lt1>
      <a:sysClr val="window" lastClr="FFFFFF"/>
    </a:lt1>
    <a:dk2>
      <a:srgbClr val="44546A"/>
    </a:dk2>
    <a:lt2>
      <a:srgbClr val="E7E6E6"/>
    </a:lt2>
    <a:accent1>
      <a:srgbClr val="0067AC"/>
    </a:accent1>
    <a:accent2>
      <a:srgbClr val="A6835A"/>
    </a:accent2>
    <a:accent3>
      <a:srgbClr val="D15F27"/>
    </a:accent3>
    <a:accent4>
      <a:srgbClr val="005A4E"/>
    </a:accent4>
    <a:accent5>
      <a:srgbClr val="99A9AD"/>
    </a:accent5>
    <a:accent6>
      <a:srgbClr val="73253E"/>
    </a:accent6>
    <a:hlink>
      <a:srgbClr val="C7932C"/>
    </a:hlink>
    <a:folHlink>
      <a:srgbClr val="1C3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S_DM">
    <a:dk1>
      <a:sysClr val="windowText" lastClr="000000"/>
    </a:dk1>
    <a:lt1>
      <a:sysClr val="window" lastClr="FFFFFF"/>
    </a:lt1>
    <a:dk2>
      <a:srgbClr val="44546A"/>
    </a:dk2>
    <a:lt2>
      <a:srgbClr val="E7E6E6"/>
    </a:lt2>
    <a:accent1>
      <a:srgbClr val="0067AC"/>
    </a:accent1>
    <a:accent2>
      <a:srgbClr val="A6835A"/>
    </a:accent2>
    <a:accent3>
      <a:srgbClr val="D15F27"/>
    </a:accent3>
    <a:accent4>
      <a:srgbClr val="005A4E"/>
    </a:accent4>
    <a:accent5>
      <a:srgbClr val="99A9AD"/>
    </a:accent5>
    <a:accent6>
      <a:srgbClr val="73253E"/>
    </a:accent6>
    <a:hlink>
      <a:srgbClr val="C7932C"/>
    </a:hlink>
    <a:folHlink>
      <a:srgbClr val="1C3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BS_DM">
    <a:dk1>
      <a:sysClr val="windowText" lastClr="000000"/>
    </a:dk1>
    <a:lt1>
      <a:sysClr val="window" lastClr="FFFFFF"/>
    </a:lt1>
    <a:dk2>
      <a:srgbClr val="44546A"/>
    </a:dk2>
    <a:lt2>
      <a:srgbClr val="E7E6E6"/>
    </a:lt2>
    <a:accent1>
      <a:srgbClr val="0067AC"/>
    </a:accent1>
    <a:accent2>
      <a:srgbClr val="A6835A"/>
    </a:accent2>
    <a:accent3>
      <a:srgbClr val="D15F27"/>
    </a:accent3>
    <a:accent4>
      <a:srgbClr val="005A4E"/>
    </a:accent4>
    <a:accent5>
      <a:srgbClr val="99A9AD"/>
    </a:accent5>
    <a:accent6>
      <a:srgbClr val="73253E"/>
    </a:accent6>
    <a:hlink>
      <a:srgbClr val="C7932C"/>
    </a:hlink>
    <a:folHlink>
      <a:srgbClr val="1C3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BS_DM">
    <a:dk1>
      <a:sysClr val="windowText" lastClr="000000"/>
    </a:dk1>
    <a:lt1>
      <a:sysClr val="window" lastClr="FFFFFF"/>
    </a:lt1>
    <a:dk2>
      <a:srgbClr val="44546A"/>
    </a:dk2>
    <a:lt2>
      <a:srgbClr val="E7E6E6"/>
    </a:lt2>
    <a:accent1>
      <a:srgbClr val="0067AC"/>
    </a:accent1>
    <a:accent2>
      <a:srgbClr val="A6835A"/>
    </a:accent2>
    <a:accent3>
      <a:srgbClr val="D15F27"/>
    </a:accent3>
    <a:accent4>
      <a:srgbClr val="005A4E"/>
    </a:accent4>
    <a:accent5>
      <a:srgbClr val="99A9AD"/>
    </a:accent5>
    <a:accent6>
      <a:srgbClr val="73253E"/>
    </a:accent6>
    <a:hlink>
      <a:srgbClr val="C7932C"/>
    </a:hlink>
    <a:folHlink>
      <a:srgbClr val="1C3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S">
    <a:dk1>
      <a:sysClr val="windowText" lastClr="000000"/>
    </a:dk1>
    <a:lt1>
      <a:sysClr val="window" lastClr="FFFFFF"/>
    </a:lt1>
    <a:dk2>
      <a:srgbClr val="44546A"/>
    </a:dk2>
    <a:lt2>
      <a:srgbClr val="E7E6E6"/>
    </a:lt2>
    <a:accent1>
      <a:srgbClr val="0073E6"/>
    </a:accent1>
    <a:accent2>
      <a:srgbClr val="DD511A"/>
    </a:accent2>
    <a:accent3>
      <a:srgbClr val="FFC319"/>
    </a:accent3>
    <a:accent4>
      <a:srgbClr val="46B343"/>
    </a:accent4>
    <a:accent5>
      <a:srgbClr val="B1C8C8"/>
    </a:accent5>
    <a:accent6>
      <a:srgbClr val="998040"/>
    </a:accent6>
    <a:hlink>
      <a:srgbClr val="281C77"/>
    </a:hlink>
    <a:folHlink>
      <a:srgbClr val="7225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S">
    <a:dk1>
      <a:sysClr val="windowText" lastClr="000000"/>
    </a:dk1>
    <a:lt1>
      <a:sysClr val="window" lastClr="FFFFFF"/>
    </a:lt1>
    <a:dk2>
      <a:srgbClr val="44546A"/>
    </a:dk2>
    <a:lt2>
      <a:srgbClr val="E7E6E6"/>
    </a:lt2>
    <a:accent1>
      <a:srgbClr val="0073E6"/>
    </a:accent1>
    <a:accent2>
      <a:srgbClr val="DD511A"/>
    </a:accent2>
    <a:accent3>
      <a:srgbClr val="FFC319"/>
    </a:accent3>
    <a:accent4>
      <a:srgbClr val="46B343"/>
    </a:accent4>
    <a:accent5>
      <a:srgbClr val="B1C8C8"/>
    </a:accent5>
    <a:accent6>
      <a:srgbClr val="998040"/>
    </a:accent6>
    <a:hlink>
      <a:srgbClr val="281C77"/>
    </a:hlink>
    <a:folHlink>
      <a:srgbClr val="72255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832C5-CA1C-4FF4-9AA5-4154FCCF9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60</Pages>
  <Words>18505</Words>
  <Characters>105485</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RNDr. Ján Klacso PhD.</dc:creator>
  <cp:keywords/>
  <dc:description/>
  <cp:lastModifiedBy>Ružičková Claudia</cp:lastModifiedBy>
  <cp:revision>23</cp:revision>
  <cp:lastPrinted>2020-09-30T06:07:00Z</cp:lastPrinted>
  <dcterms:created xsi:type="dcterms:W3CDTF">2020-09-29T12:25:00Z</dcterms:created>
  <dcterms:modified xsi:type="dcterms:W3CDTF">2020-09-30T06:07:00Z</dcterms:modified>
</cp:coreProperties>
</file>