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A51A2" w:rsidRDefault="00CA51A2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C35703" w:rsidRDefault="00C35703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6740A6" w:rsidRDefault="006740A6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4A5557" w:rsidRDefault="004A5557" w:rsidP="004A5557">
      <w:pPr>
        <w:pStyle w:val="LO-normal"/>
        <w:rPr>
          <w:rFonts w:ascii="Times New Roman" w:eastAsia="Times New Roman" w:hAnsi="Times New Roman" w:cs="Times New Roman"/>
          <w:b/>
        </w:rPr>
      </w:pPr>
    </w:p>
    <w:p w:rsidR="004A5557" w:rsidRPr="00E11370" w:rsidRDefault="004A5557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>z</w:t>
      </w:r>
      <w:r w:rsidR="00253994">
        <w:rPr>
          <w:rFonts w:ascii="Times New Roman" w:eastAsia="Times New Roman" w:hAnsi="Times New Roman" w:cs="Times New Roman"/>
        </w:rPr>
        <w:t> 29.</w:t>
      </w:r>
      <w:r w:rsidR="00254CA1">
        <w:rPr>
          <w:rFonts w:ascii="Times New Roman" w:eastAsia="Times New Roman" w:hAnsi="Times New Roman" w:cs="Times New Roman"/>
        </w:rPr>
        <w:t xml:space="preserve"> </w:t>
      </w:r>
      <w:r w:rsidR="00AC5624">
        <w:rPr>
          <w:rFonts w:ascii="Times New Roman" w:eastAsia="Times New Roman" w:hAnsi="Times New Roman" w:cs="Times New Roman"/>
        </w:rPr>
        <w:t xml:space="preserve">septembra </w:t>
      </w:r>
      <w:r w:rsidRPr="00E11370">
        <w:rPr>
          <w:rFonts w:ascii="Times New Roman" w:eastAsia="Times New Roman" w:hAnsi="Times New Roman" w:cs="Times New Roman"/>
        </w:rPr>
        <w:t>2020</w:t>
      </w:r>
      <w:r w:rsidR="00253994">
        <w:rPr>
          <w:rFonts w:ascii="Times New Roman" w:eastAsia="Times New Roman" w:hAnsi="Times New Roman" w:cs="Times New Roman"/>
        </w:rPr>
        <w:t>,</w:t>
      </w: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  <w:r w:rsidRPr="00E11370">
        <w:rPr>
          <w:rFonts w:ascii="Times New Roman" w:eastAsia="Times New Roman" w:hAnsi="Times New Roman" w:cs="Times New Roman"/>
          <w:b/>
        </w:rPr>
        <w:t xml:space="preserve">ktorým </w:t>
      </w:r>
      <w:r w:rsidRPr="00DF186C">
        <w:rPr>
          <w:rFonts w:ascii="Times New Roman" w:eastAsia="Times New Roman" w:hAnsi="Times New Roman" w:cs="Times New Roman"/>
          <w:b/>
        </w:rPr>
        <w:t>sa mení zákon</w:t>
      </w:r>
      <w:r w:rsidRPr="00E11370">
        <w:rPr>
          <w:rFonts w:ascii="Times New Roman" w:eastAsia="Times New Roman" w:hAnsi="Times New Roman" w:cs="Times New Roman"/>
          <w:b/>
        </w:rPr>
        <w:t xml:space="preserve"> č. 30/2019 Z. z. o hazardných hrách a o zmene a doplnení niektorých zákonov v znení zákona č. 221/2019 Z. z. a ktorým sa </w:t>
      </w:r>
      <w:r w:rsidRPr="00DF186C">
        <w:rPr>
          <w:rFonts w:ascii="Times New Roman" w:eastAsia="Times New Roman" w:hAnsi="Times New Roman" w:cs="Times New Roman"/>
          <w:b/>
        </w:rPr>
        <w:t>menia</w:t>
      </w:r>
      <w:r w:rsidRPr="00E11370">
        <w:rPr>
          <w:rFonts w:ascii="Times New Roman" w:eastAsia="Times New Roman" w:hAnsi="Times New Roman" w:cs="Times New Roman"/>
          <w:b/>
        </w:rPr>
        <w:t xml:space="preserve"> niektoré zákony </w:t>
      </w: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F0623B" w:rsidRPr="00E11370" w:rsidRDefault="00F0623B" w:rsidP="00F0623B">
      <w:pPr>
        <w:pStyle w:val="LO-normal"/>
        <w:ind w:firstLine="720"/>
        <w:rPr>
          <w:rFonts w:ascii="Times New Roman" w:eastAsia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 xml:space="preserve">Národná rada Slovenskej republiky sa uzniesla na tomto zákone: </w:t>
      </w:r>
    </w:p>
    <w:p w:rsidR="00F0623B" w:rsidRPr="00E11370" w:rsidRDefault="00F0623B" w:rsidP="00F0623B">
      <w:pPr>
        <w:pStyle w:val="LO-normal"/>
        <w:rPr>
          <w:rFonts w:ascii="Times New Roman" w:eastAsia="Times New Roman" w:hAnsi="Times New Roman" w:cs="Times New Roman"/>
        </w:rPr>
      </w:pPr>
    </w:p>
    <w:p w:rsidR="00F0623B" w:rsidRPr="00E11370" w:rsidRDefault="00F0623B" w:rsidP="00F0623B">
      <w:pPr>
        <w:pStyle w:val="LO-normal"/>
        <w:jc w:val="center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b/>
        </w:rPr>
        <w:t>Čl. I</w:t>
      </w:r>
    </w:p>
    <w:p w:rsidR="00F0623B" w:rsidRPr="00E11370" w:rsidRDefault="00F0623B" w:rsidP="00F0623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F0623B" w:rsidRPr="00E11370" w:rsidRDefault="00F0623B" w:rsidP="00672727">
      <w:pPr>
        <w:pStyle w:val="LO-normal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ab/>
        <w:t>Zákon č. 30/2019 Z. z. o hazardných hrách a o zmene a doplnení niektorých zákonov v znení zákona č. 221/2019 Z. z. sa mení takto:</w:t>
      </w:r>
    </w:p>
    <w:p w:rsidR="00F0623B" w:rsidRPr="00E11370" w:rsidRDefault="00F0623B" w:rsidP="00672727">
      <w:pPr>
        <w:pStyle w:val="LO-normal"/>
        <w:jc w:val="both"/>
        <w:rPr>
          <w:rFonts w:ascii="Times New Roman" w:eastAsia="Times New Roman" w:hAnsi="Times New Roman" w:cs="Times New Roman"/>
        </w:rPr>
      </w:pPr>
    </w:p>
    <w:p w:rsidR="00F0623B" w:rsidRPr="00E11370" w:rsidRDefault="00F0623B" w:rsidP="009B39AD">
      <w:pPr>
        <w:pStyle w:val="LO-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color w:val="000000"/>
        </w:rPr>
        <w:t>Slová „podľa § 79 ods. 6“ sa v celom texte zákona nahrádzajú slovami „podľa § 79 ods. 5“ a slová „podľa § 79 ods. 7“ sa v celom texte zákona nahrádzajú slovami „podľa § 79 ods. 6“.</w:t>
      </w:r>
    </w:p>
    <w:p w:rsidR="00F0623B" w:rsidRPr="008B506B" w:rsidRDefault="00F0623B" w:rsidP="005E0B98">
      <w:pPr>
        <w:pStyle w:val="LO-normal"/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:rsidR="00F0623B" w:rsidRPr="004D5F1E" w:rsidRDefault="00F0623B" w:rsidP="00C25839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A0760A">
        <w:rPr>
          <w:rFonts w:ascii="Times New Roman" w:eastAsia="Times New Roman" w:hAnsi="Times New Roman" w:cs="Times New Roman"/>
          <w:color w:val="000000"/>
        </w:rPr>
        <w:t>V § 4 ods. 3 druhej vete sa vypúšťa bodkočiarka a text za bodkočiarkou.</w:t>
      </w:r>
    </w:p>
    <w:p w:rsidR="00F0623B" w:rsidRPr="00C22764" w:rsidRDefault="00F0623B" w:rsidP="00C25839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</w:p>
    <w:p w:rsidR="00F0623B" w:rsidRPr="00C22764" w:rsidRDefault="00F0623B" w:rsidP="00C25839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  <w:r w:rsidRPr="00C22764">
        <w:rPr>
          <w:rFonts w:ascii="Times New Roman" w:eastAsia="Times New Roman" w:hAnsi="Times New Roman" w:cs="Times New Roman"/>
        </w:rPr>
        <w:t>Poznámka pod čiarou k odkazu 10 sa vypúšťa.</w:t>
      </w:r>
    </w:p>
    <w:p w:rsidR="005B02DE" w:rsidRPr="00C22764" w:rsidRDefault="005B02DE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</w:p>
    <w:p w:rsidR="005B02DE" w:rsidRPr="000B14A7" w:rsidRDefault="005B02DE">
      <w:pPr>
        <w:pStyle w:val="LO-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2764">
        <w:rPr>
          <w:rFonts w:ascii="Times New Roman" w:hAnsi="Times New Roman" w:cs="Times New Roman"/>
        </w:rPr>
        <w:t>V § 14 ods. 21 sa za slovo ,,kasína“ vkladajú slová ,,a dostihových stávok“.</w:t>
      </w:r>
    </w:p>
    <w:p w:rsidR="00F0623B" w:rsidRPr="00AA727C" w:rsidRDefault="00F0623B">
      <w:pPr>
        <w:pStyle w:val="LO-normal"/>
        <w:jc w:val="both"/>
        <w:rPr>
          <w:rFonts w:ascii="Times New Roman" w:eastAsia="Times New Roman" w:hAnsi="Times New Roman" w:cs="Times New Roman"/>
        </w:rPr>
      </w:pPr>
    </w:p>
    <w:p w:rsidR="008B506B" w:rsidRPr="00B26671" w:rsidRDefault="008B506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6671">
        <w:rPr>
          <w:rFonts w:ascii="Times New Roman" w:hAnsi="Times New Roman" w:cs="Times New Roman"/>
        </w:rPr>
        <w:t>V § 15 ods. 3 sa vypúšťajú slová „pre deti a mládež“.</w:t>
      </w:r>
    </w:p>
    <w:p w:rsidR="008B506B" w:rsidRPr="00B26671" w:rsidRDefault="008B506B">
      <w:pPr>
        <w:ind w:left="426"/>
        <w:jc w:val="both"/>
        <w:rPr>
          <w:rFonts w:ascii="Times New Roman" w:hAnsi="Times New Roman" w:cs="Times New Roman"/>
        </w:rPr>
      </w:pPr>
    </w:p>
    <w:p w:rsidR="008B506B" w:rsidRPr="00B26671" w:rsidRDefault="008B506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6671">
        <w:rPr>
          <w:rFonts w:ascii="Times New Roman" w:hAnsi="Times New Roman" w:cs="Times New Roman"/>
        </w:rPr>
        <w:t xml:space="preserve"> V § 15 odseky 5 a 6 znejú:</w:t>
      </w:r>
    </w:p>
    <w:p w:rsidR="008B506B" w:rsidRPr="00B26671" w:rsidRDefault="008B506B">
      <w:pPr>
        <w:ind w:left="993"/>
        <w:jc w:val="both"/>
        <w:rPr>
          <w:rFonts w:ascii="Times New Roman" w:eastAsia="Arial" w:hAnsi="Times New Roman" w:cs="Times New Roman"/>
        </w:rPr>
      </w:pPr>
      <w:r w:rsidRPr="00B26671">
        <w:rPr>
          <w:rFonts w:ascii="Times New Roman" w:hAnsi="Times New Roman" w:cs="Times New Roman"/>
        </w:rPr>
        <w:t xml:space="preserve">„(5) </w:t>
      </w:r>
      <w:r w:rsidRPr="00B26671">
        <w:rPr>
          <w:rFonts w:ascii="Times New Roman" w:eastAsia="Arial" w:hAnsi="Times New Roman" w:cs="Times New Roman"/>
        </w:rPr>
        <w:t>Ak tak ustanoví obec všeobecne záväzným nariadením, herňa nesmie byť umiestnená vo vzdialenosti menej ako 500 metrov od</w:t>
      </w:r>
    </w:p>
    <w:p w:rsidR="008B506B" w:rsidRPr="00A0760A" w:rsidRDefault="008B506B">
      <w:pPr>
        <w:pStyle w:val="Odsekzoznamu"/>
        <w:numPr>
          <w:ilvl w:val="0"/>
          <w:numId w:val="3"/>
        </w:numPr>
        <w:ind w:left="993" w:hanging="273"/>
        <w:jc w:val="both"/>
        <w:rPr>
          <w:rFonts w:ascii="Times New Roman" w:eastAsia="Arial" w:hAnsi="Times New Roman" w:cs="Times New Roman"/>
          <w:szCs w:val="24"/>
        </w:rPr>
      </w:pPr>
      <w:r w:rsidRPr="008B506B">
        <w:rPr>
          <w:rFonts w:ascii="Times New Roman" w:eastAsia="Arial" w:hAnsi="Times New Roman" w:cs="Times New Roman"/>
          <w:szCs w:val="24"/>
        </w:rPr>
        <w:t>školy;</w:t>
      </w:r>
      <w:r w:rsidRPr="008B506B">
        <w:rPr>
          <w:rFonts w:ascii="Times New Roman" w:eastAsia="Arial" w:hAnsi="Times New Roman" w:cs="Times New Roman"/>
          <w:szCs w:val="24"/>
          <w:vertAlign w:val="superscript"/>
        </w:rPr>
        <w:t>22</w:t>
      </w:r>
      <w:r w:rsidRPr="00647E4E">
        <w:rPr>
          <w:rFonts w:ascii="Times New Roman" w:eastAsia="Arial" w:hAnsi="Times New Roman" w:cs="Times New Roman"/>
          <w:szCs w:val="24"/>
        </w:rPr>
        <w:t>) to neplatí, ak ide o odborný výcvik, odbornú prax alebo umeleckú prax, ktorú žiak vykonáva na pracovisku zamestnávateľa alebo na pracovisku praktického vyučovania, ak sa žiak pripravuje v systéme</w:t>
      </w:r>
      <w:r w:rsidRPr="00A0760A">
        <w:rPr>
          <w:rFonts w:ascii="Times New Roman" w:eastAsia="Arial" w:hAnsi="Times New Roman" w:cs="Times New Roman"/>
          <w:szCs w:val="24"/>
        </w:rPr>
        <w:t xml:space="preserve"> duálneho vzdelávania,</w:t>
      </w:r>
    </w:p>
    <w:p w:rsidR="008B506B" w:rsidRPr="00C22764" w:rsidRDefault="008B506B">
      <w:pPr>
        <w:pStyle w:val="Odsekzoznamu"/>
        <w:numPr>
          <w:ilvl w:val="0"/>
          <w:numId w:val="3"/>
        </w:numPr>
        <w:ind w:left="993" w:hanging="273"/>
        <w:jc w:val="both"/>
        <w:rPr>
          <w:rFonts w:ascii="Times New Roman" w:eastAsia="Arial" w:hAnsi="Times New Roman" w:cs="Times New Roman"/>
          <w:szCs w:val="24"/>
        </w:rPr>
      </w:pPr>
      <w:r w:rsidRPr="004D5F1E">
        <w:rPr>
          <w:rFonts w:ascii="Times New Roman" w:eastAsia="Arial" w:hAnsi="Times New Roman" w:cs="Times New Roman"/>
          <w:szCs w:val="24"/>
        </w:rPr>
        <w:t>školského zariadenia,</w:t>
      </w:r>
      <w:r w:rsidRPr="004D5F1E">
        <w:rPr>
          <w:rFonts w:ascii="Times New Roman" w:eastAsia="Arial" w:hAnsi="Times New Roman" w:cs="Times New Roman"/>
          <w:szCs w:val="24"/>
          <w:vertAlign w:val="superscript"/>
        </w:rPr>
        <w:t>23</w:t>
      </w:r>
      <w:r w:rsidRPr="00C22764">
        <w:rPr>
          <w:rFonts w:ascii="Times New Roman" w:eastAsia="Arial" w:hAnsi="Times New Roman" w:cs="Times New Roman"/>
          <w:szCs w:val="24"/>
        </w:rPr>
        <w:t>)</w:t>
      </w:r>
    </w:p>
    <w:p w:rsidR="008B506B" w:rsidRPr="00C22764" w:rsidRDefault="008B506B">
      <w:pPr>
        <w:pStyle w:val="Odsekzoznamu"/>
        <w:numPr>
          <w:ilvl w:val="0"/>
          <w:numId w:val="3"/>
        </w:numPr>
        <w:ind w:left="993" w:hanging="273"/>
        <w:jc w:val="both"/>
        <w:rPr>
          <w:rFonts w:ascii="Times New Roman" w:eastAsia="Arial" w:hAnsi="Times New Roman" w:cs="Times New Roman"/>
          <w:szCs w:val="24"/>
        </w:rPr>
      </w:pPr>
      <w:r w:rsidRPr="00C22764">
        <w:rPr>
          <w:rFonts w:ascii="Times New Roman" w:eastAsia="Arial" w:hAnsi="Times New Roman" w:cs="Times New Roman"/>
          <w:szCs w:val="24"/>
        </w:rPr>
        <w:t>zariadenia sociálnych služieb, zariadenia sociálnoprávnej ochrany detí a sociálnej kurately,</w:t>
      </w:r>
    </w:p>
    <w:p w:rsidR="008B506B" w:rsidRPr="00C22764" w:rsidRDefault="008B506B">
      <w:pPr>
        <w:pStyle w:val="Odsekzoznamu"/>
        <w:numPr>
          <w:ilvl w:val="0"/>
          <w:numId w:val="3"/>
        </w:numPr>
        <w:ind w:left="993" w:hanging="273"/>
        <w:jc w:val="both"/>
        <w:rPr>
          <w:rFonts w:ascii="Times New Roman" w:eastAsia="Arial" w:hAnsi="Times New Roman" w:cs="Times New Roman"/>
          <w:szCs w:val="24"/>
        </w:rPr>
      </w:pPr>
      <w:r w:rsidRPr="00C22764">
        <w:rPr>
          <w:rFonts w:ascii="Times New Roman" w:eastAsia="Arial" w:hAnsi="Times New Roman" w:cs="Times New Roman"/>
          <w:szCs w:val="24"/>
        </w:rPr>
        <w:t>zariadenia pre liečbu nelátkových závislostí,</w:t>
      </w:r>
    </w:p>
    <w:p w:rsidR="008B506B" w:rsidRPr="00C22764" w:rsidRDefault="008B506B">
      <w:pPr>
        <w:pStyle w:val="Odsekzoznamu"/>
        <w:numPr>
          <w:ilvl w:val="0"/>
          <w:numId w:val="3"/>
        </w:numPr>
        <w:ind w:left="993" w:hanging="273"/>
        <w:jc w:val="both"/>
        <w:rPr>
          <w:rFonts w:ascii="Times New Roman" w:eastAsia="Arial" w:hAnsi="Times New Roman" w:cs="Times New Roman"/>
          <w:szCs w:val="24"/>
        </w:rPr>
      </w:pPr>
      <w:r w:rsidRPr="00C22764">
        <w:rPr>
          <w:rFonts w:ascii="Times New Roman" w:eastAsia="Arial" w:hAnsi="Times New Roman" w:cs="Times New Roman"/>
          <w:szCs w:val="24"/>
        </w:rPr>
        <w:t>ubytovne mládeže.</w:t>
      </w:r>
    </w:p>
    <w:p w:rsidR="008B506B" w:rsidRPr="00B26671" w:rsidRDefault="008B506B" w:rsidP="009B39AD">
      <w:pPr>
        <w:ind w:left="993"/>
        <w:jc w:val="both"/>
        <w:rPr>
          <w:rFonts w:ascii="Times New Roman" w:eastAsia="Arial" w:hAnsi="Times New Roman" w:cs="Times New Roman"/>
        </w:rPr>
      </w:pPr>
    </w:p>
    <w:p w:rsidR="008B506B" w:rsidRPr="00B26671" w:rsidRDefault="008B506B" w:rsidP="009B39AD">
      <w:pPr>
        <w:ind w:left="709"/>
        <w:jc w:val="both"/>
        <w:rPr>
          <w:rFonts w:ascii="Times New Roman" w:eastAsia="Arial" w:hAnsi="Times New Roman" w:cs="Times New Roman"/>
        </w:rPr>
      </w:pPr>
      <w:r w:rsidRPr="00B26671">
        <w:rPr>
          <w:rFonts w:ascii="Times New Roman" w:eastAsia="Arial" w:hAnsi="Times New Roman" w:cs="Times New Roman"/>
        </w:rPr>
        <w:t>(6) Vzdialenosťou sa rozumie vodorovná vzdialenosť medzi budovou, v ktorej je umiestnená herňa, a najbližšou budovou, v ktorej je umiestnená iná herňa, budovou školy, školského zariadenia, zariadenia sociálnych služieb, zariadenia sociálnoprávnej ochrany detí a sociálnej kurately, zariadenia pre liečbu nelátkových závislostí a budovou ubytovne mládeže.“.</w:t>
      </w:r>
    </w:p>
    <w:p w:rsidR="008B506B" w:rsidRPr="00B26671" w:rsidRDefault="008B506B" w:rsidP="00672727">
      <w:pPr>
        <w:ind w:left="709"/>
        <w:jc w:val="both"/>
        <w:rPr>
          <w:rFonts w:ascii="Times New Roman" w:eastAsia="Arial" w:hAnsi="Times New Roman" w:cs="Times New Roman"/>
        </w:rPr>
      </w:pPr>
    </w:p>
    <w:p w:rsidR="008B506B" w:rsidRPr="00647E4E" w:rsidRDefault="00672727" w:rsidP="009B39AD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</w:t>
      </w:r>
      <w:r w:rsidR="008B506B" w:rsidRPr="00B26671">
        <w:rPr>
          <w:rFonts w:ascii="Times New Roman" w:eastAsia="Arial" w:hAnsi="Times New Roman" w:cs="Times New Roman"/>
        </w:rPr>
        <w:t>Poznámka pod čiarou k odkazu 24 sa vypúšťa.</w:t>
      </w:r>
    </w:p>
    <w:p w:rsidR="00647E4E" w:rsidRPr="00A0760A" w:rsidRDefault="00647E4E" w:rsidP="009B39AD">
      <w:pPr>
        <w:ind w:left="709" w:firstLine="294"/>
        <w:jc w:val="both"/>
        <w:rPr>
          <w:rFonts w:ascii="Times New Roman" w:eastAsia="Arial" w:hAnsi="Times New Roman" w:cs="Times New Roman"/>
        </w:rPr>
      </w:pPr>
    </w:p>
    <w:p w:rsidR="00647E4E" w:rsidRPr="00B26671" w:rsidRDefault="00647E4E" w:rsidP="009B39AD">
      <w:pPr>
        <w:pStyle w:val="Odsekzoznamu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B26671">
        <w:rPr>
          <w:rFonts w:ascii="Times New Roman" w:eastAsia="Arial" w:hAnsi="Times New Roman" w:cs="Times New Roman"/>
        </w:rPr>
        <w:t xml:space="preserve">V § 33 ods. 2 sa slová „písm. c) a e) až h)“ nahrádzajú slovami „písm. c) až h)“.   </w:t>
      </w:r>
    </w:p>
    <w:p w:rsidR="00647E4E" w:rsidRPr="00B26671" w:rsidRDefault="00647E4E" w:rsidP="009B39AD">
      <w:pPr>
        <w:ind w:left="709" w:firstLine="294"/>
        <w:jc w:val="both"/>
        <w:rPr>
          <w:rFonts w:ascii="Times New Roman" w:eastAsia="Arial" w:hAnsi="Times New Roman" w:cs="Times New Roman"/>
        </w:rPr>
      </w:pPr>
    </w:p>
    <w:p w:rsidR="005B02DE" w:rsidRPr="00E11370" w:rsidRDefault="00F0623B" w:rsidP="009B39AD">
      <w:pPr>
        <w:pStyle w:val="LO-normal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</w:rPr>
      </w:pPr>
      <w:r w:rsidRPr="008B506B">
        <w:rPr>
          <w:rFonts w:ascii="Times New Roman" w:eastAsia="Times New Roman" w:hAnsi="Times New Roman" w:cs="Times New Roman"/>
          <w:color w:val="000000"/>
        </w:rPr>
        <w:lastRenderedPageBreak/>
        <w:t>V</w:t>
      </w:r>
      <w:r w:rsidRPr="00647E4E">
        <w:rPr>
          <w:rFonts w:ascii="Times New Roman" w:eastAsia="Times New Roman" w:hAnsi="Times New Roman" w:cs="Times New Roman"/>
          <w:color w:val="000000"/>
        </w:rPr>
        <w:t xml:space="preserve"> § 40 ods. 2 sa slová „podľa § 79 ods. 3, 4, 6 aleb</w:t>
      </w:r>
      <w:r w:rsidRPr="005B02DE">
        <w:rPr>
          <w:rFonts w:ascii="Times New Roman" w:eastAsia="Times New Roman" w:hAnsi="Times New Roman" w:cs="Times New Roman"/>
          <w:color w:val="000000"/>
        </w:rPr>
        <w:t>o 7“ nahrádzajú slovami „podľa § 79 ods. 3, 4, 5 alebo 6“.</w:t>
      </w:r>
    </w:p>
    <w:p w:rsidR="00F0623B" w:rsidRPr="005B02DE" w:rsidRDefault="00F0623B" w:rsidP="005E0B98">
      <w:pPr>
        <w:pStyle w:val="LO-normal"/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:rsidR="005B02DE" w:rsidRDefault="005B02DE" w:rsidP="00C25839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§ 77 odsek 8 znie:</w:t>
      </w:r>
    </w:p>
    <w:p w:rsidR="005B02DE" w:rsidRDefault="005B02DE" w:rsidP="00C25839">
      <w:pPr>
        <w:pStyle w:val="LO-normal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„</w:t>
      </w:r>
      <w:r w:rsidR="00F4274A">
        <w:rPr>
          <w:rFonts w:ascii="Times New Roman" w:eastAsia="Times New Roman" w:hAnsi="Times New Roman" w:cs="Times New Roman"/>
          <w:color w:val="000000"/>
        </w:rPr>
        <w:t xml:space="preserve">(8) </w:t>
      </w:r>
      <w:r>
        <w:rPr>
          <w:rFonts w:ascii="Times New Roman" w:eastAsia="Times New Roman" w:hAnsi="Times New Roman" w:cs="Times New Roman"/>
          <w:color w:val="000000"/>
        </w:rPr>
        <w:t>Minister financií može odvolať generálneho riaditeľa úradu aj z iných dôvodov ako sú uvedené v odseku 7 alebo aj bez uvedenia dôvodu.“.</w:t>
      </w:r>
    </w:p>
    <w:p w:rsidR="005B02DE" w:rsidRDefault="005B02DE" w:rsidP="009B39AD">
      <w:pPr>
        <w:pStyle w:val="LO-normal"/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p w:rsidR="00F0623B" w:rsidRPr="00B26671" w:rsidRDefault="00F0623B" w:rsidP="009B39AD">
      <w:pPr>
        <w:pStyle w:val="LO-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color w:val="000000"/>
        </w:rPr>
        <w:t>V § 77 ods. 9 písm. r) sa slová „podľa § 79 ods. 3, 4 a 6“</w:t>
      </w:r>
      <w:r w:rsidR="00672727">
        <w:rPr>
          <w:rFonts w:ascii="Times New Roman" w:eastAsia="Times New Roman" w:hAnsi="Times New Roman" w:cs="Times New Roman"/>
          <w:color w:val="000000"/>
        </w:rPr>
        <w:t xml:space="preserve"> </w:t>
      </w:r>
      <w:r w:rsidRPr="00E11370">
        <w:rPr>
          <w:rFonts w:ascii="Times New Roman" w:eastAsia="Times New Roman" w:hAnsi="Times New Roman" w:cs="Times New Roman"/>
          <w:color w:val="000000"/>
        </w:rPr>
        <w:t>nahrádzajú slovami „podľa § 79 ods. 3, 4 a 5“.</w:t>
      </w:r>
    </w:p>
    <w:p w:rsidR="005B02DE" w:rsidRPr="00B26671" w:rsidRDefault="005B02DE" w:rsidP="00306CC6">
      <w:pPr>
        <w:pStyle w:val="LO-normal"/>
        <w:ind w:left="720"/>
        <w:rPr>
          <w:rFonts w:ascii="Times New Roman" w:hAnsi="Times New Roman" w:cs="Times New Roman"/>
        </w:rPr>
      </w:pPr>
    </w:p>
    <w:p w:rsidR="005B02DE" w:rsidRPr="00AE29A1" w:rsidRDefault="005B02DE" w:rsidP="00306CC6">
      <w:pPr>
        <w:pStyle w:val="LO-normal"/>
        <w:numPr>
          <w:ilvl w:val="0"/>
          <w:numId w:val="1"/>
        </w:num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 § 77 ods. 16 písmeno c) znie:</w:t>
      </w:r>
    </w:p>
    <w:p w:rsidR="00C25839" w:rsidRDefault="00C25839" w:rsidP="00306CC6">
      <w:pPr>
        <w:pStyle w:val="LO-normal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B02DE">
        <w:rPr>
          <w:rFonts w:ascii="Times New Roman" w:hAnsi="Times New Roman"/>
        </w:rPr>
        <w:t xml:space="preserve">„c) odvolaním 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 dôvodov 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uvedených 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="005B02DE">
        <w:rPr>
          <w:rFonts w:ascii="Times New Roman" w:hAnsi="Times New Roman"/>
        </w:rPr>
        <w:t>odseku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 18 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alebo 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>odvolaním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 bez</w:t>
      </w:r>
      <w:r>
        <w:rPr>
          <w:rFonts w:ascii="Times New Roman" w:hAnsi="Times New Roman"/>
        </w:rPr>
        <w:t xml:space="preserve"> </w:t>
      </w:r>
      <w:r w:rsidR="005B02DE">
        <w:rPr>
          <w:rFonts w:ascii="Times New Roman" w:hAnsi="Times New Roman"/>
        </w:rPr>
        <w:t xml:space="preserve"> uvedenia </w:t>
      </w:r>
      <w:r>
        <w:rPr>
          <w:rFonts w:ascii="Times New Roman" w:hAnsi="Times New Roman"/>
        </w:rPr>
        <w:t xml:space="preserve"> </w:t>
      </w:r>
    </w:p>
    <w:p w:rsidR="005B02DE" w:rsidRPr="00E11370" w:rsidRDefault="00C25839" w:rsidP="00306CC6">
      <w:pPr>
        <w:pStyle w:val="LO-normal"/>
        <w:ind w:left="426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</w:t>
      </w:r>
      <w:r w:rsidR="005B02DE">
        <w:rPr>
          <w:rFonts w:ascii="Times New Roman" w:hAnsi="Times New Roman"/>
        </w:rPr>
        <w:t>dôvodu,“.</w:t>
      </w:r>
    </w:p>
    <w:p w:rsidR="005B02DE" w:rsidRPr="00E11370" w:rsidRDefault="005B02DE" w:rsidP="00306CC6">
      <w:pPr>
        <w:pStyle w:val="LO-normal"/>
        <w:ind w:left="720"/>
        <w:rPr>
          <w:rFonts w:ascii="Times New Roman" w:hAnsi="Times New Roman" w:cs="Times New Roman"/>
        </w:rPr>
      </w:pPr>
    </w:p>
    <w:p w:rsidR="00F0623B" w:rsidRPr="00E11370" w:rsidRDefault="00F0623B" w:rsidP="009B39AD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E11370">
        <w:rPr>
          <w:rFonts w:ascii="Times New Roman" w:eastAsia="Times New Roman" w:hAnsi="Times New Roman" w:cs="Times New Roman"/>
          <w:color w:val="000000"/>
        </w:rPr>
        <w:t xml:space="preserve">V § 79 ods. 3 sa vypúšťajú slová „za podmienok podľa odseku 5“ . </w:t>
      </w:r>
    </w:p>
    <w:p w:rsidR="00F0623B" w:rsidRPr="00E11370" w:rsidRDefault="00F0623B" w:rsidP="009B39AD">
      <w:pPr>
        <w:pStyle w:val="LO-normal"/>
        <w:jc w:val="both"/>
        <w:rPr>
          <w:rFonts w:ascii="Times New Roman" w:eastAsia="Times New Roman" w:hAnsi="Times New Roman" w:cs="Times New Roman"/>
        </w:rPr>
      </w:pPr>
    </w:p>
    <w:p w:rsidR="00F0623B" w:rsidRPr="00E11370" w:rsidRDefault="00F0623B" w:rsidP="009B39AD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E11370">
        <w:rPr>
          <w:rFonts w:ascii="Times New Roman" w:eastAsia="Times New Roman" w:hAnsi="Times New Roman" w:cs="Times New Roman"/>
          <w:color w:val="000000"/>
        </w:rPr>
        <w:t xml:space="preserve">V § 79 ods. 4 sa vypúšťajú slová „za podmienok podľa odseku 5“ . </w:t>
      </w:r>
    </w:p>
    <w:p w:rsidR="00F0623B" w:rsidRPr="00E11370" w:rsidRDefault="00F0623B" w:rsidP="009B39AD">
      <w:pPr>
        <w:pStyle w:val="LO-normal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F0623B" w:rsidRPr="00E11370" w:rsidRDefault="00F0623B" w:rsidP="009B39AD">
      <w:pPr>
        <w:pStyle w:val="LO-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color w:val="000000"/>
        </w:rPr>
        <w:t xml:space="preserve">V § 79 sa vypúšťa odsek 5. </w:t>
      </w:r>
    </w:p>
    <w:p w:rsidR="00F0623B" w:rsidRPr="00E11370" w:rsidRDefault="00F0623B" w:rsidP="009B39AD">
      <w:pPr>
        <w:pStyle w:val="LO-normal"/>
        <w:ind w:left="1080"/>
        <w:jc w:val="both"/>
        <w:rPr>
          <w:rFonts w:ascii="Times New Roman" w:eastAsia="Times New Roman" w:hAnsi="Times New Roman" w:cs="Times New Roman"/>
        </w:rPr>
      </w:pPr>
    </w:p>
    <w:p w:rsidR="00F0623B" w:rsidRPr="00E11370" w:rsidRDefault="00DA6450" w:rsidP="009B39AD">
      <w:pPr>
        <w:pStyle w:val="LO-normal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F0623B" w:rsidRPr="00E11370">
        <w:rPr>
          <w:rFonts w:ascii="Times New Roman" w:eastAsia="Times New Roman" w:hAnsi="Times New Roman" w:cs="Times New Roman"/>
        </w:rPr>
        <w:t xml:space="preserve">Doterajšie odseky 6 až 10 sa označujú ako odseky 5 až 9. </w:t>
      </w:r>
    </w:p>
    <w:p w:rsidR="005E27E3" w:rsidRDefault="005E27E3" w:rsidP="009B39AD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</w:p>
    <w:p w:rsidR="00F0623B" w:rsidRDefault="005E27E3" w:rsidP="009B39AD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Poznámky pod čiarou k odkazom 49 a 50 sa vypúšťajú.</w:t>
      </w:r>
    </w:p>
    <w:p w:rsidR="005E27E3" w:rsidRPr="00E11370" w:rsidRDefault="005E27E3" w:rsidP="009B39AD">
      <w:pPr>
        <w:pStyle w:val="LO-normal"/>
        <w:ind w:left="720"/>
        <w:jc w:val="both"/>
        <w:rPr>
          <w:rFonts w:ascii="Times New Roman" w:eastAsia="Times New Roman" w:hAnsi="Times New Roman" w:cs="Times New Roman"/>
        </w:rPr>
      </w:pPr>
    </w:p>
    <w:p w:rsidR="0050632A" w:rsidRPr="00984BC1" w:rsidRDefault="0050632A" w:rsidP="00456A2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4BC1">
        <w:rPr>
          <w:rFonts w:ascii="Times New Roman" w:hAnsi="Times New Roman" w:cs="Times New Roman"/>
        </w:rPr>
        <w:t>V § 79 ods. 7 sa slová „podľa odsekov 3, 4, 6 alebo odseku 7“ nahrádzajú slovami „podľa odsekov 3, 4, 5 alebo odseku 6“.</w:t>
      </w:r>
    </w:p>
    <w:p w:rsidR="0050632A" w:rsidRPr="00984BC1" w:rsidRDefault="0050632A" w:rsidP="00456A24">
      <w:pPr>
        <w:pStyle w:val="Odsekzoznamu"/>
        <w:jc w:val="both"/>
        <w:rPr>
          <w:rFonts w:ascii="Times New Roman" w:hAnsi="Times New Roman" w:cs="Times New Roman"/>
        </w:rPr>
      </w:pPr>
    </w:p>
    <w:p w:rsidR="0050632A" w:rsidRPr="00984BC1" w:rsidRDefault="0050632A" w:rsidP="00456A2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84BC1">
        <w:rPr>
          <w:rFonts w:ascii="Times New Roman" w:hAnsi="Times New Roman" w:cs="Times New Roman"/>
        </w:rPr>
        <w:t>V § 79 ods. 8 sa slová „podľa odsekov 3, 4 a 6“ nahrádzajú slovami „podľa odsekov 3, 4 a 5“ a slová „podľa odseku 8“ sa nahrádzajú slovami „podľa odseku 7“.</w:t>
      </w:r>
      <w:r w:rsidRPr="00984BC1" w:rsidDel="00984BC1">
        <w:rPr>
          <w:rFonts w:ascii="Times New Roman" w:hAnsi="Times New Roman" w:cs="Times New Roman"/>
        </w:rPr>
        <w:t xml:space="preserve"> </w:t>
      </w:r>
    </w:p>
    <w:p w:rsidR="0050632A" w:rsidRPr="00984BC1" w:rsidRDefault="0050632A" w:rsidP="00456A24">
      <w:pPr>
        <w:pStyle w:val="Odsekzoznamu"/>
        <w:jc w:val="both"/>
        <w:rPr>
          <w:rFonts w:ascii="Times New Roman" w:hAnsi="Times New Roman" w:cs="Times New Roman"/>
        </w:rPr>
      </w:pPr>
    </w:p>
    <w:p w:rsidR="0050632A" w:rsidRPr="00984BC1" w:rsidRDefault="0050632A" w:rsidP="00456A24">
      <w:pPr>
        <w:pStyle w:val="Odsekzoznamu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984BC1">
        <w:rPr>
          <w:rFonts w:ascii="Times New Roman" w:hAnsi="Times New Roman" w:cs="Times New Roman"/>
        </w:rPr>
        <w:lastRenderedPageBreak/>
        <w:t>V § 79 ods. 9 sa slová „odseku 7“ nahrádzajú slovami „odseku 6“ a slová „podľa odseku 8“ sa nahrádzajú slovami „podľa odseku 7“.</w:t>
      </w:r>
    </w:p>
    <w:p w:rsidR="00F0623B" w:rsidRPr="00E11370" w:rsidRDefault="00F0623B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A0760A" w:rsidRPr="00826DED" w:rsidRDefault="00A0760A" w:rsidP="00672727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826DED">
        <w:rPr>
          <w:rFonts w:ascii="Times New Roman" w:hAnsi="Times New Roman"/>
        </w:rPr>
        <w:t>V § 81 ods. 8 písm. a) sa na konci čiarka nahrádza bodkočiarkou a pripájajú sa tieto slová: „ak nie je možné technické zariadenie, iné zariadenie alebo systém zaistiť a odobrať bez prekonania prekážky znemožňujúcej ich zaistenie a odobratie, osoba poverená výkonom dozoru je oprávnená takúto prekážku prekonať,“.</w:t>
      </w:r>
    </w:p>
    <w:p w:rsidR="00F0623B" w:rsidRPr="00E11370" w:rsidRDefault="00F0623B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0623B" w:rsidRDefault="00F0623B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4D5F1E" w:rsidRPr="00B20E3C" w:rsidRDefault="004D5F1E" w:rsidP="00672727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B20E3C">
        <w:rPr>
          <w:rFonts w:ascii="Times New Roman" w:hAnsi="Times New Roman"/>
        </w:rPr>
        <w:t>V § 81 ods. 8 písm. c) a § 83 ods. 4 písm. f) sa slová „zaistiť alebo zapečatiť“ nahrádzajú  slovami „zapečatiť alebo zaistiť a odobrať ich na zabezpečenie dôkazov a ďalšie úkony súvisiace s dozorom“.</w:t>
      </w:r>
    </w:p>
    <w:p w:rsidR="00A0760A" w:rsidRDefault="00A0760A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4D5F1E" w:rsidRPr="004D5F1E" w:rsidRDefault="004D5F1E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4D5F1E" w:rsidRPr="00B20E3C" w:rsidRDefault="004D5F1E" w:rsidP="00456A24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0E3C">
        <w:rPr>
          <w:rFonts w:ascii="Times New Roman" w:hAnsi="Times New Roman" w:cs="Times New Roman"/>
        </w:rPr>
        <w:t>Za § 100 sa vkladá § 100a, ktorý vrátane nadpisu znie:</w:t>
      </w:r>
    </w:p>
    <w:p w:rsidR="004D5F1E" w:rsidRPr="00B20E3C" w:rsidRDefault="004D5F1E" w:rsidP="00456A24">
      <w:pPr>
        <w:ind w:left="709"/>
        <w:jc w:val="both"/>
        <w:rPr>
          <w:rFonts w:ascii="Times New Roman" w:hAnsi="Times New Roman" w:cs="Times New Roman"/>
        </w:rPr>
      </w:pPr>
    </w:p>
    <w:p w:rsidR="004D5F1E" w:rsidRPr="00B20E3C" w:rsidRDefault="004D5F1E" w:rsidP="00456A24">
      <w:pPr>
        <w:ind w:left="709"/>
        <w:jc w:val="center"/>
        <w:rPr>
          <w:rFonts w:ascii="Times New Roman" w:hAnsi="Times New Roman" w:cs="Times New Roman"/>
        </w:rPr>
      </w:pPr>
      <w:r w:rsidRPr="00B20E3C">
        <w:rPr>
          <w:rFonts w:ascii="Times New Roman" w:hAnsi="Times New Roman" w:cs="Times New Roman"/>
        </w:rPr>
        <w:t>„§ 100a</w:t>
      </w:r>
    </w:p>
    <w:p w:rsidR="004D5F1E" w:rsidRPr="00B20E3C" w:rsidRDefault="004D5F1E" w:rsidP="00456A24">
      <w:pPr>
        <w:ind w:left="709"/>
        <w:jc w:val="center"/>
        <w:rPr>
          <w:rFonts w:ascii="Times New Roman" w:hAnsi="Times New Roman" w:cs="Times New Roman"/>
        </w:rPr>
      </w:pPr>
      <w:r w:rsidRPr="00B20E3C">
        <w:rPr>
          <w:rFonts w:ascii="Times New Roman" w:hAnsi="Times New Roman" w:cs="Times New Roman"/>
        </w:rPr>
        <w:t>Prechodné ustanovenie k úprave účinnej od 1. novembra 2020</w:t>
      </w:r>
    </w:p>
    <w:p w:rsidR="004D5F1E" w:rsidRPr="00B20E3C" w:rsidRDefault="004D5F1E" w:rsidP="00672727">
      <w:pPr>
        <w:ind w:left="709"/>
        <w:jc w:val="both"/>
        <w:rPr>
          <w:rFonts w:ascii="Times New Roman" w:hAnsi="Times New Roman" w:cs="Times New Roman"/>
        </w:rPr>
      </w:pPr>
    </w:p>
    <w:p w:rsidR="004D5F1E" w:rsidRPr="004D5F1E" w:rsidRDefault="004D5F1E" w:rsidP="00456A24">
      <w:pPr>
        <w:pStyle w:val="LO-normal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20E3C">
        <w:rPr>
          <w:rFonts w:ascii="Times New Roman" w:hAnsi="Times New Roman" w:cs="Times New Roman"/>
        </w:rPr>
        <w:t>Ak je herňa umiestnená v zariadení sociálnych služieb, v ktorom podľa § 15 ods. 3 v znení účinnom od 1. novembra 2020 nemôže byť umiestnená, je prevádzkovateľ hazardnej hry v herni povinný do 30. júna 2021 zosúladiť umiestnenie herne s § 15 ods. 3 v znení účinnom od 1. novembra 2020.“.</w:t>
      </w:r>
    </w:p>
    <w:p w:rsidR="004D5F1E" w:rsidRDefault="004D5F1E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4D5F1E" w:rsidRDefault="004D5F1E" w:rsidP="00456A24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0623B" w:rsidRPr="00E11370" w:rsidRDefault="00F0623B" w:rsidP="00456A24">
      <w:pPr>
        <w:pStyle w:val="LO-normal"/>
        <w:jc w:val="center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b/>
          <w:color w:val="000000"/>
        </w:rPr>
        <w:t>Čl. II</w:t>
      </w:r>
    </w:p>
    <w:p w:rsidR="00F0623B" w:rsidRPr="00E11370" w:rsidRDefault="00F0623B" w:rsidP="005E0B98">
      <w:pPr>
        <w:pStyle w:val="LO-normal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0623B" w:rsidRPr="00E11370" w:rsidRDefault="00F0623B" w:rsidP="00673DE3">
      <w:pPr>
        <w:pStyle w:val="LO-normal"/>
        <w:ind w:left="709" w:firstLine="709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 xml:space="preserve">Zákon Slovenskej národnej rady č. 377/1990 Zb. o hlavnom meste Slovenskej republiky Bratislave v znení zákona Slovenskej národnej rady č. 523/1990 Zb., zákona Slovenskej národnej rady č. 130/1991 Zb., zákona Slovenskej </w:t>
      </w:r>
      <w:r w:rsidRPr="00E11370">
        <w:rPr>
          <w:rFonts w:ascii="Times New Roman" w:eastAsia="Times New Roman" w:hAnsi="Times New Roman" w:cs="Times New Roman"/>
        </w:rPr>
        <w:lastRenderedPageBreak/>
        <w:t xml:space="preserve">národnej rady č. 295/1992 Zb., zákona č. 233/1998 Z. z., zákona č. 255/2007 Z. z., zákona č. 445/2008 Z. z., zákona č. 535/2008 Z. z., zákona č. 113/2010 Z. z., zákona č. 371/2012 Z. z., zákona č. 160/2014 Z. z., zákona č. 386/2016 Z. z. a zákona č. 73/2020 Z. z. </w:t>
      </w:r>
      <w:r w:rsidRPr="004B3D5D">
        <w:rPr>
          <w:rFonts w:ascii="Times New Roman" w:eastAsia="Times New Roman" w:hAnsi="Times New Roman" w:cs="Times New Roman"/>
        </w:rPr>
        <w:t>sa mení</w:t>
      </w:r>
      <w:r w:rsidRPr="00E11370">
        <w:rPr>
          <w:rFonts w:ascii="Times New Roman" w:eastAsia="Times New Roman" w:hAnsi="Times New Roman" w:cs="Times New Roman"/>
        </w:rPr>
        <w:t xml:space="preserve"> takto: </w:t>
      </w:r>
    </w:p>
    <w:p w:rsidR="00F0623B" w:rsidRPr="00E11370" w:rsidRDefault="00F0623B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>V § 26a sa vypúšťa odsek 2.</w:t>
      </w:r>
      <w:r w:rsidR="00371585">
        <w:rPr>
          <w:rFonts w:ascii="Times New Roman" w:eastAsia="Times New Roman" w:hAnsi="Times New Roman" w:cs="Times New Roman"/>
        </w:rPr>
        <w:t xml:space="preserve"> Súčasne sa zrušuje označenie odseku 1.</w:t>
      </w: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hAnsi="Times New Roman" w:cs="Times New Roman"/>
        </w:rPr>
      </w:pP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>Poznámka pod čiarou k odkazu 8 sa vypúšťa.</w:t>
      </w: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F0623B" w:rsidRPr="00E11370" w:rsidRDefault="00F0623B" w:rsidP="00DB3992">
      <w:pPr>
        <w:pStyle w:val="LO-normal"/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F0623B" w:rsidRPr="00E11370" w:rsidRDefault="00F0623B" w:rsidP="00DB3992">
      <w:pPr>
        <w:pStyle w:val="LO-normal"/>
        <w:tabs>
          <w:tab w:val="left" w:pos="4536"/>
        </w:tabs>
        <w:ind w:firstLine="709"/>
        <w:jc w:val="center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  <w:b/>
          <w:color w:val="000000"/>
        </w:rPr>
        <w:t>Čl. III</w:t>
      </w:r>
    </w:p>
    <w:p w:rsidR="00F0623B" w:rsidRPr="00E11370" w:rsidRDefault="00F0623B" w:rsidP="00673DE3">
      <w:pPr>
        <w:pStyle w:val="LO-normal"/>
        <w:ind w:firstLine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F0623B" w:rsidRPr="00E11370" w:rsidRDefault="00F0623B" w:rsidP="00673DE3">
      <w:pPr>
        <w:pStyle w:val="LO-normal"/>
        <w:ind w:left="709" w:firstLine="709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 xml:space="preserve">Zákon Slovenskej národnej rady č. </w:t>
      </w:r>
      <w:hyperlink r:id="rId7">
        <w:r w:rsidRPr="00E11370">
          <w:rPr>
            <w:rStyle w:val="ListLabel10"/>
            <w:rFonts w:eastAsia="Calibri"/>
          </w:rPr>
          <w:t>401/1990 Zb.</w:t>
        </w:r>
      </w:hyperlink>
      <w:r w:rsidRPr="00E11370">
        <w:rPr>
          <w:rFonts w:ascii="Times New Roman" w:eastAsia="Times New Roman" w:hAnsi="Times New Roman" w:cs="Times New Roman"/>
        </w:rPr>
        <w:t xml:space="preserve"> o meste Košice v 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z., zákona č. 160/2014 Z. z., zákona č. 386/2014 Z. z., zákona č. 386/2016 Z. z. a zákona č. 73/2020 Z. z</w:t>
      </w:r>
      <w:r w:rsidRPr="004B3D5D">
        <w:rPr>
          <w:rFonts w:ascii="Times New Roman" w:eastAsia="Times New Roman" w:hAnsi="Times New Roman" w:cs="Times New Roman"/>
        </w:rPr>
        <w:t>. sa mení</w:t>
      </w:r>
      <w:r w:rsidRPr="00E11370">
        <w:rPr>
          <w:rFonts w:ascii="Times New Roman" w:eastAsia="Times New Roman" w:hAnsi="Times New Roman" w:cs="Times New Roman"/>
        </w:rPr>
        <w:t xml:space="preserve"> takto: </w:t>
      </w: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371585" w:rsidRPr="00E11370" w:rsidRDefault="00F0623B" w:rsidP="00673DE3">
      <w:pPr>
        <w:pStyle w:val="LO-normal"/>
        <w:ind w:firstLine="709"/>
        <w:jc w:val="both"/>
        <w:rPr>
          <w:rFonts w:ascii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>V § 21a sa vypúšťa odsek 2.</w:t>
      </w:r>
      <w:r w:rsidR="00371585">
        <w:rPr>
          <w:rFonts w:ascii="Times New Roman" w:eastAsia="Times New Roman" w:hAnsi="Times New Roman" w:cs="Times New Roman"/>
        </w:rPr>
        <w:t xml:space="preserve"> Súčasne sa zrušuje označenie odseku 1.</w:t>
      </w:r>
    </w:p>
    <w:p w:rsidR="00F0623B" w:rsidRPr="00E11370" w:rsidRDefault="00F0623B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F0623B" w:rsidRDefault="00F0623B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>Poznámka pod čiarou k odkazu 6d sa vypúšťa.</w:t>
      </w: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firstLine="709"/>
        <w:jc w:val="both"/>
        <w:rPr>
          <w:rFonts w:ascii="Times New Roman" w:eastAsia="Times New Roman" w:hAnsi="Times New Roman" w:cs="Times New Roman"/>
        </w:rPr>
      </w:pPr>
    </w:p>
    <w:p w:rsidR="004A5557" w:rsidRPr="00E11370" w:rsidRDefault="004A5557" w:rsidP="00673DE3">
      <w:pPr>
        <w:pStyle w:val="LO-normal"/>
        <w:ind w:firstLine="709"/>
        <w:jc w:val="both"/>
        <w:rPr>
          <w:rFonts w:ascii="Times New Roman" w:hAnsi="Times New Roman" w:cs="Times New Roman"/>
        </w:rPr>
      </w:pPr>
    </w:p>
    <w:p w:rsidR="00F0623B" w:rsidRPr="00E11370" w:rsidRDefault="00F0623B" w:rsidP="00673DE3">
      <w:pPr>
        <w:pStyle w:val="LO-normal"/>
        <w:ind w:left="720" w:firstLine="709"/>
        <w:jc w:val="both"/>
        <w:rPr>
          <w:rFonts w:ascii="Times New Roman" w:eastAsia="Times New Roman" w:hAnsi="Times New Roman" w:cs="Times New Roman"/>
          <w:b/>
        </w:rPr>
      </w:pPr>
    </w:p>
    <w:p w:rsidR="00F0623B" w:rsidRPr="00E11370" w:rsidRDefault="00DB3992" w:rsidP="00DB3992">
      <w:pPr>
        <w:pStyle w:val="LO-normal"/>
        <w:tabs>
          <w:tab w:val="left" w:pos="4536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="00F0623B" w:rsidRPr="00E11370">
        <w:rPr>
          <w:rFonts w:ascii="Times New Roman" w:eastAsia="Times New Roman" w:hAnsi="Times New Roman" w:cs="Times New Roman"/>
          <w:b/>
        </w:rPr>
        <w:t>Čl. IV</w:t>
      </w:r>
    </w:p>
    <w:p w:rsidR="00F0623B" w:rsidRPr="00E11370" w:rsidRDefault="00F0623B" w:rsidP="00DB3992">
      <w:pPr>
        <w:pStyle w:val="LO-normal"/>
        <w:ind w:left="720" w:firstLine="709"/>
        <w:jc w:val="center"/>
        <w:rPr>
          <w:rFonts w:ascii="Times New Roman" w:eastAsia="Times New Roman" w:hAnsi="Times New Roman" w:cs="Times New Roman"/>
          <w:b/>
        </w:rPr>
      </w:pPr>
    </w:p>
    <w:p w:rsidR="004D0AB8" w:rsidRDefault="00F0623B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  <w:r w:rsidRPr="00E11370">
        <w:rPr>
          <w:rFonts w:ascii="Times New Roman" w:eastAsia="Times New Roman" w:hAnsi="Times New Roman" w:cs="Times New Roman"/>
        </w:rPr>
        <w:t xml:space="preserve">Tento zákon nadobúda účinnosť </w:t>
      </w:r>
      <w:r w:rsidR="004D5F1E">
        <w:rPr>
          <w:rFonts w:ascii="Times New Roman" w:eastAsia="Times New Roman" w:hAnsi="Times New Roman" w:cs="Times New Roman"/>
        </w:rPr>
        <w:t xml:space="preserve">1. novembra 2020 okrem čl. I bodu </w:t>
      </w:r>
      <w:r w:rsidR="00531DE0">
        <w:rPr>
          <w:rFonts w:ascii="Times New Roman" w:eastAsia="Times New Roman" w:hAnsi="Times New Roman" w:cs="Times New Roman"/>
        </w:rPr>
        <w:t>6</w:t>
      </w:r>
      <w:r w:rsidR="004D5F1E">
        <w:rPr>
          <w:rFonts w:ascii="Times New Roman" w:eastAsia="Times New Roman" w:hAnsi="Times New Roman" w:cs="Times New Roman"/>
        </w:rPr>
        <w:t>, ktorý nadobúda účinnosť 1. januára 2022.</w:t>
      </w:r>
      <w:r w:rsidRPr="00E11370">
        <w:rPr>
          <w:rFonts w:ascii="Times New Roman" w:eastAsia="Times New Roman" w:hAnsi="Times New Roman" w:cs="Times New Roman"/>
        </w:rPr>
        <w:t xml:space="preserve"> </w:t>
      </w:r>
    </w:p>
    <w:p w:rsidR="004A5557" w:rsidRDefault="004A5557" w:rsidP="004A5557">
      <w:pPr>
        <w:pStyle w:val="LO-normal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4A5557" w:rsidRDefault="004A5557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673DE3">
      <w:pPr>
        <w:pStyle w:val="LO-normal"/>
        <w:ind w:left="709" w:firstLine="709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prezident</w:t>
      </w:r>
      <w:r>
        <w:rPr>
          <w:rFonts w:ascii="Times New Roman" w:eastAsia="Times New Roman" w:hAnsi="Times New Roman" w:cs="Times New Roman"/>
        </w:rPr>
        <w:t>ka</w:t>
      </w:r>
      <w:r w:rsidRPr="00E106F1">
        <w:rPr>
          <w:rFonts w:ascii="Times New Roman" w:eastAsia="Times New Roman" w:hAnsi="Times New Roman" w:cs="Times New Roman"/>
        </w:rPr>
        <w:t xml:space="preserve">  Slovenskej republiky</w:t>
      </w: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Národnej rady Slovenskej republiky</w:t>
      </w: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center"/>
        <w:rPr>
          <w:rFonts w:ascii="Times New Roman" w:eastAsia="Times New Roman" w:hAnsi="Times New Roman" w:cs="Times New Roman"/>
        </w:rPr>
      </w:pPr>
      <w:r w:rsidRPr="00E106F1">
        <w:rPr>
          <w:rFonts w:ascii="Times New Roman" w:eastAsia="Times New Roman" w:hAnsi="Times New Roman" w:cs="Times New Roman"/>
        </w:rPr>
        <w:t>predseda vlády Slovenskej republiky</w:t>
      </w:r>
    </w:p>
    <w:p w:rsidR="004A5557" w:rsidRPr="00E106F1" w:rsidRDefault="004A5557" w:rsidP="004A5557">
      <w:pPr>
        <w:ind w:firstLine="426"/>
        <w:jc w:val="both"/>
        <w:rPr>
          <w:rFonts w:ascii="Times New Roman" w:eastAsia="Times New Roman" w:hAnsi="Times New Roman" w:cs="Times New Roman"/>
        </w:rPr>
      </w:pPr>
    </w:p>
    <w:p w:rsidR="004A5557" w:rsidRPr="00E106F1" w:rsidRDefault="004A5557" w:rsidP="004A5557">
      <w:pPr>
        <w:ind w:firstLine="426"/>
        <w:jc w:val="both"/>
        <w:rPr>
          <w:rFonts w:ascii="Times New Roman" w:eastAsia="Times New Roman" w:hAnsi="Times New Roman" w:cs="Times New Roman"/>
        </w:rPr>
      </w:pPr>
    </w:p>
    <w:p w:rsidR="004A5557" w:rsidRDefault="004A5557" w:rsidP="004A5557"/>
    <w:p w:rsidR="004A5557" w:rsidRDefault="004A5557" w:rsidP="004A5557"/>
    <w:p w:rsidR="004A5557" w:rsidRDefault="004A5557" w:rsidP="00673DE3">
      <w:pPr>
        <w:pStyle w:val="LO-normal"/>
        <w:ind w:left="709" w:firstLine="709"/>
        <w:jc w:val="both"/>
      </w:pPr>
    </w:p>
    <w:sectPr w:rsidR="004A55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57" w:rsidRDefault="004A5557" w:rsidP="004A5557">
      <w:r>
        <w:separator/>
      </w:r>
    </w:p>
  </w:endnote>
  <w:endnote w:type="continuationSeparator" w:id="0">
    <w:p w:rsidR="004A5557" w:rsidRDefault="004A5557" w:rsidP="004A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363018"/>
      <w:docPartObj>
        <w:docPartGallery w:val="Page Numbers (Bottom of Page)"/>
        <w:docPartUnique/>
      </w:docPartObj>
    </w:sdtPr>
    <w:sdtContent>
      <w:p w:rsidR="004A5557" w:rsidRDefault="004A555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F87">
          <w:rPr>
            <w:noProof/>
          </w:rPr>
          <w:t>4</w:t>
        </w:r>
        <w:r>
          <w:fldChar w:fldCharType="end"/>
        </w:r>
      </w:p>
    </w:sdtContent>
  </w:sdt>
  <w:p w:rsidR="004A5557" w:rsidRDefault="004A5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57" w:rsidRDefault="004A5557" w:rsidP="004A5557">
      <w:r>
        <w:separator/>
      </w:r>
    </w:p>
  </w:footnote>
  <w:footnote w:type="continuationSeparator" w:id="0">
    <w:p w:rsidR="004A5557" w:rsidRDefault="004A5557" w:rsidP="004A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F3"/>
    <w:multiLevelType w:val="hybridMultilevel"/>
    <w:tmpl w:val="3F22728C"/>
    <w:lvl w:ilvl="0" w:tplc="041B0017">
      <w:start w:val="1"/>
      <w:numFmt w:val="lowerLetter"/>
      <w:lvlText w:val="%1)"/>
      <w:lvlJc w:val="left"/>
      <w:pPr>
        <w:ind w:left="0" w:firstLine="0"/>
      </w:pPr>
    </w:lvl>
    <w:lvl w:ilvl="1" w:tplc="6FA6D75C">
      <w:start w:val="1"/>
      <w:numFmt w:val="decimal"/>
      <w:lvlText w:val="%2"/>
      <w:lvlJc w:val="left"/>
      <w:pPr>
        <w:ind w:left="0" w:firstLine="0"/>
      </w:pPr>
    </w:lvl>
    <w:lvl w:ilvl="2" w:tplc="8BDE2C00">
      <w:numFmt w:val="decimal"/>
      <w:lvlText w:val=""/>
      <w:lvlJc w:val="left"/>
      <w:pPr>
        <w:ind w:left="0" w:firstLine="0"/>
      </w:pPr>
    </w:lvl>
    <w:lvl w:ilvl="3" w:tplc="61766A82">
      <w:numFmt w:val="decimal"/>
      <w:lvlText w:val=""/>
      <w:lvlJc w:val="left"/>
      <w:pPr>
        <w:ind w:left="0" w:firstLine="0"/>
      </w:pPr>
    </w:lvl>
    <w:lvl w:ilvl="4" w:tplc="63144CC0">
      <w:numFmt w:val="decimal"/>
      <w:lvlText w:val=""/>
      <w:lvlJc w:val="left"/>
      <w:pPr>
        <w:ind w:left="0" w:firstLine="0"/>
      </w:pPr>
    </w:lvl>
    <w:lvl w:ilvl="5" w:tplc="E2B83D52">
      <w:numFmt w:val="decimal"/>
      <w:lvlText w:val=""/>
      <w:lvlJc w:val="left"/>
      <w:pPr>
        <w:ind w:left="0" w:firstLine="0"/>
      </w:pPr>
    </w:lvl>
    <w:lvl w:ilvl="6" w:tplc="CE9AA288">
      <w:numFmt w:val="decimal"/>
      <w:lvlText w:val=""/>
      <w:lvlJc w:val="left"/>
      <w:pPr>
        <w:ind w:left="0" w:firstLine="0"/>
      </w:pPr>
    </w:lvl>
    <w:lvl w:ilvl="7" w:tplc="C1E8928A">
      <w:numFmt w:val="decimal"/>
      <w:lvlText w:val=""/>
      <w:lvlJc w:val="left"/>
      <w:pPr>
        <w:ind w:left="0" w:firstLine="0"/>
      </w:pPr>
    </w:lvl>
    <w:lvl w:ilvl="8" w:tplc="44807532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B5075F"/>
    <w:multiLevelType w:val="hybridMultilevel"/>
    <w:tmpl w:val="701679C2"/>
    <w:lvl w:ilvl="0" w:tplc="A434054C">
      <w:start w:val="1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F50ADC"/>
    <w:multiLevelType w:val="hybridMultilevel"/>
    <w:tmpl w:val="39004062"/>
    <w:lvl w:ilvl="0" w:tplc="00E00E92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C34250"/>
    <w:multiLevelType w:val="multilevel"/>
    <w:tmpl w:val="5ABA2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3B"/>
    <w:rsid w:val="000B14A7"/>
    <w:rsid w:val="000F3F0F"/>
    <w:rsid w:val="001B2DE1"/>
    <w:rsid w:val="00253994"/>
    <w:rsid w:val="00254CA1"/>
    <w:rsid w:val="002F0FCB"/>
    <w:rsid w:val="00306CC6"/>
    <w:rsid w:val="00356107"/>
    <w:rsid w:val="00371585"/>
    <w:rsid w:val="00434208"/>
    <w:rsid w:val="00456A24"/>
    <w:rsid w:val="004A5557"/>
    <w:rsid w:val="004B3D5D"/>
    <w:rsid w:val="004D0AB8"/>
    <w:rsid w:val="004D5F1E"/>
    <w:rsid w:val="0050632A"/>
    <w:rsid w:val="00531DE0"/>
    <w:rsid w:val="005B02DE"/>
    <w:rsid w:val="005E0B98"/>
    <w:rsid w:val="005E27E3"/>
    <w:rsid w:val="00635A48"/>
    <w:rsid w:val="00647E4E"/>
    <w:rsid w:val="00672727"/>
    <w:rsid w:val="00673DE3"/>
    <w:rsid w:val="006740A6"/>
    <w:rsid w:val="00793E0A"/>
    <w:rsid w:val="008B506B"/>
    <w:rsid w:val="00955FF6"/>
    <w:rsid w:val="009B39AD"/>
    <w:rsid w:val="00A0760A"/>
    <w:rsid w:val="00A57F4F"/>
    <w:rsid w:val="00AA4882"/>
    <w:rsid w:val="00AA727C"/>
    <w:rsid w:val="00AC5624"/>
    <w:rsid w:val="00AD44EC"/>
    <w:rsid w:val="00B13208"/>
    <w:rsid w:val="00B20E3C"/>
    <w:rsid w:val="00B26671"/>
    <w:rsid w:val="00BC1091"/>
    <w:rsid w:val="00C22764"/>
    <w:rsid w:val="00C25839"/>
    <w:rsid w:val="00C35703"/>
    <w:rsid w:val="00C52F87"/>
    <w:rsid w:val="00CA51A2"/>
    <w:rsid w:val="00D3648B"/>
    <w:rsid w:val="00DA6450"/>
    <w:rsid w:val="00DB3992"/>
    <w:rsid w:val="00DF186C"/>
    <w:rsid w:val="00F0623B"/>
    <w:rsid w:val="00F26488"/>
    <w:rsid w:val="00F4274A"/>
    <w:rsid w:val="00F65449"/>
    <w:rsid w:val="00F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93C0"/>
  <w15:chartTrackingRefBased/>
  <w15:docId w15:val="{8FFC72AB-2B64-4D22-B0F0-BB51B5CE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623B"/>
    <w:pPr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0">
    <w:name w:val="ListLabel 10"/>
    <w:qFormat/>
    <w:rsid w:val="00F0623B"/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F0623B"/>
    <w:pPr>
      <w:spacing w:after="0" w:line="240" w:lineRule="auto"/>
    </w:pPr>
    <w:rPr>
      <w:rFonts w:ascii="Calibri" w:eastAsia="Calibri" w:hAnsi="Calibri" w:cs="Calibri"/>
      <w:sz w:val="24"/>
      <w:szCs w:val="24"/>
      <w:lang w:eastAsia="zh-CN" w:bidi="hi-I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0632A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62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624"/>
    <w:rPr>
      <w:rFonts w:ascii="Segoe UI" w:eastAsia="Calibri" w:hAnsi="Segoe UI" w:cs="Mangal"/>
      <w:sz w:val="18"/>
      <w:szCs w:val="16"/>
      <w:lang w:eastAsia="zh-CN" w:bidi="hi-IN"/>
    </w:rPr>
  </w:style>
  <w:style w:type="paragraph" w:styleId="Revzia">
    <w:name w:val="Revision"/>
    <w:hidden/>
    <w:uiPriority w:val="99"/>
    <w:semiHidden/>
    <w:rsid w:val="00793E0A"/>
    <w:pPr>
      <w:spacing w:after="0" w:line="240" w:lineRule="auto"/>
    </w:pPr>
    <w:rPr>
      <w:rFonts w:ascii="Calibri" w:eastAsia="Calibri" w:hAnsi="Calibri" w:cs="Mangal"/>
      <w:sz w:val="24"/>
      <w:szCs w:val="21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8B506B"/>
    <w:rPr>
      <w:rFonts w:ascii="Calibri" w:eastAsia="Calibri" w:hAnsi="Calibri" w:cs="Mangal"/>
      <w:sz w:val="24"/>
      <w:szCs w:val="21"/>
      <w:lang w:eastAsia="zh-CN" w:bidi="hi-IN"/>
    </w:rPr>
  </w:style>
  <w:style w:type="paragraph" w:styleId="Podtitul">
    <w:name w:val="Subtitle"/>
    <w:basedOn w:val="Normlny"/>
    <w:link w:val="PodtitulChar"/>
    <w:qFormat/>
    <w:rsid w:val="004D5F1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sk-SK" w:bidi="ar-SA"/>
    </w:rPr>
  </w:style>
  <w:style w:type="character" w:customStyle="1" w:styleId="PodtitulChar">
    <w:name w:val="Podtitul Char"/>
    <w:basedOn w:val="Predvolenpsmoodseku"/>
    <w:link w:val="Podtitul"/>
    <w:rsid w:val="004D5F1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5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4A5557"/>
    <w:rPr>
      <w:rFonts w:ascii="Calibri" w:eastAsia="Calibri" w:hAnsi="Calibri" w:cs="Mangal"/>
      <w:sz w:val="24"/>
      <w:szCs w:val="21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4A55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4A5557"/>
    <w:rPr>
      <w:rFonts w:ascii="Calibri" w:eastAsia="Calibri" w:hAnsi="Calibri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0/4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Pardubská, Eva</dc:creator>
  <cp:keywords/>
  <dc:description/>
  <cp:lastModifiedBy>Podmajerská, Alena</cp:lastModifiedBy>
  <cp:revision>2</cp:revision>
  <cp:lastPrinted>2020-09-29T10:36:00Z</cp:lastPrinted>
  <dcterms:created xsi:type="dcterms:W3CDTF">2020-09-29T10:39:00Z</dcterms:created>
  <dcterms:modified xsi:type="dcterms:W3CDTF">2020-09-29T10:39:00Z</dcterms:modified>
</cp:coreProperties>
</file>