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6F" w:rsidRDefault="001F2A6F" w:rsidP="001F2A6F">
      <w:pPr>
        <w:pStyle w:val="Zkladntext"/>
        <w:jc w:val="center"/>
        <w:rPr>
          <w:bCs/>
          <w:iCs/>
        </w:rPr>
      </w:pPr>
    </w:p>
    <w:p w:rsidR="005B2E31" w:rsidRDefault="005B2E31" w:rsidP="001F2A6F">
      <w:pPr>
        <w:pStyle w:val="Zkladntext"/>
        <w:jc w:val="center"/>
        <w:rPr>
          <w:bCs/>
          <w:iCs/>
        </w:rPr>
      </w:pPr>
    </w:p>
    <w:p w:rsidR="005B2E31" w:rsidRDefault="005B2E31" w:rsidP="001F2A6F">
      <w:pPr>
        <w:pStyle w:val="Zkladntext"/>
        <w:jc w:val="center"/>
        <w:rPr>
          <w:bCs/>
          <w:iCs/>
        </w:rPr>
      </w:pPr>
    </w:p>
    <w:p w:rsidR="005B2E31" w:rsidRDefault="005B2E31" w:rsidP="001F2A6F">
      <w:pPr>
        <w:pStyle w:val="Zkladntext"/>
        <w:jc w:val="center"/>
        <w:rPr>
          <w:bCs/>
          <w:iCs/>
        </w:rPr>
      </w:pPr>
    </w:p>
    <w:p w:rsidR="00DF7E8C" w:rsidRDefault="00DF7E8C" w:rsidP="001F2A6F">
      <w:pPr>
        <w:pStyle w:val="Zkladntext"/>
        <w:jc w:val="center"/>
        <w:rPr>
          <w:bCs/>
          <w:iCs/>
        </w:rPr>
      </w:pPr>
    </w:p>
    <w:p w:rsidR="00FF25EA" w:rsidRDefault="00FF25EA" w:rsidP="001F2A6F">
      <w:pPr>
        <w:pStyle w:val="Zkladntext"/>
        <w:jc w:val="center"/>
        <w:rPr>
          <w:bCs/>
          <w:iCs/>
        </w:rPr>
      </w:pPr>
    </w:p>
    <w:p w:rsidR="00DF7E8C" w:rsidRDefault="00DF7E8C" w:rsidP="001F2A6F">
      <w:pPr>
        <w:pStyle w:val="Zkladntext"/>
        <w:jc w:val="center"/>
        <w:rPr>
          <w:bCs/>
          <w:iCs/>
        </w:rPr>
      </w:pPr>
    </w:p>
    <w:p w:rsidR="00DF7E8C" w:rsidRDefault="00DF7E8C" w:rsidP="001F2A6F">
      <w:pPr>
        <w:pStyle w:val="Zkladntext"/>
        <w:jc w:val="center"/>
        <w:rPr>
          <w:bCs/>
          <w:iCs/>
        </w:rPr>
      </w:pPr>
    </w:p>
    <w:p w:rsidR="005B2E31" w:rsidRDefault="005B2E31" w:rsidP="001F2A6F">
      <w:pPr>
        <w:pStyle w:val="Zkladntext"/>
        <w:jc w:val="center"/>
        <w:rPr>
          <w:bCs/>
          <w:iCs/>
        </w:rPr>
      </w:pPr>
    </w:p>
    <w:p w:rsidR="00FF25EA" w:rsidRDefault="00FF25EA" w:rsidP="001F2A6F">
      <w:pPr>
        <w:pStyle w:val="Zkladntext"/>
        <w:jc w:val="center"/>
        <w:rPr>
          <w:bCs/>
          <w:iCs/>
        </w:rPr>
      </w:pPr>
    </w:p>
    <w:p w:rsidR="00102D63" w:rsidRDefault="00102D63" w:rsidP="001F2A6F">
      <w:pPr>
        <w:pStyle w:val="Zkladntext"/>
        <w:jc w:val="center"/>
        <w:rPr>
          <w:bCs/>
          <w:iCs/>
        </w:rPr>
      </w:pPr>
    </w:p>
    <w:p w:rsidR="00102D63" w:rsidRDefault="00102D63" w:rsidP="001F2A6F">
      <w:pPr>
        <w:pStyle w:val="Zkladntext"/>
        <w:jc w:val="center"/>
        <w:rPr>
          <w:bCs/>
          <w:iCs/>
        </w:rPr>
      </w:pPr>
    </w:p>
    <w:p w:rsidR="005B2E31" w:rsidRDefault="005B2E31" w:rsidP="001F2A6F">
      <w:pPr>
        <w:pStyle w:val="Zkladntext"/>
        <w:jc w:val="center"/>
        <w:rPr>
          <w:bCs/>
          <w:iCs/>
        </w:rPr>
      </w:pPr>
    </w:p>
    <w:p w:rsidR="001F2A6F" w:rsidRDefault="001F2A6F" w:rsidP="001F2A6F">
      <w:pPr>
        <w:pStyle w:val="Zkladntext"/>
        <w:jc w:val="center"/>
        <w:rPr>
          <w:b/>
          <w:bCs/>
          <w:i/>
          <w:iCs/>
        </w:rPr>
      </w:pPr>
    </w:p>
    <w:p w:rsidR="001F2A6F" w:rsidRDefault="001F2A6F" w:rsidP="001F2A6F">
      <w:pPr>
        <w:pStyle w:val="Zkladntext"/>
        <w:jc w:val="center"/>
        <w:rPr>
          <w:b/>
          <w:bCs/>
          <w:iCs/>
        </w:rPr>
      </w:pPr>
    </w:p>
    <w:p w:rsidR="001F2A6F" w:rsidRDefault="001F2A6F" w:rsidP="00FF25EA">
      <w:pPr>
        <w:pStyle w:val="Zkladntext"/>
        <w:spacing w:line="276" w:lineRule="auto"/>
        <w:jc w:val="center"/>
        <w:rPr>
          <w:bCs/>
          <w:iCs/>
        </w:rPr>
      </w:pPr>
      <w:r>
        <w:rPr>
          <w:bCs/>
          <w:iCs/>
        </w:rPr>
        <w:t>z</w:t>
      </w:r>
      <w:r w:rsidR="005B2E31">
        <w:rPr>
          <w:bCs/>
          <w:iCs/>
        </w:rPr>
        <w:t> </w:t>
      </w:r>
      <w:r w:rsidR="005E063E">
        <w:rPr>
          <w:bCs/>
          <w:iCs/>
        </w:rPr>
        <w:t>2</w:t>
      </w:r>
      <w:r w:rsidR="00721270">
        <w:rPr>
          <w:bCs/>
          <w:iCs/>
        </w:rPr>
        <w:t>4</w:t>
      </w:r>
      <w:r w:rsidR="005B2E31">
        <w:rPr>
          <w:bCs/>
          <w:iCs/>
        </w:rPr>
        <w:t>. septembra</w:t>
      </w:r>
      <w:r>
        <w:rPr>
          <w:bCs/>
          <w:iCs/>
        </w:rPr>
        <w:t xml:space="preserve"> 2020,</w:t>
      </w:r>
    </w:p>
    <w:p w:rsidR="001F2A6F" w:rsidRDefault="001F2A6F" w:rsidP="00FF25EA">
      <w:pPr>
        <w:pStyle w:val="Zkladntext"/>
        <w:spacing w:line="276" w:lineRule="auto"/>
        <w:jc w:val="center"/>
        <w:rPr>
          <w:b/>
          <w:bCs/>
          <w:iCs/>
        </w:rPr>
      </w:pPr>
    </w:p>
    <w:p w:rsidR="001F2A6F" w:rsidRDefault="001F2A6F" w:rsidP="00FF25EA">
      <w:pPr>
        <w:pStyle w:val="Zkladntext"/>
        <w:spacing w:line="276" w:lineRule="auto"/>
        <w:jc w:val="center"/>
        <w:rPr>
          <w:b/>
          <w:bCs/>
          <w:iCs/>
        </w:rPr>
      </w:pPr>
    </w:p>
    <w:p w:rsidR="001F2A6F" w:rsidRDefault="001F2A6F" w:rsidP="00FF25EA">
      <w:pPr>
        <w:pStyle w:val="Zkladntext"/>
        <w:spacing w:line="276" w:lineRule="auto"/>
        <w:jc w:val="center"/>
      </w:pPr>
      <w:r>
        <w:rPr>
          <w:rStyle w:val="awspan"/>
          <w:b/>
          <w:bCs/>
          <w:color w:val="000000"/>
        </w:rPr>
        <w:t xml:space="preserve">ktorým sa mení a dopĺňa zákon č. 309/2009 Z. z. o podpore obnoviteľných zdrojov energie a vysoko účinnej kombinovanej výroby a o zmene a doplnení niektorých zákonov v znení neskorších predpisov </w:t>
      </w:r>
    </w:p>
    <w:p w:rsidR="001F2A6F" w:rsidRDefault="001F2A6F" w:rsidP="00FF25EA">
      <w:pPr>
        <w:pStyle w:val="Zkladntext"/>
        <w:spacing w:line="276" w:lineRule="auto"/>
        <w:ind w:left="374" w:hanging="374"/>
        <w:jc w:val="center"/>
      </w:pPr>
    </w:p>
    <w:p w:rsidR="001F2A6F" w:rsidRDefault="001F2A6F" w:rsidP="00FF25EA">
      <w:pPr>
        <w:spacing w:line="276" w:lineRule="auto"/>
        <w:ind w:firstLine="708"/>
      </w:pPr>
      <w:r>
        <w:t>Národná rada Slovenskej republiky sa uzniesla na tomto zákone:</w:t>
      </w:r>
    </w:p>
    <w:p w:rsidR="001F2A6F" w:rsidRDefault="001F2A6F" w:rsidP="00FF25EA">
      <w:pPr>
        <w:spacing w:line="276" w:lineRule="auto"/>
        <w:jc w:val="center"/>
        <w:rPr>
          <w:b/>
          <w:bCs/>
        </w:rPr>
      </w:pPr>
    </w:p>
    <w:p w:rsidR="001F2A6F" w:rsidRDefault="001F2A6F" w:rsidP="00FF25EA">
      <w:pPr>
        <w:spacing w:line="276" w:lineRule="auto"/>
        <w:jc w:val="center"/>
        <w:rPr>
          <w:bCs/>
        </w:rPr>
      </w:pPr>
      <w:r>
        <w:rPr>
          <w:b/>
          <w:bCs/>
        </w:rPr>
        <w:t>Čl. I</w:t>
      </w:r>
    </w:p>
    <w:p w:rsidR="001F2A6F" w:rsidRDefault="001F2A6F" w:rsidP="00FF25EA">
      <w:pPr>
        <w:pStyle w:val="Zkladntext"/>
        <w:spacing w:line="276" w:lineRule="auto"/>
        <w:ind w:left="374" w:hanging="374"/>
      </w:pPr>
    </w:p>
    <w:p w:rsidR="001F2A6F" w:rsidRDefault="001F2A6F" w:rsidP="00FF25EA">
      <w:pPr>
        <w:spacing w:line="276" w:lineRule="auto"/>
        <w:ind w:firstLine="709"/>
        <w:jc w:val="both"/>
      </w:pPr>
      <w:r>
        <w:t>Zákon č. 309/2009 Z. z. o podpore obnoviteľných zdrojov energie a vysoko účinnej kombinovanej výroby a o zmene a doplnení niektorých zákonov v znení zákona č. 492/2010 Z. z., zákona č. 558/2010 Z. z., zákona č. 136/2011 Z. z., zákona č. 189/2012 Z. z., zákona č. 373/2012 Z. z., zákona č. 30/2013 Z. z., zákona č. 218/2013 Z. z., zákona č. 382/2013 Z. z., zákona č. 321/2014 Z. z., zákona č. 173/2015 Z. z., zákona č. 181/2017 Z. z., zákona č. 268/2017 Z. z., zákona č. 309/2018 Z. z., zákona č. 377/2018 Z. z. a zákona č. 362/2019 Z. z. sa mení a dopĺňa takto:</w:t>
      </w:r>
    </w:p>
    <w:p w:rsidR="001F2A6F" w:rsidRDefault="001F2A6F" w:rsidP="001F2A6F">
      <w:pPr>
        <w:ind w:firstLine="708"/>
        <w:jc w:val="both"/>
      </w:pPr>
    </w:p>
    <w:p w:rsidR="005B2E31" w:rsidRPr="00C74855" w:rsidRDefault="005B2E31" w:rsidP="00C74855">
      <w:pPr>
        <w:pStyle w:val="Odsekzoznamu"/>
        <w:spacing w:after="0" w:line="240" w:lineRule="auto"/>
        <w:ind w:left="709"/>
        <w:jc w:val="both"/>
      </w:pPr>
    </w:p>
    <w:p w:rsidR="007173ED" w:rsidRDefault="005E063E" w:rsidP="00FF25EA">
      <w:pPr>
        <w:pStyle w:val="Odsekzoznamu"/>
        <w:widowControl w:val="0"/>
        <w:suppressAutoHyphens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173ED">
        <w:rPr>
          <w:rFonts w:ascii="Times New Roman" w:hAnsi="Times New Roman"/>
          <w:sz w:val="24"/>
          <w:szCs w:val="24"/>
        </w:rPr>
        <w:t>.</w:t>
      </w:r>
      <w:r w:rsidR="007173ED">
        <w:rPr>
          <w:rFonts w:ascii="Times New Roman" w:hAnsi="Times New Roman"/>
          <w:sz w:val="24"/>
          <w:szCs w:val="24"/>
        </w:rPr>
        <w:tab/>
        <w:t>V čl. I bod 1 znie:</w:t>
      </w:r>
    </w:p>
    <w:p w:rsidR="007173ED" w:rsidRDefault="007173ED" w:rsidP="00FF25EA">
      <w:pPr>
        <w:pStyle w:val="Odsekzoznamu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173ED" w:rsidRPr="001540D1" w:rsidRDefault="007173ED" w:rsidP="00FF25EA">
      <w:pPr>
        <w:spacing w:line="276" w:lineRule="auto"/>
        <w:ind w:left="446"/>
        <w:jc w:val="both"/>
      </w:pPr>
      <w:r>
        <w:t xml:space="preserve">„1. </w:t>
      </w:r>
      <w:r w:rsidRPr="001540D1">
        <w:t>V § 3b odseky 5 a 6 znejú:</w:t>
      </w:r>
    </w:p>
    <w:p w:rsidR="007173ED" w:rsidRDefault="007173ED" w:rsidP="00FF25EA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7173ED" w:rsidRPr="00822865" w:rsidRDefault="007173ED" w:rsidP="00FF25EA">
      <w:pPr>
        <w:pStyle w:val="Odsekzoznamu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22865">
        <w:rPr>
          <w:rFonts w:ascii="Times New Roman" w:hAnsi="Times New Roman"/>
          <w:sz w:val="24"/>
          <w:szCs w:val="24"/>
        </w:rPr>
        <w:t>„(5) Výrobca elektriny s právom na podporu si nemôže pre zariadenie na výrobu elektriny uplatniť právo na podporu podľa § 3 ods. 1 písm. c) alebo e) počas obdobia omeškania s úhradou evidovaných nedoplatkov voči daňovému úradu, colnému úradu, s úhradou evidovaných nedoplatkov na poistnom na sociálne poistenie a evidovaných pohľadávok po splatnosti zo strany zdravotnej poisťovne podľa osobitných predpisov.</w:t>
      </w:r>
      <w:r w:rsidRPr="00822865">
        <w:rPr>
          <w:rFonts w:ascii="Times New Roman" w:hAnsi="Times New Roman"/>
          <w:sz w:val="24"/>
          <w:szCs w:val="24"/>
          <w:vertAlign w:val="superscript"/>
        </w:rPr>
        <w:t>9d</w:t>
      </w:r>
      <w:r>
        <w:rPr>
          <w:rFonts w:ascii="Times New Roman" w:hAnsi="Times New Roman"/>
          <w:sz w:val="24"/>
          <w:szCs w:val="24"/>
        </w:rPr>
        <w:t>)</w:t>
      </w:r>
    </w:p>
    <w:p w:rsidR="007173ED" w:rsidRPr="00822865" w:rsidRDefault="007173ED" w:rsidP="00FF25EA">
      <w:pPr>
        <w:adjustRightInd w:val="0"/>
        <w:spacing w:line="276" w:lineRule="auto"/>
        <w:ind w:left="709"/>
        <w:jc w:val="both"/>
      </w:pPr>
    </w:p>
    <w:p w:rsidR="007173ED" w:rsidRPr="00822865" w:rsidRDefault="007173ED" w:rsidP="00FF25EA">
      <w:pPr>
        <w:adjustRightInd w:val="0"/>
        <w:spacing w:line="276" w:lineRule="auto"/>
        <w:ind w:left="709"/>
        <w:jc w:val="both"/>
      </w:pPr>
      <w:r w:rsidRPr="00822865">
        <w:t xml:space="preserve">(6) Úrad pre reguláciu sieťových odvetví (ďalej len „úrad“) na svojom webovom sídle zverejňuje a aktualizuje vždy k poslednému dňu mesiaca zoznam výrobcov elektriny a ich zariadení s uvedením obdobia, počas ktorého si dotknutí výrobcovia elektriny s právom na podporu nemôžu uplatniť právo na podporu podľa odseku 5. O zaradení zariadenia na výrobu elektriny do zoznamu podľa predchádzajúcej vety úrad informuje </w:t>
      </w:r>
      <w:proofErr w:type="spellStart"/>
      <w:r w:rsidRPr="00822865">
        <w:t>zúčtovateľa</w:t>
      </w:r>
      <w:proofErr w:type="spellEnd"/>
      <w:r w:rsidRPr="00822865">
        <w:t xml:space="preserve"> podpory a dotknutého výrobcu elektriny s právom na podporu bez zbytočného odkladu, najneskôr do 10 dní od zaradenia do zoznamu.“.</w:t>
      </w:r>
    </w:p>
    <w:p w:rsidR="007173ED" w:rsidRPr="00822865" w:rsidRDefault="007173ED" w:rsidP="00FF25EA">
      <w:pPr>
        <w:pStyle w:val="Odsekzoznamu"/>
        <w:adjustRightInd w:val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7173ED" w:rsidRPr="00822865" w:rsidRDefault="007173ED" w:rsidP="00FF25E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822865">
        <w:rPr>
          <w:rFonts w:ascii="Times New Roman" w:hAnsi="Times New Roman"/>
          <w:sz w:val="24"/>
          <w:szCs w:val="24"/>
        </w:rPr>
        <w:lastRenderedPageBreak/>
        <w:t>Poznámka pod čiarou k odkazu 9d znie:</w:t>
      </w:r>
    </w:p>
    <w:p w:rsidR="007173ED" w:rsidRPr="00822865" w:rsidRDefault="007173ED" w:rsidP="00FF25E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822865">
        <w:rPr>
          <w:rFonts w:ascii="Times New Roman" w:hAnsi="Times New Roman"/>
          <w:sz w:val="24"/>
          <w:szCs w:val="24"/>
        </w:rPr>
        <w:t>„</w:t>
      </w:r>
      <w:r w:rsidRPr="00822865">
        <w:rPr>
          <w:rFonts w:ascii="Times New Roman" w:hAnsi="Times New Roman"/>
          <w:sz w:val="24"/>
          <w:szCs w:val="24"/>
          <w:vertAlign w:val="superscript"/>
        </w:rPr>
        <w:t>9d</w:t>
      </w:r>
      <w:r w:rsidRPr="00822865">
        <w:rPr>
          <w:rFonts w:ascii="Times New Roman" w:hAnsi="Times New Roman"/>
          <w:sz w:val="24"/>
          <w:szCs w:val="24"/>
        </w:rPr>
        <w:t>) § 170 ods. 21 zákona č. 461/2003 Z. z. o sociálnom poistení v znení neskorších predpisov.</w:t>
      </w:r>
    </w:p>
    <w:p w:rsidR="007173ED" w:rsidRPr="00822865" w:rsidRDefault="007173ED" w:rsidP="00FF25E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822865">
        <w:rPr>
          <w:rFonts w:ascii="Times New Roman" w:hAnsi="Times New Roman"/>
          <w:sz w:val="24"/>
          <w:szCs w:val="24"/>
        </w:rPr>
        <w:t>Zákon č. 199/2004 Z. z. Colný zákon a o zmene a doplnení niektorých zákonov v znení neskorších predpisov.</w:t>
      </w:r>
    </w:p>
    <w:p w:rsidR="007173ED" w:rsidRPr="00822865" w:rsidRDefault="007173ED" w:rsidP="00FF25E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822865">
        <w:rPr>
          <w:rFonts w:ascii="Times New Roman" w:hAnsi="Times New Roman"/>
          <w:sz w:val="24"/>
          <w:szCs w:val="24"/>
        </w:rPr>
        <w:t>§ 25 ods. 5 zákona č. 580/2004 Z. z. o zdravotnom poistení a o zmene a doplnení zákona č. 95/2002 Z. z. o poisťovníctve a o zmene a doplnení niektorých zákonov v znení zákona č. 221/2019 Z. z.</w:t>
      </w:r>
    </w:p>
    <w:p w:rsidR="007173ED" w:rsidRPr="00822865" w:rsidRDefault="007173ED" w:rsidP="00FF25E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822865">
        <w:rPr>
          <w:rFonts w:ascii="Times New Roman" w:hAnsi="Times New Roman"/>
          <w:sz w:val="24"/>
          <w:szCs w:val="24"/>
        </w:rPr>
        <w:t>Zákon č. 563/2009 Z. z. o správe daní (daňový poriadok) a o zmene a doplnení niektorých zákonov v znení neskorších predpisov.“.</w:t>
      </w:r>
    </w:p>
    <w:p w:rsidR="007173ED" w:rsidRPr="00822865" w:rsidRDefault="007173ED" w:rsidP="00FF25EA">
      <w:pPr>
        <w:pStyle w:val="Odsekzoznamu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1F2A6F" w:rsidRDefault="007173ED" w:rsidP="00FF25EA">
      <w:pPr>
        <w:spacing w:line="276" w:lineRule="auto"/>
        <w:jc w:val="both"/>
      </w:pPr>
      <w:r w:rsidRPr="00822865">
        <w:t>Poznámky pod čiarou k odkazom 9e a 9f sa vypúšťajú</w:t>
      </w:r>
      <w:r w:rsidRPr="00CD72B5">
        <w:t>.</w:t>
      </w:r>
      <w:r>
        <w:t>“.</w:t>
      </w:r>
    </w:p>
    <w:p w:rsidR="001F2A6F" w:rsidRDefault="001F2A6F" w:rsidP="00FF25EA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A6F" w:rsidRDefault="005E063E" w:rsidP="00FF25EA">
      <w:pPr>
        <w:spacing w:line="276" w:lineRule="auto"/>
        <w:ind w:left="705" w:hanging="705"/>
        <w:jc w:val="both"/>
      </w:pPr>
      <w:r>
        <w:t>2</w:t>
      </w:r>
      <w:r w:rsidR="005B2E31">
        <w:t xml:space="preserve">. </w:t>
      </w:r>
      <w:r w:rsidR="005B2E31">
        <w:tab/>
      </w:r>
      <w:r w:rsidR="005B2E31" w:rsidRPr="005B2E31">
        <w:t>V § 3b ods. 7 sa slová „Úrad pre reguláciu sieťových odvetví (ďalej len „úrad“)“ nahrádzajú slovom „Úrad“.</w:t>
      </w:r>
      <w:r w:rsidR="001F2A6F" w:rsidRPr="005B2E31">
        <w:t xml:space="preserve"> </w:t>
      </w:r>
    </w:p>
    <w:p w:rsidR="005B2E31" w:rsidRDefault="005B2E31" w:rsidP="00FF25EA">
      <w:pPr>
        <w:spacing w:line="276" w:lineRule="auto"/>
        <w:ind w:left="705" w:hanging="705"/>
        <w:jc w:val="both"/>
      </w:pPr>
    </w:p>
    <w:p w:rsidR="005B2E31" w:rsidRDefault="005E063E" w:rsidP="00FF25EA">
      <w:pPr>
        <w:spacing w:line="276" w:lineRule="auto"/>
        <w:ind w:left="705" w:hanging="705"/>
        <w:jc w:val="both"/>
      </w:pPr>
      <w:r>
        <w:t>3</w:t>
      </w:r>
      <w:r w:rsidR="005B2E31">
        <w:t>.</w:t>
      </w:r>
      <w:r w:rsidR="005B2E31">
        <w:tab/>
      </w:r>
      <w:r w:rsidR="005B2E31" w:rsidRPr="005B2E31">
        <w:t>§ 3b sa dopĺňa odsekom 8, ktorý znie:</w:t>
      </w:r>
    </w:p>
    <w:p w:rsidR="005B2E31" w:rsidRPr="005B2E31" w:rsidRDefault="005B2E31" w:rsidP="00FF25EA">
      <w:pPr>
        <w:spacing w:line="276" w:lineRule="auto"/>
        <w:ind w:left="705" w:hanging="705"/>
        <w:jc w:val="both"/>
      </w:pPr>
    </w:p>
    <w:p w:rsidR="005B2E31" w:rsidRDefault="005B2E31" w:rsidP="00FF25EA">
      <w:pPr>
        <w:spacing w:line="276" w:lineRule="auto"/>
        <w:ind w:left="703"/>
        <w:jc w:val="both"/>
      </w:pPr>
      <w:r w:rsidRPr="005B2E31">
        <w:t>„(8) Počas obdobia omeškania výrobcu elektriny s úhradou nedoplatkov alebo dlžných súm podľa odseku 5 sa na účely preukazovania podpory doplatkom alebo príplatkom cenové rozhodnutie,</w:t>
      </w:r>
      <w:r w:rsidRPr="005B2E31">
        <w:rPr>
          <w:vertAlign w:val="superscript"/>
        </w:rPr>
        <w:t>9g</w:t>
      </w:r>
      <w:r w:rsidRPr="005B2E31">
        <w:t>) potvrdenie o pôvode elektriny z obnoviteľných zdrojov energie a potvrdenie o pôvode elektriny vyrobenej vysoko účinnou kombinovanou výrobou neuplatňujú.“.</w:t>
      </w:r>
    </w:p>
    <w:p w:rsidR="005B2E31" w:rsidRPr="005B2E31" w:rsidRDefault="005B2E31" w:rsidP="00FF25EA">
      <w:pPr>
        <w:spacing w:line="276" w:lineRule="auto"/>
        <w:ind w:left="705"/>
        <w:jc w:val="both"/>
      </w:pPr>
    </w:p>
    <w:p w:rsidR="005B2E31" w:rsidRPr="005B2E31" w:rsidRDefault="005B2E31" w:rsidP="00FF25EA">
      <w:pPr>
        <w:spacing w:line="276" w:lineRule="auto"/>
        <w:ind w:left="1406" w:hanging="703"/>
        <w:jc w:val="both"/>
      </w:pPr>
      <w:r w:rsidRPr="005B2E31">
        <w:t>Poznámka pod čiarou k odkazu 9g znie:</w:t>
      </w:r>
    </w:p>
    <w:p w:rsidR="005B2E31" w:rsidRDefault="005B2E31" w:rsidP="00FF25EA">
      <w:pPr>
        <w:spacing w:line="276" w:lineRule="auto"/>
        <w:ind w:left="1406" w:hanging="703"/>
        <w:jc w:val="both"/>
      </w:pPr>
      <w:r w:rsidRPr="005B2E31">
        <w:t>„</w:t>
      </w:r>
      <w:r w:rsidRPr="005B2E31">
        <w:rPr>
          <w:vertAlign w:val="superscript"/>
        </w:rPr>
        <w:t>9g</w:t>
      </w:r>
      <w:r w:rsidRPr="005B2E31">
        <w:t>) § 14 ods. 11 zákona č. 250/2012 Z. z. v znení zákona č. 164/2017 Z. z.“.</w:t>
      </w:r>
    </w:p>
    <w:p w:rsidR="001F2A6F" w:rsidRDefault="001F2A6F" w:rsidP="00FF25EA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0AED" w:rsidRPr="007173ED" w:rsidRDefault="005E063E" w:rsidP="00FF25EA">
      <w:pPr>
        <w:spacing w:line="276" w:lineRule="auto"/>
        <w:jc w:val="both"/>
      </w:pPr>
      <w:r>
        <w:t>4</w:t>
      </w:r>
      <w:r w:rsidR="00470AED">
        <w:t>.</w:t>
      </w:r>
      <w:r w:rsidR="00470AED">
        <w:tab/>
      </w:r>
      <w:r w:rsidR="00470AED" w:rsidRPr="007173ED">
        <w:t>Za §18j sa vkladá §18k, ktorý vrátane nadpisu znie:</w:t>
      </w:r>
    </w:p>
    <w:p w:rsidR="00470AED" w:rsidRDefault="00470AED" w:rsidP="00FF25EA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70AED" w:rsidRDefault="00470AED" w:rsidP="00FF25EA">
      <w:pPr>
        <w:pStyle w:val="Odsekzoznamu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18k</w:t>
      </w:r>
    </w:p>
    <w:p w:rsidR="00470AED" w:rsidRDefault="00470AED" w:rsidP="00FF25EA">
      <w:pPr>
        <w:pStyle w:val="Odsekzoznamu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ustanovenia k úpravám účinným od 1. novembra 2020</w:t>
      </w:r>
    </w:p>
    <w:p w:rsidR="00470AED" w:rsidRDefault="00470AED" w:rsidP="00FF25EA">
      <w:pPr>
        <w:pStyle w:val="Odsekzoznamu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0AED" w:rsidRDefault="00470AED" w:rsidP="00FF25EA">
      <w:pPr>
        <w:pStyle w:val="Odsekzoznamu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Na zariadenie výrobcu elektriny, ktorému právo na podporu podľa </w:t>
      </w:r>
      <w:r w:rsidRPr="00064902">
        <w:rPr>
          <w:rFonts w:ascii="Times New Roman" w:hAnsi="Times New Roman"/>
          <w:sz w:val="24"/>
          <w:szCs w:val="24"/>
        </w:rPr>
        <w:t>§ 3 ods. 1 písm. c)</w:t>
      </w:r>
      <w:r w:rsidRPr="00C658A0">
        <w:rPr>
          <w:rFonts w:ascii="Times New Roman" w:hAnsi="Times New Roman"/>
          <w:sz w:val="24"/>
          <w:szCs w:val="24"/>
        </w:rPr>
        <w:t> alebo</w:t>
      </w:r>
      <w:r w:rsidRPr="00064902">
        <w:rPr>
          <w:rFonts w:ascii="Times New Roman" w:hAnsi="Times New Roman"/>
          <w:sz w:val="24"/>
          <w:szCs w:val="24"/>
        </w:rPr>
        <w:t xml:space="preserve"> e)</w:t>
      </w:r>
      <w:r>
        <w:rPr>
          <w:rFonts w:ascii="Times New Roman" w:hAnsi="Times New Roman"/>
          <w:sz w:val="24"/>
          <w:szCs w:val="24"/>
        </w:rPr>
        <w:t xml:space="preserve"> vzniklo pred účinnosťou tohto zákona, a ktorý ku dňu účinnosti tohto zákona už nie je v omeškaní s úhradou nedoplatkov alebo dlžných súm podľa § 3b ods. 5 v znení účinnom do 1. novembra 2020, sa ustanovenie § 3b ods. 5 v znení účinnom do 1. novembra 2020 neuplatňuje; pre zariadenie na výrobu elektriny takéhoto výrobcu právo na podporu podľa § 3 ods. 1 písm. c) alebo e) trvá naďalej podľa podmienok podpory výroby elektriny podľa tohto zákona v znení účinnom v čase uvedenia zariadenia na výrobu elektriny do prevádzky.</w:t>
      </w:r>
    </w:p>
    <w:p w:rsidR="00470AED" w:rsidRDefault="00470AED" w:rsidP="00FF25EA">
      <w:pPr>
        <w:pStyle w:val="Odsekzoznamu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70AED" w:rsidRDefault="00470AED" w:rsidP="00FF25EA">
      <w:pPr>
        <w:pStyle w:val="Odsekzoznamu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Podpora podľa § 3 ods. 1 písm. c) alebo e) poskytnutá výrobcovi elektriny s právom na podporu podľa odseku 1 pred účinnosťou tohto zákona sa považuje za podporu poskytnutú v súlade s podmienkami podpory výroby elektriny podľa tohto zákona; poskytnutú podporu podľa § 3 ods. 1 písm. c) alebo e) výrobca elektriny s právom na podporu podľa odseku 1 nevracia</w:t>
      </w:r>
      <w:r w:rsidRPr="009D321F">
        <w:rPr>
          <w:rFonts w:ascii="Times New Roman" w:hAnsi="Times New Roman"/>
          <w:sz w:val="24"/>
          <w:szCs w:val="24"/>
        </w:rPr>
        <w:t>.</w:t>
      </w:r>
      <w:r w:rsidRPr="00064902">
        <w:rPr>
          <w:rFonts w:ascii="Times New Roman" w:hAnsi="Times New Roman"/>
          <w:sz w:val="24"/>
          <w:szCs w:val="24"/>
        </w:rPr>
        <w:t xml:space="preserve"> Podporu podľa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902">
        <w:rPr>
          <w:rFonts w:ascii="Times New Roman" w:hAnsi="Times New Roman"/>
          <w:sz w:val="24"/>
          <w:szCs w:val="24"/>
        </w:rPr>
        <w:t xml:space="preserve">3 ods. 1 písm. c), ktorá výrobcovi elektriny s právom na podporu podľa odseku 1 nebola poskytnutá, poskytne </w:t>
      </w:r>
      <w:proofErr w:type="spellStart"/>
      <w:r w:rsidRPr="00064902">
        <w:rPr>
          <w:rFonts w:ascii="Times New Roman" w:hAnsi="Times New Roman"/>
          <w:sz w:val="24"/>
          <w:szCs w:val="24"/>
        </w:rPr>
        <w:t>zúčtovateľ</w:t>
      </w:r>
      <w:proofErr w:type="spellEnd"/>
      <w:r w:rsidRPr="00064902">
        <w:rPr>
          <w:rFonts w:ascii="Times New Roman" w:hAnsi="Times New Roman"/>
          <w:sz w:val="24"/>
          <w:szCs w:val="24"/>
        </w:rPr>
        <w:t xml:space="preserve"> podpory do </w:t>
      </w:r>
      <w:r>
        <w:rPr>
          <w:rFonts w:ascii="Times New Roman" w:hAnsi="Times New Roman"/>
          <w:sz w:val="24"/>
          <w:szCs w:val="24"/>
        </w:rPr>
        <w:t>60</w:t>
      </w:r>
      <w:r w:rsidRPr="00064902">
        <w:rPr>
          <w:rFonts w:ascii="Times New Roman" w:hAnsi="Times New Roman"/>
          <w:sz w:val="24"/>
          <w:szCs w:val="24"/>
        </w:rPr>
        <w:t xml:space="preserve"> dní od účinnosti tohto zákona.</w:t>
      </w:r>
    </w:p>
    <w:p w:rsidR="00470AED" w:rsidRDefault="00470AED" w:rsidP="00FF25EA">
      <w:pPr>
        <w:pStyle w:val="Odsekzoznamu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70AED" w:rsidRDefault="00470AED" w:rsidP="00FF25EA">
      <w:pPr>
        <w:pStyle w:val="Odsekzoznamu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Na zoznam podľa § 3b ods. 7 zverejnený pred účinnosťou tohto zákona sa neprihliada. Aktualizovaný zoznam podľa § 3b ods. 7 úrad zverejní najneskôr do 30 dní od účinnosti tohto zákona.</w:t>
      </w:r>
    </w:p>
    <w:p w:rsidR="00470AED" w:rsidRDefault="00470AED" w:rsidP="00FF25EA">
      <w:pPr>
        <w:pStyle w:val="Odsekzoznamu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F2A6F" w:rsidRDefault="00470AED" w:rsidP="00FF25EA">
      <w:pPr>
        <w:pStyle w:val="Odsekzoznamu"/>
        <w:spacing w:after="0"/>
        <w:ind w:left="709"/>
        <w:jc w:val="both"/>
      </w:pPr>
      <w:r w:rsidRPr="00D073F8">
        <w:rPr>
          <w:rFonts w:ascii="Times New Roman" w:hAnsi="Times New Roman"/>
          <w:sz w:val="24"/>
          <w:szCs w:val="24"/>
        </w:rPr>
        <w:t xml:space="preserve">(4) Úpravy účinné od 1. </w:t>
      </w:r>
      <w:r>
        <w:rPr>
          <w:rFonts w:ascii="Times New Roman" w:hAnsi="Times New Roman"/>
          <w:sz w:val="24"/>
          <w:szCs w:val="24"/>
        </w:rPr>
        <w:t>novembra</w:t>
      </w:r>
      <w:r w:rsidRPr="00D073F8">
        <w:rPr>
          <w:rFonts w:ascii="Times New Roman" w:hAnsi="Times New Roman"/>
          <w:sz w:val="24"/>
          <w:szCs w:val="24"/>
        </w:rPr>
        <w:t xml:space="preserve"> 2020 sa vzťahujú na všetkých výrobcov elektriny s právom na podporu a ich zariadenia bez rozlišovania času uvedenia zariadenia výrobcu elektriny do prevádzky alebo času ukončenia rekonštrukcie alebo modernizácie technologickej časti zariadenia výrobcu elektriny.</w:t>
      </w:r>
      <w:r>
        <w:rPr>
          <w:rFonts w:ascii="Times New Roman" w:hAnsi="Times New Roman"/>
          <w:sz w:val="24"/>
          <w:szCs w:val="24"/>
        </w:rPr>
        <w:t>“.</w:t>
      </w:r>
      <w:r w:rsidR="001F2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A6F" w:rsidRDefault="001F2A6F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FF25EA" w:rsidRDefault="00FF25EA" w:rsidP="00FF25EA">
      <w:pPr>
        <w:pStyle w:val="Odsekzoznamu"/>
        <w:spacing w:after="0"/>
        <w:ind w:left="709"/>
        <w:jc w:val="both"/>
        <w:rPr>
          <w:rFonts w:ascii="Segoe UI" w:hAnsi="Segoe UI" w:cs="Segoe UI"/>
          <w:color w:val="494949"/>
          <w:sz w:val="21"/>
          <w:szCs w:val="21"/>
        </w:rPr>
      </w:pPr>
      <w:bookmarkStart w:id="0" w:name="_GoBack"/>
      <w:bookmarkEnd w:id="0"/>
    </w:p>
    <w:p w:rsidR="001F2A6F" w:rsidRDefault="001F2A6F" w:rsidP="00FF25EA">
      <w:pPr>
        <w:spacing w:line="276" w:lineRule="auto"/>
        <w:jc w:val="center"/>
        <w:rPr>
          <w:b/>
          <w:bCs/>
          <w:highlight w:val="yellow"/>
        </w:rPr>
      </w:pPr>
      <w:r>
        <w:rPr>
          <w:b/>
          <w:bCs/>
        </w:rPr>
        <w:t>Čl. II</w:t>
      </w:r>
    </w:p>
    <w:p w:rsidR="001F2A6F" w:rsidRDefault="001F2A6F" w:rsidP="00FF25EA">
      <w:pPr>
        <w:spacing w:line="276" w:lineRule="auto"/>
        <w:jc w:val="center"/>
      </w:pPr>
    </w:p>
    <w:p w:rsidR="001F2A6F" w:rsidRDefault="001F2A6F" w:rsidP="00FF25EA">
      <w:pPr>
        <w:spacing w:line="276" w:lineRule="auto"/>
        <w:ind w:firstLine="708"/>
        <w:jc w:val="both"/>
      </w:pPr>
      <w:r>
        <w:t xml:space="preserve">Tento zákon nadobúda účinnosť 1. </w:t>
      </w:r>
      <w:r w:rsidR="00470AED" w:rsidRPr="00470AED">
        <w:t>novembra</w:t>
      </w:r>
      <w:r w:rsidR="00470AED" w:rsidRPr="00470AED" w:rsidDel="00470AED">
        <w:t xml:space="preserve"> </w:t>
      </w:r>
      <w:r>
        <w:t>2020.</w:t>
      </w:r>
    </w:p>
    <w:p w:rsidR="001F2A6F" w:rsidRDefault="001F2A6F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Default="00DF7E8C" w:rsidP="00FF25EA">
      <w:pPr>
        <w:spacing w:line="276" w:lineRule="auto"/>
        <w:ind w:firstLine="708"/>
        <w:jc w:val="both"/>
      </w:pPr>
    </w:p>
    <w:p w:rsidR="00DF7E8C" w:rsidRPr="00E106F1" w:rsidRDefault="00DF7E8C" w:rsidP="00FF25EA">
      <w:pPr>
        <w:spacing w:line="276" w:lineRule="auto"/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  <w:r w:rsidRPr="00E106F1">
        <w:t>predseda Národnej rady Slovenskej republiky</w:t>
      </w: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</w:p>
    <w:p w:rsidR="00DF7E8C" w:rsidRPr="00E106F1" w:rsidRDefault="00DF7E8C" w:rsidP="00FF25EA">
      <w:pPr>
        <w:spacing w:line="276" w:lineRule="auto"/>
        <w:ind w:firstLine="426"/>
        <w:jc w:val="center"/>
      </w:pPr>
      <w:r w:rsidRPr="00E106F1">
        <w:t>predseda vlády Slovenskej republiky</w:t>
      </w:r>
    </w:p>
    <w:p w:rsidR="00D71592" w:rsidRDefault="00D71592" w:rsidP="00FF25EA">
      <w:pPr>
        <w:spacing w:line="276" w:lineRule="auto"/>
      </w:pPr>
    </w:p>
    <w:sectPr w:rsidR="00D715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81" w:rsidRDefault="001F2681" w:rsidP="005B2E31">
      <w:r>
        <w:separator/>
      </w:r>
    </w:p>
  </w:endnote>
  <w:endnote w:type="continuationSeparator" w:id="0">
    <w:p w:rsidR="001F2681" w:rsidRDefault="001F2681" w:rsidP="005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161682"/>
      <w:docPartObj>
        <w:docPartGallery w:val="Page Numbers (Bottom of Page)"/>
        <w:docPartUnique/>
      </w:docPartObj>
    </w:sdtPr>
    <w:sdtContent>
      <w:p w:rsidR="00DF7E8C" w:rsidRDefault="00DF7E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D63">
          <w:rPr>
            <w:noProof/>
          </w:rPr>
          <w:t>4</w:t>
        </w:r>
        <w:r>
          <w:fldChar w:fldCharType="end"/>
        </w:r>
      </w:p>
    </w:sdtContent>
  </w:sdt>
  <w:p w:rsidR="00DF7E8C" w:rsidRDefault="00DF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81" w:rsidRDefault="001F2681" w:rsidP="005B2E31">
      <w:r>
        <w:separator/>
      </w:r>
    </w:p>
  </w:footnote>
  <w:footnote w:type="continuationSeparator" w:id="0">
    <w:p w:rsidR="001F2681" w:rsidRDefault="001F2681" w:rsidP="005B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FEA"/>
    <w:multiLevelType w:val="multilevel"/>
    <w:tmpl w:val="0C08E39A"/>
    <w:lvl w:ilvl="0">
      <w:start w:val="1"/>
      <w:numFmt w:val="decimal"/>
      <w:lvlText w:val="%1."/>
      <w:lvlJc w:val="left"/>
      <w:pPr>
        <w:ind w:left="80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871" w:hanging="705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54B0D5A"/>
    <w:multiLevelType w:val="multilevel"/>
    <w:tmpl w:val="DB98D08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C81F72"/>
    <w:multiLevelType w:val="hybridMultilevel"/>
    <w:tmpl w:val="7CEE2B6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92256"/>
    <w:multiLevelType w:val="hybridMultilevel"/>
    <w:tmpl w:val="65A02EF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792BFF"/>
    <w:multiLevelType w:val="hybridMultilevel"/>
    <w:tmpl w:val="C97637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6F"/>
    <w:rsid w:val="000909DC"/>
    <w:rsid w:val="000D1C7D"/>
    <w:rsid w:val="00102D63"/>
    <w:rsid w:val="001F2681"/>
    <w:rsid w:val="001F2A6F"/>
    <w:rsid w:val="002B4C36"/>
    <w:rsid w:val="003000C5"/>
    <w:rsid w:val="00345B32"/>
    <w:rsid w:val="00470AED"/>
    <w:rsid w:val="004D0A44"/>
    <w:rsid w:val="004E79DB"/>
    <w:rsid w:val="005B2E31"/>
    <w:rsid w:val="005E063E"/>
    <w:rsid w:val="005E3CA4"/>
    <w:rsid w:val="007173ED"/>
    <w:rsid w:val="00721270"/>
    <w:rsid w:val="007B0259"/>
    <w:rsid w:val="00842E65"/>
    <w:rsid w:val="009362E9"/>
    <w:rsid w:val="00BF5A53"/>
    <w:rsid w:val="00C74855"/>
    <w:rsid w:val="00CE2A71"/>
    <w:rsid w:val="00D71592"/>
    <w:rsid w:val="00DF7E8C"/>
    <w:rsid w:val="00E86759"/>
    <w:rsid w:val="00F2134C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4362"/>
  <w15:chartTrackingRefBased/>
  <w15:docId w15:val="{7647D4A0-B555-4E56-A716-6A8F7D6C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qFormat/>
    <w:rsid w:val="001F2A6F"/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character" w:customStyle="1" w:styleId="ZkladntextChar1">
    <w:name w:val="Základný text Char1"/>
    <w:basedOn w:val="Predvolenpsmoodseku"/>
    <w:uiPriority w:val="99"/>
    <w:semiHidden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2A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2A7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2E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E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2E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2E3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8BED-ADC6-4941-A60D-55D294E6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Forišová, Lívia, Mgr.</cp:lastModifiedBy>
  <cp:revision>27</cp:revision>
  <cp:lastPrinted>2020-09-24T08:28:00Z</cp:lastPrinted>
  <dcterms:created xsi:type="dcterms:W3CDTF">2020-09-24T08:10:00Z</dcterms:created>
  <dcterms:modified xsi:type="dcterms:W3CDTF">2020-09-24T08:32:00Z</dcterms:modified>
</cp:coreProperties>
</file>