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6A1F" w14:textId="340F4E34" w:rsidR="00021AD7" w:rsidRDefault="00021AD7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4A37FB41" w14:textId="60AEC8B3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2C565DEF" w14:textId="085E6AAD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292F21F3" w14:textId="10363C79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0BBAB598" w14:textId="14D52E36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515A849D" w14:textId="189E6151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0F081195" w14:textId="43973A99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1BAFE5A3" w14:textId="460960D3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0D46AD9" w14:textId="2013EBC3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37486517" w14:textId="6F5B079B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123FC6DD" w14:textId="33BCC203" w:rsidR="005B698A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6B6BA9A1" w14:textId="77777777" w:rsidR="005B698A" w:rsidRPr="00D23EF9" w:rsidRDefault="005B698A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3446522F" w14:textId="19569D20" w:rsidR="00C64F55" w:rsidRPr="008E0C09" w:rsidRDefault="00B24224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22</w:t>
      </w:r>
      <w:r w:rsidR="00E043E3" w:rsidRPr="008E0C09">
        <w:rPr>
          <w:rFonts w:ascii="Times New Roman" w:hAnsi="Times New Roman"/>
          <w:sz w:val="24"/>
          <w:szCs w:val="24"/>
        </w:rPr>
        <w:t xml:space="preserve">. septembra </w:t>
      </w:r>
      <w:r w:rsidR="00C64F55" w:rsidRPr="008E0C09">
        <w:rPr>
          <w:rFonts w:ascii="Times New Roman" w:hAnsi="Times New Roman"/>
          <w:sz w:val="24"/>
          <w:szCs w:val="24"/>
        </w:rPr>
        <w:t>20</w:t>
      </w:r>
      <w:r w:rsidR="00E733A4" w:rsidRPr="008E0C09">
        <w:rPr>
          <w:rFonts w:ascii="Times New Roman" w:hAnsi="Times New Roman"/>
          <w:sz w:val="24"/>
          <w:szCs w:val="24"/>
        </w:rPr>
        <w:t>20</w:t>
      </w:r>
      <w:r w:rsidR="00C64F55" w:rsidRPr="008E0C09">
        <w:rPr>
          <w:rFonts w:ascii="Times New Roman" w:hAnsi="Times New Roman"/>
          <w:sz w:val="24"/>
          <w:szCs w:val="24"/>
        </w:rPr>
        <w:t>,</w:t>
      </w:r>
    </w:p>
    <w:p w14:paraId="08CBA28E" w14:textId="77777777" w:rsidR="00C64F55" w:rsidRPr="008E0C09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0727CE06" w14:textId="77777777" w:rsidR="00C64F55" w:rsidRPr="008E0C09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257CC4B7" w14:textId="67D4FB45" w:rsidR="00C64F55" w:rsidRPr="008E0C09" w:rsidRDefault="002A13EA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E0C09">
        <w:rPr>
          <w:rFonts w:ascii="Times New Roman" w:hAnsi="Times New Roman"/>
          <w:b/>
          <w:sz w:val="24"/>
          <w:szCs w:val="24"/>
        </w:rPr>
        <w:t xml:space="preserve">ktorým sa mení a dopĺňa zákon č. 250/2012 Z. z. o regulácii v sieťových odvetviach v znení neskorších predpisov </w:t>
      </w:r>
      <w:r w:rsidR="0083465F" w:rsidRPr="008E0C09">
        <w:rPr>
          <w:rFonts w:ascii="Times New Roman" w:hAnsi="Times New Roman"/>
          <w:b/>
          <w:sz w:val="24"/>
          <w:szCs w:val="24"/>
        </w:rPr>
        <w:t>a ktorým sa dopĺňa zákon č. 211/2000 Z. z. o slobodnom prístupe k informáciám a o zmene a doplnení niektorých zákonov (zákon o slobode informácií) v znení neskorších predpisov</w:t>
      </w:r>
    </w:p>
    <w:p w14:paraId="3E9371DA" w14:textId="6FEB1C64" w:rsidR="002D3318" w:rsidRPr="008E0C09" w:rsidRDefault="00021AD7" w:rsidP="00021AD7">
      <w:pPr>
        <w:tabs>
          <w:tab w:val="left" w:pos="570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ab/>
      </w:r>
    </w:p>
    <w:p w14:paraId="29AD2370" w14:textId="77777777" w:rsidR="00021AD7" w:rsidRPr="008E0C09" w:rsidRDefault="00021AD7" w:rsidP="001C2991">
      <w:pPr>
        <w:tabs>
          <w:tab w:val="left" w:pos="570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9839C13" w14:textId="77777777" w:rsidR="002D3318" w:rsidRPr="008E0C09" w:rsidRDefault="002D3318" w:rsidP="001C2991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7B854849" w14:textId="77777777" w:rsidR="00C64F55" w:rsidRPr="008E0C09" w:rsidRDefault="00C64F55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318F2" w14:textId="77777777" w:rsidR="002D3318" w:rsidRPr="008E0C09" w:rsidRDefault="002D3318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E0C09">
        <w:rPr>
          <w:rFonts w:ascii="Times New Roman" w:hAnsi="Times New Roman"/>
          <w:b/>
          <w:sz w:val="24"/>
          <w:szCs w:val="24"/>
        </w:rPr>
        <w:t>Čl. I</w:t>
      </w:r>
    </w:p>
    <w:p w14:paraId="1A50E2A5" w14:textId="77777777" w:rsidR="002D3318" w:rsidRPr="008E0C09" w:rsidRDefault="002D3318" w:rsidP="00AC7E5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C13888B" w14:textId="57985DDA" w:rsidR="004E2542" w:rsidRPr="008E0C09" w:rsidRDefault="004E2542" w:rsidP="00AC7E5B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Zákon č. 250/2012 Z. z. o regulácii v sieťový</w:t>
      </w:r>
      <w:r w:rsidR="00C04B9A" w:rsidRPr="008E0C09">
        <w:rPr>
          <w:rFonts w:ascii="Times New Roman" w:hAnsi="Times New Roman"/>
          <w:sz w:val="24"/>
          <w:szCs w:val="24"/>
        </w:rPr>
        <w:t xml:space="preserve">ch odvetviach v znení zákona </w:t>
      </w:r>
      <w:r w:rsidR="004F49CF" w:rsidRPr="008E0C09">
        <w:rPr>
          <w:rFonts w:ascii="Times New Roman" w:hAnsi="Times New Roman"/>
          <w:sz w:val="24"/>
          <w:szCs w:val="24"/>
        </w:rPr>
        <w:t xml:space="preserve">                    </w:t>
      </w:r>
      <w:r w:rsidR="00C04B9A" w:rsidRPr="008E0C09">
        <w:rPr>
          <w:rFonts w:ascii="Times New Roman" w:hAnsi="Times New Roman"/>
          <w:sz w:val="24"/>
          <w:szCs w:val="24"/>
        </w:rPr>
        <w:t>č. </w:t>
      </w:r>
      <w:r w:rsidRPr="008E0C09">
        <w:rPr>
          <w:rFonts w:ascii="Times New Roman" w:hAnsi="Times New Roman"/>
          <w:sz w:val="24"/>
          <w:szCs w:val="24"/>
        </w:rPr>
        <w:t>435/2013 Z. z., zákona č. 321/2014 Z. z.</w:t>
      </w:r>
      <w:r w:rsidR="00A75E68" w:rsidRPr="008E0C09">
        <w:rPr>
          <w:rFonts w:ascii="Times New Roman" w:hAnsi="Times New Roman"/>
          <w:sz w:val="24"/>
          <w:szCs w:val="24"/>
        </w:rPr>
        <w:t>,</w:t>
      </w:r>
      <w:r w:rsidRPr="008E0C09">
        <w:rPr>
          <w:rFonts w:ascii="Times New Roman" w:hAnsi="Times New Roman"/>
          <w:sz w:val="24"/>
          <w:szCs w:val="24"/>
        </w:rPr>
        <w:t xml:space="preserve"> zákona č. 391/2015 Z. z.</w:t>
      </w:r>
      <w:r w:rsidR="004F49CF" w:rsidRPr="008E0C09">
        <w:rPr>
          <w:rFonts w:ascii="Times New Roman" w:hAnsi="Times New Roman"/>
          <w:sz w:val="24"/>
          <w:szCs w:val="24"/>
        </w:rPr>
        <w:t xml:space="preserve">, </w:t>
      </w:r>
      <w:r w:rsidR="00A75E68" w:rsidRPr="008E0C09">
        <w:rPr>
          <w:rFonts w:ascii="Times New Roman" w:hAnsi="Times New Roman"/>
          <w:sz w:val="24"/>
          <w:szCs w:val="24"/>
        </w:rPr>
        <w:t>zákona č. 164/2017 Z. z.</w:t>
      </w:r>
      <w:r w:rsidR="004F49CF" w:rsidRPr="008E0C09">
        <w:rPr>
          <w:rFonts w:ascii="Times New Roman" w:hAnsi="Times New Roman"/>
          <w:sz w:val="24"/>
          <w:szCs w:val="24"/>
        </w:rPr>
        <w:t xml:space="preserve">, zákona č. 177/2018 Z. z., </w:t>
      </w:r>
      <w:r w:rsidR="00420CB3" w:rsidRPr="008E0C09">
        <w:rPr>
          <w:rFonts w:ascii="Times New Roman" w:hAnsi="Times New Roman"/>
          <w:sz w:val="24"/>
          <w:szCs w:val="24"/>
        </w:rPr>
        <w:t xml:space="preserve">zákona č. 309/2018 Z. z., </w:t>
      </w:r>
      <w:r w:rsidR="004F49CF" w:rsidRPr="008E0C09">
        <w:rPr>
          <w:rFonts w:ascii="Times New Roman" w:hAnsi="Times New Roman"/>
          <w:sz w:val="24"/>
          <w:szCs w:val="24"/>
        </w:rPr>
        <w:t>zákona č. 221/201</w:t>
      </w:r>
      <w:r w:rsidR="008E79D5" w:rsidRPr="008E0C0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F49CF" w:rsidRPr="008E0C09">
        <w:rPr>
          <w:rFonts w:ascii="Times New Roman" w:hAnsi="Times New Roman"/>
          <w:sz w:val="24"/>
          <w:szCs w:val="24"/>
        </w:rPr>
        <w:t xml:space="preserve"> Z. z.</w:t>
      </w:r>
      <w:r w:rsidR="00D77A9A">
        <w:rPr>
          <w:rFonts w:ascii="Times New Roman" w:hAnsi="Times New Roman"/>
          <w:sz w:val="24"/>
          <w:szCs w:val="24"/>
        </w:rPr>
        <w:t>,</w:t>
      </w:r>
      <w:r w:rsidR="00420CB3" w:rsidRPr="008E0C09">
        <w:rPr>
          <w:rFonts w:ascii="Times New Roman" w:hAnsi="Times New Roman"/>
          <w:sz w:val="24"/>
          <w:szCs w:val="24"/>
        </w:rPr>
        <w:t xml:space="preserve"> </w:t>
      </w:r>
      <w:r w:rsidR="00E733A4" w:rsidRPr="008E0C09">
        <w:rPr>
          <w:rFonts w:ascii="Times New Roman" w:hAnsi="Times New Roman"/>
          <w:sz w:val="24"/>
          <w:szCs w:val="24"/>
        </w:rPr>
        <w:t>zákona č. 297/2019 Z. z.</w:t>
      </w:r>
      <w:r w:rsidR="004F49CF" w:rsidRPr="008E0C09">
        <w:rPr>
          <w:rFonts w:ascii="Times New Roman" w:hAnsi="Times New Roman"/>
          <w:sz w:val="24"/>
          <w:szCs w:val="24"/>
        </w:rPr>
        <w:t xml:space="preserve"> </w:t>
      </w:r>
      <w:r w:rsidR="00D77A9A">
        <w:rPr>
          <w:rFonts w:ascii="Times New Roman" w:hAnsi="Times New Roman"/>
          <w:sz w:val="24"/>
          <w:szCs w:val="24"/>
        </w:rPr>
        <w:t xml:space="preserve">a zákona č. 198/2020 Z. z. </w:t>
      </w:r>
      <w:r w:rsidRPr="008E0C09">
        <w:rPr>
          <w:rFonts w:ascii="Times New Roman" w:hAnsi="Times New Roman"/>
          <w:sz w:val="24"/>
          <w:szCs w:val="24"/>
        </w:rPr>
        <w:t>sa mení a dopĺňa takto:</w:t>
      </w:r>
    </w:p>
    <w:p w14:paraId="6DE07840" w14:textId="77777777" w:rsidR="001C2991" w:rsidRPr="008E0C09" w:rsidRDefault="001C2991" w:rsidP="001C29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88259A6" w14:textId="74F04246" w:rsidR="006407D2" w:rsidRDefault="00CC1953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V § </w:t>
      </w:r>
      <w:r w:rsidR="00525136" w:rsidRPr="008E0C09">
        <w:rPr>
          <w:rFonts w:ascii="Times New Roman" w:hAnsi="Times New Roman"/>
          <w:sz w:val="24"/>
          <w:szCs w:val="24"/>
        </w:rPr>
        <w:t xml:space="preserve">13 ods. 2 písm. i) sa </w:t>
      </w:r>
      <w:r w:rsidR="00112594" w:rsidRPr="008E0C09">
        <w:rPr>
          <w:rFonts w:ascii="Times New Roman" w:hAnsi="Times New Roman"/>
          <w:sz w:val="24"/>
          <w:szCs w:val="24"/>
        </w:rPr>
        <w:t xml:space="preserve">na konci pripájajú tieto </w:t>
      </w:r>
      <w:r w:rsidR="00525136" w:rsidRPr="008E0C09">
        <w:rPr>
          <w:rFonts w:ascii="Times New Roman" w:hAnsi="Times New Roman"/>
          <w:sz w:val="24"/>
          <w:szCs w:val="24"/>
        </w:rPr>
        <w:t>slová</w:t>
      </w:r>
      <w:r w:rsidR="00112594" w:rsidRPr="008E0C09">
        <w:rPr>
          <w:rFonts w:ascii="Times New Roman" w:hAnsi="Times New Roman"/>
          <w:sz w:val="24"/>
          <w:szCs w:val="24"/>
        </w:rPr>
        <w:t>:</w:t>
      </w:r>
      <w:r w:rsidR="001C2991" w:rsidRPr="008E0C09">
        <w:rPr>
          <w:rFonts w:ascii="Times New Roman" w:hAnsi="Times New Roman"/>
          <w:sz w:val="24"/>
          <w:szCs w:val="24"/>
        </w:rPr>
        <w:t xml:space="preserve"> </w:t>
      </w:r>
      <w:r w:rsidR="00525136" w:rsidRPr="008E0C09">
        <w:rPr>
          <w:rFonts w:ascii="Times New Roman" w:hAnsi="Times New Roman"/>
          <w:sz w:val="24"/>
          <w:szCs w:val="24"/>
        </w:rPr>
        <w:t xml:space="preserve">„a </w:t>
      </w:r>
      <w:r w:rsidR="00970293" w:rsidRPr="008E0C09">
        <w:rPr>
          <w:rFonts w:ascii="Times New Roman" w:hAnsi="Times New Roman"/>
          <w:sz w:val="24"/>
          <w:szCs w:val="24"/>
        </w:rPr>
        <w:t>6</w:t>
      </w:r>
      <w:r w:rsidR="00525136" w:rsidRPr="008E0C09">
        <w:rPr>
          <w:rFonts w:ascii="Times New Roman" w:hAnsi="Times New Roman"/>
          <w:sz w:val="24"/>
          <w:szCs w:val="24"/>
        </w:rPr>
        <w:t xml:space="preserve"> a</w:t>
      </w:r>
      <w:r w:rsidR="00D77A9A">
        <w:rPr>
          <w:rFonts w:ascii="Times New Roman" w:hAnsi="Times New Roman"/>
          <w:sz w:val="24"/>
          <w:szCs w:val="24"/>
        </w:rPr>
        <w:t> </w:t>
      </w:r>
      <w:r w:rsidR="00B6254D" w:rsidRPr="008E0C09">
        <w:rPr>
          <w:rFonts w:ascii="Times New Roman" w:hAnsi="Times New Roman"/>
          <w:sz w:val="24"/>
          <w:szCs w:val="24"/>
        </w:rPr>
        <w:t>§ 45f ods. 2</w:t>
      </w:r>
      <w:r w:rsidR="00525136" w:rsidRPr="008E0C09">
        <w:rPr>
          <w:rFonts w:ascii="Times New Roman" w:hAnsi="Times New Roman"/>
          <w:sz w:val="24"/>
          <w:szCs w:val="24"/>
        </w:rPr>
        <w:t>“.</w:t>
      </w:r>
    </w:p>
    <w:p w14:paraId="402B6281" w14:textId="77777777" w:rsidR="00BC151D" w:rsidRDefault="00BC151D" w:rsidP="00BC151D">
      <w:pPr>
        <w:pStyle w:val="Odsekzoznamu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C17609" w14:textId="2D2377C5" w:rsidR="00BC151D" w:rsidRPr="00BC151D" w:rsidRDefault="00BC151D" w:rsidP="00BC151D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V § 29 ods. 2 sa slová „jej zmenu“ nahrádzajú slovami „právny úkon, ktorým sa táto zmluva mení (ďalej len „zmena zmluvy“)</w:t>
      </w:r>
      <w:r>
        <w:rPr>
          <w:rFonts w:ascii="Times New Roman" w:hAnsi="Times New Roman"/>
          <w:sz w:val="24"/>
          <w:szCs w:val="24"/>
        </w:rPr>
        <w:t>“</w:t>
      </w:r>
      <w:r w:rsidRPr="008E0C09">
        <w:rPr>
          <w:rFonts w:ascii="Times New Roman" w:hAnsi="Times New Roman"/>
          <w:sz w:val="24"/>
          <w:szCs w:val="24"/>
        </w:rPr>
        <w:t>, slová „jej zmena“ sa nahrádzajú slovami „zmena zmluvy“ a slová „jej zmeny“ sa nahrádzajú slovami „zmeny zmluvy“.</w:t>
      </w:r>
    </w:p>
    <w:p w14:paraId="4DB3BF04" w14:textId="77777777" w:rsidR="001C2991" w:rsidRPr="008E0C09" w:rsidRDefault="001C2991" w:rsidP="001C29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7778CEAB" w14:textId="4F3AFEFA" w:rsidR="00BA71F4" w:rsidRPr="008E0C09" w:rsidRDefault="00BA71F4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V poznámke pod čiarou k odkazu 51 sa citácia „č. 25/2006 Z. z.“ nahrádza citáciou </w:t>
      </w:r>
      <w:r w:rsidR="001C2991" w:rsidRPr="008E0C09">
        <w:rPr>
          <w:rFonts w:ascii="Times New Roman" w:hAnsi="Times New Roman"/>
          <w:sz w:val="24"/>
          <w:szCs w:val="24"/>
        </w:rPr>
        <w:t>„</w:t>
      </w:r>
      <w:r w:rsidRPr="008E0C09">
        <w:rPr>
          <w:rFonts w:ascii="Times New Roman" w:hAnsi="Times New Roman"/>
          <w:sz w:val="24"/>
          <w:szCs w:val="24"/>
        </w:rPr>
        <w:t>č. 343/2015 Z. z.</w:t>
      </w:r>
      <w:r w:rsidR="001C2991" w:rsidRPr="008E0C09">
        <w:rPr>
          <w:rFonts w:ascii="Times New Roman" w:hAnsi="Times New Roman"/>
          <w:sz w:val="24"/>
          <w:szCs w:val="24"/>
        </w:rPr>
        <w:t>“.</w:t>
      </w:r>
      <w:r w:rsidRPr="008E0C09">
        <w:rPr>
          <w:rFonts w:ascii="Times New Roman" w:hAnsi="Times New Roman"/>
          <w:sz w:val="24"/>
          <w:szCs w:val="24"/>
        </w:rPr>
        <w:t xml:space="preserve"> </w:t>
      </w:r>
    </w:p>
    <w:p w14:paraId="41AB2E15" w14:textId="684C6C35" w:rsidR="001C2991" w:rsidRPr="008E0C09" w:rsidRDefault="001C2991" w:rsidP="000066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8EEE5E" w14:textId="2106D6F2" w:rsidR="00482340" w:rsidRPr="008E0C09" w:rsidRDefault="00482340" w:rsidP="00006691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V § 29 sa za odsek 5 vkladajú nové odseky 6 až 8, ktoré znejú:</w:t>
      </w:r>
    </w:p>
    <w:p w14:paraId="732A4120" w14:textId="05A8093B" w:rsidR="00482340" w:rsidRPr="008E0C09" w:rsidRDefault="00482340" w:rsidP="00482340">
      <w:pPr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„(6) </w:t>
      </w:r>
      <w:r w:rsidRPr="008E0C09">
        <w:rPr>
          <w:rFonts w:ascii="Times New Roman" w:hAnsi="Times New Roman"/>
          <w:sz w:val="24"/>
          <w:szCs w:val="24"/>
          <w:shd w:val="clear" w:color="auto" w:fill="FFFFFF"/>
        </w:rPr>
        <w:t>Regulovaný subjekt, ktorý vykonáva regulovanú činnosť v tepelnej energetike alebo vo vodnom hospodárstve a ktorý je obstarávateľom podľa osobitného predpisu,</w:t>
      </w:r>
      <w:r w:rsidRPr="008E0C0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51)</w:t>
      </w:r>
      <w:r w:rsidRPr="008E0C09">
        <w:rPr>
          <w:rFonts w:ascii="Times New Roman" w:hAnsi="Times New Roman"/>
          <w:sz w:val="24"/>
          <w:szCs w:val="24"/>
          <w:shd w:val="clear" w:color="auto" w:fill="FFFFFF"/>
        </w:rPr>
        <w:t> je povinný predložiť úradu na schválenie návrh zmluvy alebo návrh na zmenu zmluvy o poskytovaní služieb, prostredníctvom ktorej zabezpečuje vykonávanie regulovanej činnosti, ak ju na základe oprávnenia podľa osobitného predpisu</w:t>
      </w:r>
      <w:r w:rsidRPr="008E0C0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51a)</w:t>
      </w:r>
      <w:r w:rsidRPr="008E0C09">
        <w:rPr>
          <w:rFonts w:ascii="Times New Roman" w:hAnsi="Times New Roman"/>
          <w:sz w:val="24"/>
          <w:szCs w:val="24"/>
          <w:shd w:val="clear" w:color="auto" w:fill="FFFFFF"/>
        </w:rPr>
        <w:t xml:space="preserve"> má v úmysle uzatvoriť s prepojeným </w:t>
      </w:r>
      <w:r w:rsidRPr="008E0C0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podnikom</w:t>
      </w:r>
      <w:r w:rsidRPr="008E0C0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51b)</w:t>
      </w:r>
      <w:r w:rsidRPr="008E0C09">
        <w:rPr>
          <w:rFonts w:ascii="Times New Roman" w:hAnsi="Times New Roman"/>
          <w:sz w:val="24"/>
          <w:szCs w:val="24"/>
          <w:shd w:val="clear" w:color="auto" w:fill="FFFFFF"/>
        </w:rPr>
        <w:t xml:space="preserve"> bez použitia postupov obstarávania; bez tohto schválenia nemožno zmluvu ani zmenu zmluvy o poskytovaní služieb, uzatvoriť. Úrad schváli návrh zmluvy  alebo návrh na zmenu zmluvy o poskytovaní služieb, ak regulovaný subjekt preukáže, že podmienky návrhu zmluvy alebo  návrhu  na zmenu zmluvy o poskytovaní služieb, zodpovedajú podmienkam obvyklým v bežnom obchodnom styku, inak úrad návrh zmluvy alebo návrh na zmenu zmluvy  o poskytovaní služieb, neschváli. Úrad pred rozhodnutím o neschválení návrhu zmluvy alebo návrhu na zmenu zmluvy, určí lehotu na odstránenie nedostatkov, ktoré vedú k takémuto rozhodnutiu úradu, ak je ich odstránenie možné. </w:t>
      </w:r>
    </w:p>
    <w:p w14:paraId="371164C8" w14:textId="46833CA6" w:rsidR="00482340" w:rsidRPr="008E0C09" w:rsidRDefault="00482340" w:rsidP="00482340">
      <w:pPr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(7) Zmluva alebo zmena zmluvy podľa odsekov 2 a 6 nezodpovedá podmienkam obvyklým v bežnom obchodnom styku najmä, ak obsahuje dojednania, ktoré spôsobujú porušenie povinnosti regulovaného subjektu podľa odseku 1 písm. d), dojednania o neprimeranom právnom následku za porušenie záväzku regulovaného subjektu alebo dojednania, ktoré umožňujú druhému účastníkovi zmluvy jednostranne ukončiť zmluvu alebo</w:t>
      </w:r>
      <w:r w:rsidR="00102385" w:rsidRPr="008E0C09">
        <w:rPr>
          <w:rFonts w:ascii="Times New Roman" w:hAnsi="Times New Roman"/>
          <w:sz w:val="24"/>
          <w:szCs w:val="24"/>
        </w:rPr>
        <w:t xml:space="preserve"> zmenu zmluvy</w:t>
      </w:r>
      <w:r w:rsidRPr="008E0C09">
        <w:rPr>
          <w:rFonts w:ascii="Times New Roman" w:hAnsi="Times New Roman"/>
          <w:sz w:val="24"/>
          <w:szCs w:val="24"/>
        </w:rPr>
        <w:t>, bez toho, aby bolo obdobné oprávnenie priznané aj regulovanému subjektu. Zmluva alebo zmena zmluvy podľa odsekov 2 a 6 nezodpovedá podmienkam obvyklým v bežnom obchodnom styku ani vtedy, ak obsah tejto zmluvy alebo tejto zmeny zmluvy nie je zlučiteľný s  právom Európskej únie alebo politikami Európskej únie.</w:t>
      </w:r>
    </w:p>
    <w:p w14:paraId="0438E91B" w14:textId="5ABE3388" w:rsidR="00482340" w:rsidRPr="008E0C09" w:rsidRDefault="00482340" w:rsidP="00482340">
      <w:pPr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(8) Povinnosť podľa odseku 6 sa nevzťahuje na zmluvu alebo zmenu zmluvy o poskytovaní služieb uzatvorenú na základe rámcovej dohody,  ktoré boli obstarané za použitia postupov podľa osobitného predpisu.</w:t>
      </w:r>
      <w:r w:rsidRPr="008E0C09">
        <w:rPr>
          <w:rFonts w:ascii="Times New Roman" w:hAnsi="Times New Roman"/>
          <w:sz w:val="24"/>
          <w:szCs w:val="24"/>
          <w:vertAlign w:val="superscript"/>
        </w:rPr>
        <w:t>51)</w:t>
      </w:r>
      <w:r w:rsidRPr="008E0C09">
        <w:rPr>
          <w:rFonts w:ascii="Times New Roman" w:hAnsi="Times New Roman"/>
          <w:sz w:val="24"/>
          <w:szCs w:val="24"/>
        </w:rPr>
        <w:t xml:space="preserve"> Povinnosť podľa odseku 6 sa nevzťahuje ani na zmluvu alebo zmenu zmluvy o poskytovaní služieb, uzatvorené regulovaným subjektom, ktorý vykonáva regulovanú činnosť v tepelnej energetike a ktorý v predchádzajúcom kalendárnom roku dodával nadpolovičné množstvo tepla na iné </w:t>
      </w:r>
      <w:proofErr w:type="spellStart"/>
      <w:r w:rsidRPr="008E0C09">
        <w:rPr>
          <w:rFonts w:ascii="Times New Roman" w:hAnsi="Times New Roman"/>
          <w:sz w:val="24"/>
          <w:szCs w:val="24"/>
        </w:rPr>
        <w:t>tepelnoenergetické</w:t>
      </w:r>
      <w:proofErr w:type="spellEnd"/>
      <w:r w:rsidRPr="008E0C09">
        <w:rPr>
          <w:rFonts w:ascii="Times New Roman" w:hAnsi="Times New Roman"/>
          <w:sz w:val="24"/>
          <w:szCs w:val="24"/>
        </w:rPr>
        <w:t xml:space="preserve"> využitie ako na vykurovanie a prípravu teplej úžitkovej vody.“.</w:t>
      </w:r>
    </w:p>
    <w:p w14:paraId="1897120E" w14:textId="77777777" w:rsidR="00482340" w:rsidRPr="008E0C09" w:rsidRDefault="00482340" w:rsidP="00482340">
      <w:pPr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Doterajšie odseky 6 až 9 sa označujú ako odseky 9 až 12.</w:t>
      </w:r>
    </w:p>
    <w:p w14:paraId="69DC3F83" w14:textId="77777777" w:rsidR="00482340" w:rsidRPr="008E0C09" w:rsidRDefault="00482340" w:rsidP="00482340">
      <w:pPr>
        <w:keepNext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Poznámky pod čiarou k odkazom 51a a 51b znejú:</w:t>
      </w:r>
    </w:p>
    <w:p w14:paraId="417D791B" w14:textId="77777777" w:rsidR="00482340" w:rsidRPr="008E0C09" w:rsidRDefault="00482340" w:rsidP="00482340">
      <w:pPr>
        <w:keepNext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„51a) § 85 ods. 2 a § 100 ods. 2 zákona č. 343/2015 Z. z. </w:t>
      </w:r>
    </w:p>
    <w:p w14:paraId="059BC599" w14:textId="7210424E" w:rsidR="00482340" w:rsidRPr="008E0C09" w:rsidRDefault="00482340" w:rsidP="00482340">
      <w:pPr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51b) § 85 ods. 3 až</w:t>
      </w:r>
      <w:r w:rsidR="00A10B66">
        <w:rPr>
          <w:rFonts w:ascii="Times New Roman" w:hAnsi="Times New Roman"/>
          <w:sz w:val="24"/>
          <w:szCs w:val="24"/>
        </w:rPr>
        <w:t xml:space="preserve"> 5 zákona č. 343/2015 Z. z.“.</w:t>
      </w:r>
    </w:p>
    <w:p w14:paraId="39FCA744" w14:textId="3F3F05ED" w:rsidR="005B698A" w:rsidRPr="008E0C09" w:rsidRDefault="005B698A" w:rsidP="005B698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54843E30" w14:textId="3B9746E4" w:rsidR="001A41D4" w:rsidRPr="008E0C09" w:rsidRDefault="0043431D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V </w:t>
      </w:r>
      <w:r w:rsidR="001A41D4" w:rsidRPr="008E0C09">
        <w:rPr>
          <w:rFonts w:ascii="Times New Roman" w:hAnsi="Times New Roman"/>
          <w:sz w:val="24"/>
          <w:szCs w:val="24"/>
        </w:rPr>
        <w:t xml:space="preserve">§ 29 odsek </w:t>
      </w:r>
      <w:r w:rsidR="00970293" w:rsidRPr="008E0C09">
        <w:rPr>
          <w:rFonts w:ascii="Times New Roman" w:hAnsi="Times New Roman"/>
          <w:sz w:val="24"/>
          <w:szCs w:val="24"/>
        </w:rPr>
        <w:t>9</w:t>
      </w:r>
      <w:r w:rsidR="001A41D4" w:rsidRPr="008E0C09">
        <w:rPr>
          <w:rFonts w:ascii="Times New Roman" w:hAnsi="Times New Roman"/>
          <w:sz w:val="24"/>
          <w:szCs w:val="24"/>
        </w:rPr>
        <w:t xml:space="preserve"> znie:</w:t>
      </w:r>
    </w:p>
    <w:p w14:paraId="0193B736" w14:textId="304D16F4" w:rsidR="001A41D4" w:rsidRPr="008E0C09" w:rsidRDefault="001A41D4" w:rsidP="001C2991">
      <w:pPr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„(</w:t>
      </w:r>
      <w:r w:rsidR="00970293" w:rsidRPr="008E0C09">
        <w:rPr>
          <w:rFonts w:ascii="Times New Roman" w:hAnsi="Times New Roman"/>
          <w:sz w:val="24"/>
          <w:szCs w:val="24"/>
        </w:rPr>
        <w:t>9</w:t>
      </w:r>
      <w:r w:rsidRPr="008E0C09">
        <w:rPr>
          <w:rFonts w:ascii="Times New Roman" w:hAnsi="Times New Roman"/>
          <w:sz w:val="24"/>
          <w:szCs w:val="24"/>
        </w:rPr>
        <w:t xml:space="preserve">) Na určenie </w:t>
      </w:r>
      <w:r w:rsidR="00E801BE" w:rsidRPr="008E0C09">
        <w:rPr>
          <w:rFonts w:ascii="Times New Roman" w:hAnsi="Times New Roman"/>
          <w:sz w:val="24"/>
          <w:szCs w:val="24"/>
        </w:rPr>
        <w:t>predpokladanej hodnot</w:t>
      </w:r>
      <w:r w:rsidR="00970293" w:rsidRPr="008E0C09">
        <w:rPr>
          <w:rFonts w:ascii="Times New Roman" w:hAnsi="Times New Roman"/>
          <w:sz w:val="24"/>
          <w:szCs w:val="24"/>
        </w:rPr>
        <w:t>y</w:t>
      </w:r>
      <w:r w:rsidR="00E801BE" w:rsidRPr="008E0C09">
        <w:rPr>
          <w:rFonts w:ascii="Times New Roman" w:hAnsi="Times New Roman"/>
          <w:sz w:val="24"/>
          <w:szCs w:val="24"/>
        </w:rPr>
        <w:t xml:space="preserve"> predmetu zmluvy a predpokladanej hodnoty </w:t>
      </w:r>
      <w:r w:rsidRPr="008E0C09">
        <w:rPr>
          <w:rFonts w:ascii="Times New Roman" w:hAnsi="Times New Roman"/>
          <w:sz w:val="24"/>
          <w:szCs w:val="24"/>
        </w:rPr>
        <w:t>zákazky sa použijú ustanovenia osobitného predpisu.</w:t>
      </w:r>
      <w:r w:rsidRPr="008E0C09">
        <w:rPr>
          <w:rFonts w:ascii="Times New Roman" w:hAnsi="Times New Roman"/>
          <w:sz w:val="24"/>
          <w:szCs w:val="24"/>
          <w:vertAlign w:val="superscript"/>
        </w:rPr>
        <w:t>52</w:t>
      </w:r>
      <w:r w:rsidRPr="008E0C09">
        <w:rPr>
          <w:rFonts w:ascii="Times New Roman" w:hAnsi="Times New Roman"/>
          <w:sz w:val="24"/>
          <w:szCs w:val="24"/>
        </w:rPr>
        <w:t>)</w:t>
      </w:r>
      <w:r w:rsidR="00E801BE" w:rsidRPr="008E0C09">
        <w:rPr>
          <w:rFonts w:ascii="Times New Roman" w:hAnsi="Times New Roman"/>
          <w:sz w:val="24"/>
          <w:szCs w:val="24"/>
        </w:rPr>
        <w:t>“.</w:t>
      </w:r>
    </w:p>
    <w:p w14:paraId="706263E3" w14:textId="099EF5AD" w:rsidR="00E801BE" w:rsidRPr="008E0C09" w:rsidRDefault="00E801BE" w:rsidP="001A41D4">
      <w:pPr>
        <w:spacing w:after="0" w:line="264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7BF29945" w14:textId="77777777" w:rsidR="00C65CC4" w:rsidRPr="008E0C09" w:rsidRDefault="00C65CC4" w:rsidP="00C65CC4">
      <w:pPr>
        <w:pStyle w:val="Odsekzoznamu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Poznámka pod čiarou k odkazu 52 znie: </w:t>
      </w:r>
    </w:p>
    <w:p w14:paraId="1344179D" w14:textId="73F66323" w:rsidR="00E801BE" w:rsidRPr="008E0C09" w:rsidRDefault="00E801BE" w:rsidP="00C65CC4">
      <w:pPr>
        <w:pStyle w:val="Odsekzoznamu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„52) § 6 zákona č. 343/2015 Z. z. v znení </w:t>
      </w:r>
      <w:r w:rsidR="00444BA4" w:rsidRPr="008E0C09">
        <w:rPr>
          <w:rFonts w:ascii="Times New Roman" w:hAnsi="Times New Roman"/>
          <w:sz w:val="24"/>
          <w:szCs w:val="24"/>
        </w:rPr>
        <w:t>zákona č. 345/20</w:t>
      </w:r>
      <w:r w:rsidR="009D58C1" w:rsidRPr="008E0C09">
        <w:rPr>
          <w:rFonts w:ascii="Times New Roman" w:hAnsi="Times New Roman"/>
          <w:sz w:val="24"/>
          <w:szCs w:val="24"/>
        </w:rPr>
        <w:t>1</w:t>
      </w:r>
      <w:r w:rsidR="00444BA4" w:rsidRPr="008E0C09">
        <w:rPr>
          <w:rFonts w:ascii="Times New Roman" w:hAnsi="Times New Roman"/>
          <w:sz w:val="24"/>
          <w:szCs w:val="24"/>
        </w:rPr>
        <w:t>8 Z. z.</w:t>
      </w:r>
      <w:r w:rsidRPr="008E0C09">
        <w:rPr>
          <w:rFonts w:ascii="Times New Roman" w:hAnsi="Times New Roman"/>
          <w:sz w:val="24"/>
          <w:szCs w:val="24"/>
        </w:rPr>
        <w:t>“</w:t>
      </w:r>
      <w:r w:rsidR="0035485C" w:rsidRPr="008E0C09">
        <w:rPr>
          <w:rFonts w:ascii="Times New Roman" w:hAnsi="Times New Roman"/>
          <w:sz w:val="24"/>
          <w:szCs w:val="24"/>
        </w:rPr>
        <w:t>.</w:t>
      </w:r>
    </w:p>
    <w:p w14:paraId="2EBB20A4" w14:textId="77777777" w:rsidR="001A41D4" w:rsidRPr="008E0C09" w:rsidRDefault="001A41D4" w:rsidP="001A41D4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F212CFF" w14:textId="18F9DCD9" w:rsidR="00915C17" w:rsidRPr="008E0C09" w:rsidRDefault="00525136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V § 36 ods. 1 písm</w:t>
      </w:r>
      <w:r w:rsidR="00915C17" w:rsidRPr="008E0C09">
        <w:rPr>
          <w:rFonts w:ascii="Times New Roman" w:hAnsi="Times New Roman"/>
          <w:sz w:val="24"/>
          <w:szCs w:val="24"/>
        </w:rPr>
        <w:t>eno</w:t>
      </w:r>
      <w:r w:rsidRPr="008E0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4DC" w:rsidRPr="008E0C09">
        <w:rPr>
          <w:rFonts w:ascii="Times New Roman" w:hAnsi="Times New Roman"/>
          <w:sz w:val="24"/>
          <w:szCs w:val="24"/>
        </w:rPr>
        <w:t>a</w:t>
      </w:r>
      <w:r w:rsidR="00915C17" w:rsidRPr="008E0C09">
        <w:rPr>
          <w:rFonts w:ascii="Times New Roman" w:hAnsi="Times New Roman"/>
          <w:sz w:val="24"/>
          <w:szCs w:val="24"/>
        </w:rPr>
        <w:t>b</w:t>
      </w:r>
      <w:proofErr w:type="spellEnd"/>
      <w:r w:rsidRPr="008E0C09">
        <w:rPr>
          <w:rFonts w:ascii="Times New Roman" w:hAnsi="Times New Roman"/>
          <w:sz w:val="24"/>
          <w:szCs w:val="24"/>
        </w:rPr>
        <w:t xml:space="preserve">) </w:t>
      </w:r>
      <w:r w:rsidR="00915C17" w:rsidRPr="008E0C09">
        <w:rPr>
          <w:rFonts w:ascii="Times New Roman" w:hAnsi="Times New Roman"/>
          <w:sz w:val="24"/>
          <w:szCs w:val="24"/>
        </w:rPr>
        <w:t>znie:</w:t>
      </w:r>
    </w:p>
    <w:p w14:paraId="61A88C18" w14:textId="79F50845" w:rsidR="00525136" w:rsidRPr="008E0C09" w:rsidRDefault="00915C17" w:rsidP="001C2991">
      <w:pPr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„</w:t>
      </w:r>
      <w:proofErr w:type="spellStart"/>
      <w:r w:rsidRPr="008E0C09">
        <w:rPr>
          <w:rFonts w:ascii="Times New Roman" w:hAnsi="Times New Roman"/>
          <w:sz w:val="24"/>
          <w:szCs w:val="24"/>
        </w:rPr>
        <w:t>ab</w:t>
      </w:r>
      <w:proofErr w:type="spellEnd"/>
      <w:r w:rsidRPr="008E0C09">
        <w:rPr>
          <w:rFonts w:ascii="Times New Roman" w:hAnsi="Times New Roman"/>
          <w:sz w:val="24"/>
          <w:szCs w:val="24"/>
        </w:rPr>
        <w:t>) nevyhlási na zákazku, ktorej predpokladaná hodnota je vyššia ako 100 000 eur a ktorú neobstaráva podľa osobitného predpisu,</w:t>
      </w:r>
      <w:r w:rsidRPr="008E0C09">
        <w:rPr>
          <w:rFonts w:ascii="Times New Roman" w:hAnsi="Times New Roman"/>
          <w:sz w:val="24"/>
          <w:szCs w:val="24"/>
          <w:vertAlign w:val="superscript"/>
        </w:rPr>
        <w:t>5</w:t>
      </w:r>
      <w:r w:rsidR="00970293" w:rsidRPr="008E0C09">
        <w:rPr>
          <w:rFonts w:ascii="Times New Roman" w:hAnsi="Times New Roman"/>
          <w:sz w:val="24"/>
          <w:szCs w:val="24"/>
          <w:vertAlign w:val="superscript"/>
        </w:rPr>
        <w:t>2</w:t>
      </w:r>
      <w:r w:rsidRPr="008E0C09">
        <w:rPr>
          <w:rFonts w:ascii="Times New Roman" w:hAnsi="Times New Roman"/>
          <w:sz w:val="24"/>
          <w:szCs w:val="24"/>
        </w:rPr>
        <w:t xml:space="preserve">) obchodnú verejnú súťaž </w:t>
      </w:r>
      <w:r w:rsidR="009213C8" w:rsidRPr="008E0C09">
        <w:rPr>
          <w:rFonts w:ascii="Times New Roman" w:hAnsi="Times New Roman"/>
          <w:sz w:val="24"/>
          <w:szCs w:val="24"/>
        </w:rPr>
        <w:t xml:space="preserve"> podľa § 29 </w:t>
      </w:r>
      <w:r w:rsidR="009213C8" w:rsidRPr="008E0C09">
        <w:rPr>
          <w:rFonts w:ascii="Times New Roman" w:hAnsi="Times New Roman"/>
          <w:sz w:val="24"/>
          <w:szCs w:val="24"/>
        </w:rPr>
        <w:lastRenderedPageBreak/>
        <w:t xml:space="preserve">ods. 3 </w:t>
      </w:r>
      <w:r w:rsidRPr="008E0C09">
        <w:rPr>
          <w:rFonts w:ascii="Times New Roman" w:hAnsi="Times New Roman"/>
          <w:sz w:val="24"/>
          <w:szCs w:val="24"/>
        </w:rPr>
        <w:t xml:space="preserve">alebo nesplní povinnosti podľa § 29 ods. 2, </w:t>
      </w:r>
      <w:r w:rsidR="00970293" w:rsidRPr="008E0C09">
        <w:rPr>
          <w:rFonts w:ascii="Times New Roman" w:hAnsi="Times New Roman"/>
          <w:sz w:val="24"/>
          <w:szCs w:val="24"/>
        </w:rPr>
        <w:t>4</w:t>
      </w:r>
      <w:r w:rsidRPr="008E0C09">
        <w:rPr>
          <w:rFonts w:ascii="Times New Roman" w:hAnsi="Times New Roman"/>
          <w:sz w:val="24"/>
          <w:szCs w:val="24"/>
        </w:rPr>
        <w:t xml:space="preserve">, </w:t>
      </w:r>
      <w:r w:rsidR="00970293" w:rsidRPr="008E0C09">
        <w:rPr>
          <w:rFonts w:ascii="Times New Roman" w:hAnsi="Times New Roman"/>
          <w:sz w:val="24"/>
          <w:szCs w:val="24"/>
        </w:rPr>
        <w:t>5</w:t>
      </w:r>
      <w:r w:rsidRPr="008E0C09">
        <w:rPr>
          <w:rFonts w:ascii="Times New Roman" w:hAnsi="Times New Roman"/>
          <w:sz w:val="24"/>
          <w:szCs w:val="24"/>
        </w:rPr>
        <w:t xml:space="preserve"> alebo </w:t>
      </w:r>
      <w:r w:rsidR="00970293" w:rsidRPr="008E0C09">
        <w:rPr>
          <w:rFonts w:ascii="Times New Roman" w:hAnsi="Times New Roman"/>
          <w:sz w:val="24"/>
          <w:szCs w:val="24"/>
        </w:rPr>
        <w:t>6</w:t>
      </w:r>
      <w:r w:rsidR="00C7067B" w:rsidRPr="008E0C09">
        <w:rPr>
          <w:rFonts w:ascii="Times New Roman" w:hAnsi="Times New Roman"/>
          <w:sz w:val="24"/>
          <w:szCs w:val="24"/>
        </w:rPr>
        <w:t xml:space="preserve"> alebo </w:t>
      </w:r>
      <w:r w:rsidR="00591B09" w:rsidRPr="008E0C09">
        <w:rPr>
          <w:rFonts w:ascii="Times New Roman" w:hAnsi="Times New Roman"/>
          <w:sz w:val="24"/>
          <w:szCs w:val="24"/>
        </w:rPr>
        <w:t>podľa</w:t>
      </w:r>
      <w:r w:rsidR="00B6254D" w:rsidRPr="008E0C09">
        <w:rPr>
          <w:rFonts w:ascii="Times New Roman" w:hAnsi="Times New Roman"/>
          <w:sz w:val="24"/>
          <w:szCs w:val="24"/>
        </w:rPr>
        <w:t xml:space="preserve"> § 45f ods. 2</w:t>
      </w:r>
      <w:r w:rsidRPr="008E0C09">
        <w:rPr>
          <w:rFonts w:ascii="Times New Roman" w:hAnsi="Times New Roman"/>
          <w:sz w:val="24"/>
          <w:szCs w:val="24"/>
        </w:rPr>
        <w:t>,“.</w:t>
      </w:r>
      <w:r w:rsidR="00525136" w:rsidRPr="008E0C09">
        <w:rPr>
          <w:rFonts w:ascii="Times New Roman" w:hAnsi="Times New Roman"/>
          <w:sz w:val="24"/>
          <w:szCs w:val="24"/>
        </w:rPr>
        <w:t xml:space="preserve">  </w:t>
      </w:r>
    </w:p>
    <w:p w14:paraId="21447EC6" w14:textId="3EACE5B4" w:rsidR="00915C17" w:rsidRPr="008E0C09" w:rsidRDefault="00915C17" w:rsidP="000066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75EA2C8E" w14:textId="7F254B07" w:rsidR="001B7901" w:rsidRPr="008E0C09" w:rsidRDefault="001B7901" w:rsidP="00006691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Za § 45e sa vkladá  § 45f, ktorý vrátane nadpisu znie:</w:t>
      </w:r>
    </w:p>
    <w:p w14:paraId="33BC40F1" w14:textId="77777777" w:rsidR="001B7901" w:rsidRPr="008E0C09" w:rsidRDefault="001B7901" w:rsidP="001B7901">
      <w:pPr>
        <w:spacing w:line="264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„</w:t>
      </w:r>
      <w:r w:rsidRPr="008E0C09">
        <w:rPr>
          <w:rFonts w:ascii="Times New Roman" w:hAnsi="Times New Roman"/>
          <w:b/>
          <w:sz w:val="24"/>
          <w:szCs w:val="24"/>
        </w:rPr>
        <w:t>§ 45f</w:t>
      </w:r>
    </w:p>
    <w:p w14:paraId="5814330B" w14:textId="77777777" w:rsidR="001B7901" w:rsidRPr="008E0C09" w:rsidRDefault="001B7901" w:rsidP="001B7901">
      <w:pPr>
        <w:spacing w:line="264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E0C09">
        <w:rPr>
          <w:rFonts w:ascii="Times New Roman" w:hAnsi="Times New Roman"/>
          <w:b/>
          <w:sz w:val="24"/>
          <w:szCs w:val="24"/>
        </w:rPr>
        <w:t>Prechodné ustanovenia k úpravám účinným od 1. novembra 2020</w:t>
      </w:r>
    </w:p>
    <w:p w14:paraId="19F71081" w14:textId="77777777" w:rsidR="001B7901" w:rsidRPr="008E0C09" w:rsidRDefault="001B7901" w:rsidP="001B7901">
      <w:pPr>
        <w:spacing w:line="264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14:paraId="3640E0BB" w14:textId="6533671F" w:rsidR="001B7901" w:rsidRPr="008E0C09" w:rsidRDefault="001B7901" w:rsidP="001B7901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0C09">
        <w:rPr>
          <w:rFonts w:ascii="Times New Roman" w:hAnsi="Times New Roman"/>
          <w:bCs/>
          <w:sz w:val="24"/>
          <w:szCs w:val="24"/>
        </w:rPr>
        <w:t xml:space="preserve">(1) Ustanovenie § 29 ods. 6 sa vzťahuje na zmluvy o poskytovaní služieb uzatvorené po 1. novembri 2020.  Ustanovenie </w:t>
      </w:r>
      <w:r w:rsidR="00A10B66">
        <w:rPr>
          <w:rFonts w:ascii="Times New Roman" w:hAnsi="Times New Roman"/>
          <w:bCs/>
          <w:sz w:val="24"/>
          <w:szCs w:val="24"/>
        </w:rPr>
        <w:t xml:space="preserve">podľa </w:t>
      </w:r>
      <w:r w:rsidRPr="008E0C09">
        <w:rPr>
          <w:rFonts w:ascii="Times New Roman" w:hAnsi="Times New Roman"/>
          <w:bCs/>
          <w:sz w:val="24"/>
          <w:szCs w:val="24"/>
        </w:rPr>
        <w:t>prvej vety a odsekov 2 a 3 sa vzťahujú aj na zmeny zmluvy.</w:t>
      </w:r>
    </w:p>
    <w:p w14:paraId="292DF7F0" w14:textId="03924CE7" w:rsidR="001B7901" w:rsidRPr="008E0C09" w:rsidRDefault="001B7901" w:rsidP="001B790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bCs/>
          <w:sz w:val="24"/>
          <w:szCs w:val="24"/>
        </w:rPr>
        <w:t>(2) Zmluvy o poskytovaní služieb podľa § 29 ods. 6 uzatvorené pred 1. novembrom 2020 je regulovaný subjekt</w:t>
      </w:r>
      <w:r w:rsidRPr="008E0C09">
        <w:rPr>
          <w:rFonts w:ascii="Times New Roman" w:hAnsi="Times New Roman"/>
          <w:sz w:val="24"/>
          <w:szCs w:val="24"/>
        </w:rPr>
        <w:t>, ktorý vykonáva regulovanú činnosť v tepelnej energetike alebo vo vodnom hospodárstve</w:t>
      </w:r>
      <w:r w:rsidRPr="008E0C09">
        <w:rPr>
          <w:rFonts w:ascii="Times New Roman" w:hAnsi="Times New Roman"/>
          <w:bCs/>
          <w:sz w:val="24"/>
          <w:szCs w:val="24"/>
        </w:rPr>
        <w:t xml:space="preserve"> povinný predložiť na schválenie úradu najneskôr do 31. januára 2021. </w:t>
      </w:r>
      <w:r w:rsidRPr="008E0C09">
        <w:rPr>
          <w:rFonts w:ascii="Times New Roman" w:hAnsi="Times New Roman"/>
          <w:sz w:val="24"/>
          <w:szCs w:val="24"/>
        </w:rPr>
        <w:t>Úrad schváli zmluvu o poskytovaní služieb, ak regulovaný subjekt preukáže, že podmienky zmluvy o poskytovaní služieb zodpovedajú podmienkam obvyklým v bežnom obchodnom styku, inak úrad zmluvu o poskytovaní služieb neschváli. Úrad pred rozhodnutím o neschválení zmluvy o poskytovaní služieb určí lehotu na odstránenie nedostatkov, ak je ich odstránenie možné. Dňom právoplatnosti rozhodnutia úradu o neschválení zmluvy o poskytovaní služieb vzniká účastníkom zmluvy právo odstúpiť od zmluvy.</w:t>
      </w:r>
    </w:p>
    <w:p w14:paraId="2F292A51" w14:textId="7E81C56E" w:rsidR="00006691" w:rsidRDefault="001B7901" w:rsidP="009339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(3)  Povinnosť podľa odseku 2 sa nevzťahuje na zmluvu o poskytovaní služieb uzatvorenú na základe rámcovej dohody, ktorá bola obstaraná za použitia postupov podľa osobitného predpisu.</w:t>
      </w:r>
      <w:r w:rsidRPr="008E0C09">
        <w:rPr>
          <w:rFonts w:ascii="Times New Roman" w:hAnsi="Times New Roman"/>
          <w:sz w:val="24"/>
          <w:szCs w:val="24"/>
          <w:vertAlign w:val="superscript"/>
        </w:rPr>
        <w:t>51</w:t>
      </w:r>
      <w:r w:rsidRPr="008E0C09">
        <w:rPr>
          <w:rFonts w:ascii="Times New Roman" w:hAnsi="Times New Roman"/>
          <w:sz w:val="24"/>
          <w:szCs w:val="24"/>
        </w:rPr>
        <w:t xml:space="preserve">) Povinnosť podľa odseku 2 sa nevzťahuje ani na zmluvu o poskytovaní služieb uzatvorenú regulovaným subjektom, ktorý vykonáva regulovanú činnosť v tepelnej energetike a ktorý v predchádzajúcom kalendárnom roku dodával nadpolovičné množstvo tepla na iné </w:t>
      </w:r>
      <w:proofErr w:type="spellStart"/>
      <w:r w:rsidRPr="008E0C09">
        <w:rPr>
          <w:rFonts w:ascii="Times New Roman" w:hAnsi="Times New Roman"/>
          <w:sz w:val="24"/>
          <w:szCs w:val="24"/>
        </w:rPr>
        <w:t>tepelnoenergetické</w:t>
      </w:r>
      <w:proofErr w:type="spellEnd"/>
      <w:r w:rsidRPr="008E0C09">
        <w:rPr>
          <w:rFonts w:ascii="Times New Roman" w:hAnsi="Times New Roman"/>
          <w:sz w:val="24"/>
          <w:szCs w:val="24"/>
        </w:rPr>
        <w:t xml:space="preserve"> využitie ako na vykurovanie a prípravu teplej úžitkovej vody.“.</w:t>
      </w:r>
    </w:p>
    <w:p w14:paraId="5380164E" w14:textId="77777777" w:rsidR="0093395A" w:rsidRPr="008E0C09" w:rsidRDefault="0093395A" w:rsidP="000066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75437D91" w14:textId="5E0C8471" w:rsidR="0090670F" w:rsidRPr="003F5DAE" w:rsidRDefault="0090670F" w:rsidP="0090670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5DAE">
        <w:rPr>
          <w:rFonts w:ascii="Times New Roman" w:hAnsi="Times New Roman"/>
          <w:b/>
          <w:sz w:val="24"/>
          <w:szCs w:val="24"/>
        </w:rPr>
        <w:t>Čl. II</w:t>
      </w:r>
    </w:p>
    <w:p w14:paraId="393519CD" w14:textId="77777777" w:rsidR="0090670F" w:rsidRPr="008E0C09" w:rsidRDefault="0090670F" w:rsidP="008E0C09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 zákona č. 220/2011 Z. z., zákona č. 382/2011 Z. z., zákona č. 341/2012 Z. z., zákona č. 340/2015 Z. z. a zákona č. 125/2016 Z. z sa dopĺňa takto: </w:t>
      </w:r>
    </w:p>
    <w:p w14:paraId="452BA1EB" w14:textId="77777777" w:rsidR="0090670F" w:rsidRPr="008E0C09" w:rsidRDefault="0090670F" w:rsidP="0090670F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§ 5a sa dopĺňa odsekom 16, ktorý znie:</w:t>
      </w:r>
    </w:p>
    <w:p w14:paraId="35EF830C" w14:textId="41F5A3FC" w:rsidR="0090670F" w:rsidRPr="008E0C09" w:rsidRDefault="0090670F" w:rsidP="0090670F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„(16) Povinne zverejňovan</w:t>
      </w:r>
      <w:r w:rsidR="00A10B66">
        <w:rPr>
          <w:rFonts w:ascii="Times New Roman" w:hAnsi="Times New Roman"/>
          <w:sz w:val="24"/>
          <w:szCs w:val="24"/>
        </w:rPr>
        <w:t xml:space="preserve">ou zmluvou je aj písomná zmluva o </w:t>
      </w:r>
      <w:r w:rsidRPr="008E0C09">
        <w:rPr>
          <w:rFonts w:ascii="Times New Roman" w:hAnsi="Times New Roman"/>
          <w:sz w:val="24"/>
          <w:szCs w:val="24"/>
        </w:rPr>
        <w:t>poskytovaní služieb, ktorej účastníkom je povinná osoba, ak sa jej prostredníctvom zabezpečuje vykonávanie regulovanej činnosti v tepelnej energetike a vo vodnom hospodárstve,</w:t>
      </w:r>
      <w:r w:rsidRPr="008E0C09">
        <w:rPr>
          <w:rFonts w:ascii="Times New Roman" w:hAnsi="Times New Roman"/>
          <w:sz w:val="24"/>
          <w:szCs w:val="24"/>
          <w:vertAlign w:val="superscript"/>
        </w:rPr>
        <w:t>7h</w:t>
      </w:r>
      <w:r w:rsidRPr="008E0C09">
        <w:rPr>
          <w:rFonts w:ascii="Times New Roman" w:hAnsi="Times New Roman"/>
          <w:sz w:val="24"/>
          <w:szCs w:val="24"/>
        </w:rPr>
        <w:t xml:space="preserve">) a to aj v prípade, ak je takáto </w:t>
      </w:r>
      <w:r w:rsidRPr="008E0C09">
        <w:rPr>
          <w:rFonts w:ascii="Times New Roman" w:hAnsi="Times New Roman"/>
          <w:sz w:val="24"/>
          <w:szCs w:val="24"/>
        </w:rPr>
        <w:lastRenderedPageBreak/>
        <w:t>zmluva uzatvorená v bežnom obchodnom styku v rozsahu predmetu podnikania alebo činnosti zapísanej v obchodnom registri alebo v inej úradnej evidencii.“.</w:t>
      </w:r>
    </w:p>
    <w:p w14:paraId="4083328F" w14:textId="77777777" w:rsidR="0090670F" w:rsidRPr="008E0C09" w:rsidRDefault="0090670F" w:rsidP="0090670F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Poznámka pod čiarou k odkazu 7h znie:</w:t>
      </w:r>
    </w:p>
    <w:p w14:paraId="478AD8D3" w14:textId="0924C353" w:rsidR="00006691" w:rsidRDefault="0090670F" w:rsidP="000066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„7h) § 2 písm. c) piaty až siedmy bod zákona č. 250/2012 Z. z. o regulácii v sieťových odvetviach v znení zákona č. 309/2018 Z. z.“.</w:t>
      </w:r>
    </w:p>
    <w:p w14:paraId="62660F02" w14:textId="77777777" w:rsidR="0093395A" w:rsidRPr="008E0C09" w:rsidRDefault="0093395A" w:rsidP="009339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9676000" w14:textId="54BC4C7E" w:rsidR="009C4D9E" w:rsidRPr="008E0C09" w:rsidRDefault="009C4D9E" w:rsidP="00AC7E5B">
      <w:pPr>
        <w:keepNext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E0C09">
        <w:rPr>
          <w:rFonts w:ascii="Times New Roman" w:hAnsi="Times New Roman"/>
          <w:b/>
          <w:sz w:val="24"/>
          <w:szCs w:val="24"/>
        </w:rPr>
        <w:t xml:space="preserve">Čl. </w:t>
      </w:r>
      <w:r w:rsidR="0090670F" w:rsidRPr="008E0C09">
        <w:rPr>
          <w:rFonts w:ascii="Times New Roman" w:hAnsi="Times New Roman"/>
          <w:b/>
          <w:sz w:val="24"/>
          <w:szCs w:val="24"/>
        </w:rPr>
        <w:t xml:space="preserve"> III</w:t>
      </w:r>
    </w:p>
    <w:p w14:paraId="25AF43CA" w14:textId="77777777" w:rsidR="0027361C" w:rsidRPr="008E0C09" w:rsidRDefault="0027361C" w:rsidP="00AC7E5B">
      <w:pPr>
        <w:keepNext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0E212C7" w14:textId="59DAE852" w:rsidR="000D52F4" w:rsidRPr="008E0C09" w:rsidRDefault="005A398E" w:rsidP="00AC7E5B">
      <w:pPr>
        <w:keepNext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450B5A" w:rsidRPr="008E0C09">
        <w:rPr>
          <w:rFonts w:ascii="Times New Roman" w:hAnsi="Times New Roman"/>
          <w:sz w:val="24"/>
          <w:szCs w:val="24"/>
        </w:rPr>
        <w:t xml:space="preserve">1. </w:t>
      </w:r>
      <w:r w:rsidR="00C11ECA" w:rsidRPr="008E0C09">
        <w:rPr>
          <w:rFonts w:ascii="Times New Roman" w:hAnsi="Times New Roman"/>
          <w:sz w:val="24"/>
          <w:szCs w:val="24"/>
        </w:rPr>
        <w:t>novembra</w:t>
      </w:r>
      <w:r w:rsidR="000D52F4" w:rsidRPr="008E0C09">
        <w:rPr>
          <w:rFonts w:ascii="Times New Roman" w:hAnsi="Times New Roman"/>
          <w:sz w:val="24"/>
          <w:szCs w:val="24"/>
        </w:rPr>
        <w:t xml:space="preserve"> 2020. </w:t>
      </w:r>
    </w:p>
    <w:p w14:paraId="11E112C1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2992F70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9BD8D71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7E7F2E9" w14:textId="6F1C8DFD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58028A8" w14:textId="62C0D124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A244818" w14:textId="62D580E8" w:rsidR="00006691" w:rsidRPr="008E0C09" w:rsidRDefault="00006691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3BF1F8C" w14:textId="77777777" w:rsidR="00006691" w:rsidRPr="008E0C09" w:rsidRDefault="00006691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55D036D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85E8A5E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8EDB8EF" w14:textId="4AABA464" w:rsidR="005B698A" w:rsidRPr="008E0C09" w:rsidRDefault="005B698A" w:rsidP="005B6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C824A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07F2614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prezidentka  Slovenskej republiky</w:t>
      </w:r>
    </w:p>
    <w:p w14:paraId="48E494E6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30275DB" w14:textId="2C592C10" w:rsidR="005B698A" w:rsidRPr="008E0C09" w:rsidRDefault="005B698A" w:rsidP="005B6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C35E1" w14:textId="77777777" w:rsidR="005B698A" w:rsidRPr="008E0C09" w:rsidRDefault="005B698A" w:rsidP="005B6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02A13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A0AFABB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241E45A" w14:textId="29689E1F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D86D584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4E21376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114345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predseda Národnej rady Slovenskej republiky</w:t>
      </w:r>
    </w:p>
    <w:p w14:paraId="614EB11D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2ED99E7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035E9C5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F55DC8A" w14:textId="28BA0305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3129709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854D47D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8A1033B" w14:textId="459BE814" w:rsidR="005B698A" w:rsidRPr="008E0C09" w:rsidRDefault="005B698A" w:rsidP="005B6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5BF34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B8526C0" w14:textId="77777777" w:rsidR="005B698A" w:rsidRPr="008E0C09" w:rsidRDefault="005B698A" w:rsidP="005B698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E0C09">
        <w:rPr>
          <w:rFonts w:ascii="Times New Roman" w:hAnsi="Times New Roman"/>
          <w:sz w:val="24"/>
          <w:szCs w:val="24"/>
        </w:rPr>
        <w:t>predseda vlády Slovenskej republiky</w:t>
      </w:r>
    </w:p>
    <w:p w14:paraId="4E2C6D10" w14:textId="77777777" w:rsidR="005B698A" w:rsidRPr="008E0C09" w:rsidRDefault="005B698A" w:rsidP="005B6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960EC6F" w14:textId="77777777" w:rsidR="005B698A" w:rsidRPr="008E0C09" w:rsidRDefault="005B698A" w:rsidP="005B6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65B2E33" w14:textId="77777777" w:rsidR="005B698A" w:rsidRPr="008E0C09" w:rsidRDefault="005B698A" w:rsidP="005B698A">
      <w:pPr>
        <w:rPr>
          <w:rFonts w:ascii="Times New Roman" w:hAnsi="Times New Roman"/>
          <w:sz w:val="24"/>
          <w:szCs w:val="24"/>
        </w:rPr>
      </w:pPr>
    </w:p>
    <w:p w14:paraId="63082621" w14:textId="77777777" w:rsidR="005B698A" w:rsidRPr="008E0C09" w:rsidRDefault="005B698A" w:rsidP="005B698A">
      <w:pPr>
        <w:rPr>
          <w:rFonts w:ascii="Times New Roman" w:hAnsi="Times New Roman"/>
          <w:sz w:val="24"/>
          <w:szCs w:val="24"/>
        </w:rPr>
      </w:pPr>
    </w:p>
    <w:p w14:paraId="2C0B6261" w14:textId="77777777" w:rsidR="000D52F4" w:rsidRPr="008E0C09" w:rsidRDefault="000D52F4" w:rsidP="00AC7E5B">
      <w:pPr>
        <w:keepNext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D52F4" w:rsidRPr="008E0C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C079" w14:textId="77777777" w:rsidR="009D7E84" w:rsidRDefault="009D7E84" w:rsidP="00E03969">
      <w:pPr>
        <w:spacing w:after="0" w:line="240" w:lineRule="auto"/>
      </w:pPr>
      <w:r>
        <w:separator/>
      </w:r>
    </w:p>
  </w:endnote>
  <w:endnote w:type="continuationSeparator" w:id="0">
    <w:p w14:paraId="46192007" w14:textId="77777777" w:rsidR="009D7E84" w:rsidRDefault="009D7E84" w:rsidP="00E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808974"/>
      <w:docPartObj>
        <w:docPartGallery w:val="Page Numbers (Bottom of Page)"/>
        <w:docPartUnique/>
      </w:docPartObj>
    </w:sdtPr>
    <w:sdtEndPr/>
    <w:sdtContent>
      <w:p w14:paraId="50CB06AB" w14:textId="56993560" w:rsidR="005B698A" w:rsidRDefault="005B69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1D">
          <w:rPr>
            <w:noProof/>
          </w:rPr>
          <w:t>4</w:t>
        </w:r>
        <w:r>
          <w:fldChar w:fldCharType="end"/>
        </w:r>
      </w:p>
    </w:sdtContent>
  </w:sdt>
  <w:p w14:paraId="103BC4BF" w14:textId="77777777" w:rsidR="00B23429" w:rsidRPr="00E03969" w:rsidRDefault="00B23429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6F58" w14:textId="77777777" w:rsidR="009D7E84" w:rsidRDefault="009D7E84" w:rsidP="00E03969">
      <w:pPr>
        <w:spacing w:after="0" w:line="240" w:lineRule="auto"/>
      </w:pPr>
      <w:r>
        <w:separator/>
      </w:r>
    </w:p>
  </w:footnote>
  <w:footnote w:type="continuationSeparator" w:id="0">
    <w:p w14:paraId="7C8244F0" w14:textId="77777777" w:rsidR="009D7E84" w:rsidRDefault="009D7E84" w:rsidP="00E0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CF5EC686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111A"/>
    <w:multiLevelType w:val="hybridMultilevel"/>
    <w:tmpl w:val="64F23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5AD1"/>
    <w:multiLevelType w:val="hybridMultilevel"/>
    <w:tmpl w:val="704EBC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B19F2"/>
    <w:multiLevelType w:val="hybridMultilevel"/>
    <w:tmpl w:val="592EC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76A3F"/>
    <w:multiLevelType w:val="hybridMultilevel"/>
    <w:tmpl w:val="D5388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C29AB"/>
    <w:multiLevelType w:val="hybridMultilevel"/>
    <w:tmpl w:val="91CEF0FC"/>
    <w:lvl w:ilvl="0" w:tplc="555651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3F39A9"/>
    <w:multiLevelType w:val="hybridMultilevel"/>
    <w:tmpl w:val="7CBCC2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1"/>
    <w:rsid w:val="000019C0"/>
    <w:rsid w:val="00006691"/>
    <w:rsid w:val="00013086"/>
    <w:rsid w:val="0001384A"/>
    <w:rsid w:val="00020265"/>
    <w:rsid w:val="00021900"/>
    <w:rsid w:val="00021AD7"/>
    <w:rsid w:val="000221CD"/>
    <w:rsid w:val="0003136C"/>
    <w:rsid w:val="000318FE"/>
    <w:rsid w:val="000338C7"/>
    <w:rsid w:val="00036585"/>
    <w:rsid w:val="000417F7"/>
    <w:rsid w:val="0004395B"/>
    <w:rsid w:val="00044FB3"/>
    <w:rsid w:val="0005123C"/>
    <w:rsid w:val="00052C76"/>
    <w:rsid w:val="00053BA8"/>
    <w:rsid w:val="00056CD6"/>
    <w:rsid w:val="00057EF1"/>
    <w:rsid w:val="0007035E"/>
    <w:rsid w:val="00075772"/>
    <w:rsid w:val="00080557"/>
    <w:rsid w:val="0009472F"/>
    <w:rsid w:val="000B0C05"/>
    <w:rsid w:val="000B629A"/>
    <w:rsid w:val="000D52F4"/>
    <w:rsid w:val="000E7035"/>
    <w:rsid w:val="000E743E"/>
    <w:rsid w:val="000F61BC"/>
    <w:rsid w:val="00102385"/>
    <w:rsid w:val="001024E3"/>
    <w:rsid w:val="0010324D"/>
    <w:rsid w:val="00107E98"/>
    <w:rsid w:val="00112594"/>
    <w:rsid w:val="001223BF"/>
    <w:rsid w:val="00123D79"/>
    <w:rsid w:val="0013035B"/>
    <w:rsid w:val="001353F7"/>
    <w:rsid w:val="00145D52"/>
    <w:rsid w:val="00146497"/>
    <w:rsid w:val="00157E7A"/>
    <w:rsid w:val="001621D1"/>
    <w:rsid w:val="00163FA5"/>
    <w:rsid w:val="0016787E"/>
    <w:rsid w:val="001724A1"/>
    <w:rsid w:val="001941F2"/>
    <w:rsid w:val="001973FF"/>
    <w:rsid w:val="001A41D4"/>
    <w:rsid w:val="001A6375"/>
    <w:rsid w:val="001B69B4"/>
    <w:rsid w:val="001B6FE6"/>
    <w:rsid w:val="001B7901"/>
    <w:rsid w:val="001C1F58"/>
    <w:rsid w:val="001C2991"/>
    <w:rsid w:val="001C50AA"/>
    <w:rsid w:val="001D3C36"/>
    <w:rsid w:val="001E02D6"/>
    <w:rsid w:val="001F348E"/>
    <w:rsid w:val="001F3D3E"/>
    <w:rsid w:val="001F65F0"/>
    <w:rsid w:val="001F7613"/>
    <w:rsid w:val="002043A6"/>
    <w:rsid w:val="00206AB0"/>
    <w:rsid w:val="00211BE6"/>
    <w:rsid w:val="00211F2C"/>
    <w:rsid w:val="00213252"/>
    <w:rsid w:val="0022029C"/>
    <w:rsid w:val="0022097D"/>
    <w:rsid w:val="0023357A"/>
    <w:rsid w:val="00243B86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9124E"/>
    <w:rsid w:val="002A01FF"/>
    <w:rsid w:val="002A13EA"/>
    <w:rsid w:val="002A6FC4"/>
    <w:rsid w:val="002B3EFB"/>
    <w:rsid w:val="002B5DD3"/>
    <w:rsid w:val="002C3D92"/>
    <w:rsid w:val="002D3318"/>
    <w:rsid w:val="002D50A6"/>
    <w:rsid w:val="002D6247"/>
    <w:rsid w:val="002E081B"/>
    <w:rsid w:val="002E569A"/>
    <w:rsid w:val="002F28DC"/>
    <w:rsid w:val="0030135A"/>
    <w:rsid w:val="00301A56"/>
    <w:rsid w:val="00315DDA"/>
    <w:rsid w:val="00325D8B"/>
    <w:rsid w:val="0033097A"/>
    <w:rsid w:val="00347498"/>
    <w:rsid w:val="00354186"/>
    <w:rsid w:val="0035485C"/>
    <w:rsid w:val="00361BB7"/>
    <w:rsid w:val="00366D57"/>
    <w:rsid w:val="00376D8C"/>
    <w:rsid w:val="003858E1"/>
    <w:rsid w:val="00390137"/>
    <w:rsid w:val="00392533"/>
    <w:rsid w:val="003C62D5"/>
    <w:rsid w:val="003C62FF"/>
    <w:rsid w:val="003D0C60"/>
    <w:rsid w:val="003F5DAE"/>
    <w:rsid w:val="0040060D"/>
    <w:rsid w:val="00410695"/>
    <w:rsid w:val="0041227B"/>
    <w:rsid w:val="004132D7"/>
    <w:rsid w:val="00420CB3"/>
    <w:rsid w:val="0043431D"/>
    <w:rsid w:val="0043505B"/>
    <w:rsid w:val="00437AB8"/>
    <w:rsid w:val="00444BA4"/>
    <w:rsid w:val="00445336"/>
    <w:rsid w:val="00450B5A"/>
    <w:rsid w:val="00451DC6"/>
    <w:rsid w:val="004770D1"/>
    <w:rsid w:val="00477B81"/>
    <w:rsid w:val="00482340"/>
    <w:rsid w:val="00487CB6"/>
    <w:rsid w:val="00491858"/>
    <w:rsid w:val="004A1C5D"/>
    <w:rsid w:val="004A3853"/>
    <w:rsid w:val="004B115E"/>
    <w:rsid w:val="004B3FAC"/>
    <w:rsid w:val="004B6E81"/>
    <w:rsid w:val="004C1197"/>
    <w:rsid w:val="004D226C"/>
    <w:rsid w:val="004D2E5D"/>
    <w:rsid w:val="004D56E7"/>
    <w:rsid w:val="004E1D03"/>
    <w:rsid w:val="004E2542"/>
    <w:rsid w:val="004E4186"/>
    <w:rsid w:val="004F49CF"/>
    <w:rsid w:val="00510A04"/>
    <w:rsid w:val="00516515"/>
    <w:rsid w:val="00520080"/>
    <w:rsid w:val="00525136"/>
    <w:rsid w:val="0054443E"/>
    <w:rsid w:val="00550896"/>
    <w:rsid w:val="00555ECD"/>
    <w:rsid w:val="00557F29"/>
    <w:rsid w:val="005663E7"/>
    <w:rsid w:val="005741CD"/>
    <w:rsid w:val="00584EE8"/>
    <w:rsid w:val="00591B09"/>
    <w:rsid w:val="005A29B6"/>
    <w:rsid w:val="005A398E"/>
    <w:rsid w:val="005B5063"/>
    <w:rsid w:val="005B698A"/>
    <w:rsid w:val="005C0274"/>
    <w:rsid w:val="005E1341"/>
    <w:rsid w:val="005E5735"/>
    <w:rsid w:val="0060114B"/>
    <w:rsid w:val="00623BB1"/>
    <w:rsid w:val="00626E4D"/>
    <w:rsid w:val="00635C6F"/>
    <w:rsid w:val="00636563"/>
    <w:rsid w:val="006407D2"/>
    <w:rsid w:val="00654C08"/>
    <w:rsid w:val="006559FB"/>
    <w:rsid w:val="006638BE"/>
    <w:rsid w:val="00676707"/>
    <w:rsid w:val="006772F1"/>
    <w:rsid w:val="006A07FB"/>
    <w:rsid w:val="006A6A28"/>
    <w:rsid w:val="006A7C12"/>
    <w:rsid w:val="006B28A5"/>
    <w:rsid w:val="006B3F13"/>
    <w:rsid w:val="006B4F47"/>
    <w:rsid w:val="006C6032"/>
    <w:rsid w:val="006D0926"/>
    <w:rsid w:val="006D1DE0"/>
    <w:rsid w:val="006D3CC2"/>
    <w:rsid w:val="006D4BA7"/>
    <w:rsid w:val="006D6CDC"/>
    <w:rsid w:val="006E7660"/>
    <w:rsid w:val="006F3EA4"/>
    <w:rsid w:val="00711F91"/>
    <w:rsid w:val="00713481"/>
    <w:rsid w:val="00714B99"/>
    <w:rsid w:val="00727D25"/>
    <w:rsid w:val="00737E0E"/>
    <w:rsid w:val="00741956"/>
    <w:rsid w:val="0074301A"/>
    <w:rsid w:val="0074699E"/>
    <w:rsid w:val="00755BC0"/>
    <w:rsid w:val="00757BB4"/>
    <w:rsid w:val="0076364F"/>
    <w:rsid w:val="00771ADF"/>
    <w:rsid w:val="00775843"/>
    <w:rsid w:val="00791EF6"/>
    <w:rsid w:val="007B266E"/>
    <w:rsid w:val="007B4B1D"/>
    <w:rsid w:val="007B5915"/>
    <w:rsid w:val="007C7A3D"/>
    <w:rsid w:val="007F7122"/>
    <w:rsid w:val="007F7A1C"/>
    <w:rsid w:val="00802161"/>
    <w:rsid w:val="00806044"/>
    <w:rsid w:val="00806CA5"/>
    <w:rsid w:val="00807902"/>
    <w:rsid w:val="00812AE5"/>
    <w:rsid w:val="00832E86"/>
    <w:rsid w:val="0083465F"/>
    <w:rsid w:val="00836BDB"/>
    <w:rsid w:val="0084673D"/>
    <w:rsid w:val="00846D33"/>
    <w:rsid w:val="0086181F"/>
    <w:rsid w:val="0086649D"/>
    <w:rsid w:val="00874DB7"/>
    <w:rsid w:val="00895EBB"/>
    <w:rsid w:val="008A4328"/>
    <w:rsid w:val="008B5DEF"/>
    <w:rsid w:val="008B62F4"/>
    <w:rsid w:val="008C16A3"/>
    <w:rsid w:val="008C5E57"/>
    <w:rsid w:val="008C782B"/>
    <w:rsid w:val="008D4113"/>
    <w:rsid w:val="008D5C2A"/>
    <w:rsid w:val="008E0C09"/>
    <w:rsid w:val="008E41C3"/>
    <w:rsid w:val="008E79D5"/>
    <w:rsid w:val="008F5AC2"/>
    <w:rsid w:val="008F6850"/>
    <w:rsid w:val="00900DC4"/>
    <w:rsid w:val="00902FD2"/>
    <w:rsid w:val="0090670F"/>
    <w:rsid w:val="0091044C"/>
    <w:rsid w:val="00915C17"/>
    <w:rsid w:val="009213C8"/>
    <w:rsid w:val="009269D5"/>
    <w:rsid w:val="0093395A"/>
    <w:rsid w:val="00942147"/>
    <w:rsid w:val="0094335D"/>
    <w:rsid w:val="00944B0F"/>
    <w:rsid w:val="009459C6"/>
    <w:rsid w:val="00970293"/>
    <w:rsid w:val="00983A56"/>
    <w:rsid w:val="00985571"/>
    <w:rsid w:val="00995BEB"/>
    <w:rsid w:val="009A654A"/>
    <w:rsid w:val="009A742A"/>
    <w:rsid w:val="009C4D9E"/>
    <w:rsid w:val="009C7B39"/>
    <w:rsid w:val="009D4AF9"/>
    <w:rsid w:val="009D58C1"/>
    <w:rsid w:val="009D7E84"/>
    <w:rsid w:val="009E0217"/>
    <w:rsid w:val="009F46EB"/>
    <w:rsid w:val="009F767D"/>
    <w:rsid w:val="00A001DE"/>
    <w:rsid w:val="00A06E87"/>
    <w:rsid w:val="00A10AE6"/>
    <w:rsid w:val="00A10B66"/>
    <w:rsid w:val="00A24CE8"/>
    <w:rsid w:val="00A24F3F"/>
    <w:rsid w:val="00A34DF4"/>
    <w:rsid w:val="00A464DC"/>
    <w:rsid w:val="00A56252"/>
    <w:rsid w:val="00A64886"/>
    <w:rsid w:val="00A65B44"/>
    <w:rsid w:val="00A72BC8"/>
    <w:rsid w:val="00A75E68"/>
    <w:rsid w:val="00A921D8"/>
    <w:rsid w:val="00A92FAB"/>
    <w:rsid w:val="00A93C33"/>
    <w:rsid w:val="00AB65B6"/>
    <w:rsid w:val="00AC7E5B"/>
    <w:rsid w:val="00AD54AF"/>
    <w:rsid w:val="00AD5A86"/>
    <w:rsid w:val="00AE1844"/>
    <w:rsid w:val="00AE4D51"/>
    <w:rsid w:val="00AE69F3"/>
    <w:rsid w:val="00AF419D"/>
    <w:rsid w:val="00AF65AE"/>
    <w:rsid w:val="00B20BA8"/>
    <w:rsid w:val="00B2149E"/>
    <w:rsid w:val="00B23429"/>
    <w:rsid w:val="00B24224"/>
    <w:rsid w:val="00B3751E"/>
    <w:rsid w:val="00B4149E"/>
    <w:rsid w:val="00B41DE4"/>
    <w:rsid w:val="00B45BA7"/>
    <w:rsid w:val="00B57002"/>
    <w:rsid w:val="00B6254D"/>
    <w:rsid w:val="00B6494B"/>
    <w:rsid w:val="00B86BB0"/>
    <w:rsid w:val="00B97A7C"/>
    <w:rsid w:val="00BA4BB7"/>
    <w:rsid w:val="00BA71F4"/>
    <w:rsid w:val="00BA7BCE"/>
    <w:rsid w:val="00BB6848"/>
    <w:rsid w:val="00BC151D"/>
    <w:rsid w:val="00BC1821"/>
    <w:rsid w:val="00BD163A"/>
    <w:rsid w:val="00BE3BA8"/>
    <w:rsid w:val="00BE6BD4"/>
    <w:rsid w:val="00BE7218"/>
    <w:rsid w:val="00BE752B"/>
    <w:rsid w:val="00BF6683"/>
    <w:rsid w:val="00C04B9A"/>
    <w:rsid w:val="00C11ECA"/>
    <w:rsid w:val="00C13582"/>
    <w:rsid w:val="00C27317"/>
    <w:rsid w:val="00C33F0F"/>
    <w:rsid w:val="00C373FA"/>
    <w:rsid w:val="00C4227A"/>
    <w:rsid w:val="00C56B79"/>
    <w:rsid w:val="00C56D80"/>
    <w:rsid w:val="00C614B0"/>
    <w:rsid w:val="00C64F55"/>
    <w:rsid w:val="00C65CC4"/>
    <w:rsid w:val="00C7067B"/>
    <w:rsid w:val="00C77748"/>
    <w:rsid w:val="00C91F1C"/>
    <w:rsid w:val="00C94905"/>
    <w:rsid w:val="00C96372"/>
    <w:rsid w:val="00CA4F63"/>
    <w:rsid w:val="00CA7C9F"/>
    <w:rsid w:val="00CB28B7"/>
    <w:rsid w:val="00CB5A7A"/>
    <w:rsid w:val="00CB7D28"/>
    <w:rsid w:val="00CC1953"/>
    <w:rsid w:val="00CD0208"/>
    <w:rsid w:val="00CD1BD1"/>
    <w:rsid w:val="00CD6824"/>
    <w:rsid w:val="00CE4100"/>
    <w:rsid w:val="00CE7282"/>
    <w:rsid w:val="00D0017E"/>
    <w:rsid w:val="00D01B46"/>
    <w:rsid w:val="00D120BD"/>
    <w:rsid w:val="00D15046"/>
    <w:rsid w:val="00D23EF9"/>
    <w:rsid w:val="00D31FD7"/>
    <w:rsid w:val="00D36BE1"/>
    <w:rsid w:val="00D40C12"/>
    <w:rsid w:val="00D41A53"/>
    <w:rsid w:val="00D475B2"/>
    <w:rsid w:val="00D50E07"/>
    <w:rsid w:val="00D527C7"/>
    <w:rsid w:val="00D54955"/>
    <w:rsid w:val="00D56299"/>
    <w:rsid w:val="00D63310"/>
    <w:rsid w:val="00D66B08"/>
    <w:rsid w:val="00D725B1"/>
    <w:rsid w:val="00D74093"/>
    <w:rsid w:val="00D745C1"/>
    <w:rsid w:val="00D77A9A"/>
    <w:rsid w:val="00D77C84"/>
    <w:rsid w:val="00D8382B"/>
    <w:rsid w:val="00DA140A"/>
    <w:rsid w:val="00DA2C4C"/>
    <w:rsid w:val="00DB3FB2"/>
    <w:rsid w:val="00DC4302"/>
    <w:rsid w:val="00DD5747"/>
    <w:rsid w:val="00DD7651"/>
    <w:rsid w:val="00DE0742"/>
    <w:rsid w:val="00E03969"/>
    <w:rsid w:val="00E043E3"/>
    <w:rsid w:val="00E10944"/>
    <w:rsid w:val="00E13AAC"/>
    <w:rsid w:val="00E15564"/>
    <w:rsid w:val="00E21931"/>
    <w:rsid w:val="00E27741"/>
    <w:rsid w:val="00E35C9F"/>
    <w:rsid w:val="00E3762F"/>
    <w:rsid w:val="00E379F9"/>
    <w:rsid w:val="00E42445"/>
    <w:rsid w:val="00E4432D"/>
    <w:rsid w:val="00E733A4"/>
    <w:rsid w:val="00E801BE"/>
    <w:rsid w:val="00E92262"/>
    <w:rsid w:val="00E92FC7"/>
    <w:rsid w:val="00E96D1E"/>
    <w:rsid w:val="00EA0EE5"/>
    <w:rsid w:val="00EB35EB"/>
    <w:rsid w:val="00EC0592"/>
    <w:rsid w:val="00EC3811"/>
    <w:rsid w:val="00EE10CB"/>
    <w:rsid w:val="00EE2434"/>
    <w:rsid w:val="00EE4D5C"/>
    <w:rsid w:val="00EF6549"/>
    <w:rsid w:val="00EF76C1"/>
    <w:rsid w:val="00F211AF"/>
    <w:rsid w:val="00F369FB"/>
    <w:rsid w:val="00F40E2E"/>
    <w:rsid w:val="00F45D20"/>
    <w:rsid w:val="00F50DE8"/>
    <w:rsid w:val="00F542A1"/>
    <w:rsid w:val="00F5595B"/>
    <w:rsid w:val="00F83514"/>
    <w:rsid w:val="00F84DB3"/>
    <w:rsid w:val="00F90840"/>
    <w:rsid w:val="00F918EC"/>
    <w:rsid w:val="00FB01B5"/>
    <w:rsid w:val="00FB6496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749D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paragraph" w:customStyle="1" w:styleId="Telotextu">
    <w:name w:val="Telo textu"/>
    <w:basedOn w:val="Normlny"/>
    <w:rsid w:val="00C64F55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8E79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79D5"/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512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12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123C"/>
    <w:rPr>
      <w:rFonts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05123C"/>
    <w:rPr>
      <w:rFonts w:cs="Times New Roman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A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8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B127-D188-4315-8E6A-35E26B17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2020-09-17T13:36:00Z</dcterms:created>
  <dcterms:modified xsi:type="dcterms:W3CDTF">2020-09-22T08:49:00Z</dcterms:modified>
</cp:coreProperties>
</file>