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073BA" w14:textId="77777777" w:rsidR="00BE6902" w:rsidRPr="00C43522" w:rsidRDefault="00BE6902" w:rsidP="00BE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435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Dôvodová správa</w:t>
      </w:r>
    </w:p>
    <w:p w14:paraId="0E0457F4" w14:textId="77777777" w:rsidR="00BE6902" w:rsidRPr="00C43522" w:rsidRDefault="00BE6902" w:rsidP="00BE6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AED3A7" w14:textId="77777777" w:rsidR="000223D8" w:rsidRPr="00C43522" w:rsidRDefault="000223D8" w:rsidP="00BE69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FA875B" w14:textId="77777777" w:rsidR="00BE6902" w:rsidRPr="00C43522" w:rsidRDefault="00BE6902" w:rsidP="00BE69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35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Všeobecná časť</w:t>
      </w:r>
    </w:p>
    <w:p w14:paraId="6E279828" w14:textId="77777777" w:rsidR="00BE6902" w:rsidRPr="00C43522" w:rsidRDefault="00BE6902" w:rsidP="00BE6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CF344" w14:textId="260F332E" w:rsidR="00AB1D6E" w:rsidRPr="00B910B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>Návrh zákona</w:t>
      </w:r>
      <w:r w:rsidR="00B91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10BE" w:rsidRPr="00B910BE">
        <w:rPr>
          <w:rFonts w:ascii="Times New Roman" w:hAnsi="Times New Roman" w:cs="Times New Roman"/>
          <w:bCs/>
          <w:sz w:val="24"/>
          <w:szCs w:val="24"/>
        </w:rPr>
        <w:t xml:space="preserve">ktorým sa dopĺňa zákon č. 67/2020 Z. z. o niektorých </w:t>
      </w:r>
      <w:r w:rsidR="00B910BE" w:rsidRPr="00B910BE">
        <w:rPr>
          <w:rFonts w:ascii="Times New Roman" w:hAnsi="Times New Roman" w:cs="Times New Roman"/>
          <w:bCs/>
          <w:color w:val="000000"/>
          <w:sz w:val="24"/>
          <w:szCs w:val="24"/>
        </w:rPr>
        <w:t>mimoriadnych opatreniach vo finančnej oblasti v súvislosti so šírením nebezpečnej nákazlivej ľudskej choroby COVID-19 v znení neskorších predpisov</w:t>
      </w:r>
      <w:r w:rsidRPr="00B91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6CA" w:rsidRPr="007E26CA">
        <w:rPr>
          <w:rFonts w:ascii="Times New Roman" w:hAnsi="Times New Roman" w:cs="Times New Roman"/>
          <w:bCs/>
          <w:sz w:val="24"/>
          <w:szCs w:val="24"/>
        </w:rPr>
        <w:t>a ktorým sa menia a dopĺňajú niektoré zákony</w:t>
      </w:r>
      <w:r w:rsidR="007E2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6CA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B91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predkladá ako iniciatívny materiál.</w:t>
      </w:r>
    </w:p>
    <w:p w14:paraId="71ED6E03" w14:textId="77777777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49CE6" w14:textId="77777777" w:rsidR="000C2072" w:rsidRDefault="000C2072" w:rsidP="000C20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Slovenskej republiky dňom 12. 03. 2020 vyhlásila mimoriadnu situáciu </w:t>
      </w:r>
      <w:r>
        <w:rPr>
          <w:rFonts w:ascii="Times New Roman" w:hAnsi="Times New Roman" w:cs="Times New Roman"/>
          <w:sz w:val="24"/>
          <w:szCs w:val="24"/>
        </w:rPr>
        <w:br/>
        <w:t>podľa § 8 zákona Národnej rady Slovenskej republiky č. 42/1994 Z. z. o civilnej ochrane obyvateľstva v znení neskorších predpisov z dôvodu ochorenia COVID-19 spôsobeným korona vírusom SARS-CoV-2 na území Slovenskej republiky.</w:t>
      </w:r>
    </w:p>
    <w:p w14:paraId="25781A56" w14:textId="3ED678F6" w:rsidR="00D40752" w:rsidRPr="00D40752" w:rsidRDefault="00D40752" w:rsidP="00D407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Šírenie korona vírusu je Svetovou zdravotníckou organizáciou považované za kontrolovateľnú pandémiu, ak štáty prijmú dostatočne razantné a prísne opatrenia s cieľom spomaliť a zvrátiť priebeh šírenia vírusu medzi obyvateľstvom. </w:t>
      </w:r>
      <w:r w:rsidR="00B97757">
        <w:rPr>
          <w:rFonts w:ascii="Times New Roman" w:hAnsi="Times New Roman" w:cs="Times New Roman"/>
          <w:sz w:val="24"/>
          <w:szCs w:val="24"/>
        </w:rPr>
        <w:t xml:space="preserve">Pretože </w:t>
      </w:r>
      <w:r>
        <w:rPr>
          <w:rFonts w:ascii="Times New Roman" w:hAnsi="Times New Roman" w:cs="Times New Roman"/>
          <w:sz w:val="24"/>
          <w:szCs w:val="24"/>
        </w:rPr>
        <w:t xml:space="preserve">šírenie tohto vírusu spôsobuje priame negatívne dopady na európsku aj domácu ekonomiku, bolo nevyhnutné prijať opatrenia na zmiernenie týchto dopadov pre fyzické osoby, podnikateľov i zamestnancov. Cieľom opatrení bolo urýchlene podporiť finančnú kondíciu, likviditu a peňažný tok podnikov a zamestnancov, zabrániť kolapsu podnikateľského prostredia a zachovať strategické a kritické procesy nutné pre zvládnutie šírenia korona vírusu so </w:t>
      </w:r>
      <w:r w:rsidRPr="00D40752">
        <w:rPr>
          <w:rFonts w:ascii="Times New Roman" w:hAnsi="Times New Roman" w:cs="Times New Roman"/>
          <w:sz w:val="24"/>
          <w:szCs w:val="24"/>
        </w:rPr>
        <w:t xml:space="preserve">zachovaním stability a minimalizácie paniky. </w:t>
      </w:r>
    </w:p>
    <w:p w14:paraId="4666372D" w14:textId="5C63B0FB" w:rsidR="00193813" w:rsidRPr="00F36871" w:rsidRDefault="00D40752" w:rsidP="00193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sa vypracováva </w:t>
      </w:r>
      <w:r w:rsidR="00041BFB" w:rsidRPr="00041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formou </w:t>
      </w:r>
      <w:r w:rsidRPr="00041BFB">
        <w:rPr>
          <w:rFonts w:ascii="Times New Roman" w:hAnsi="Times New Roman" w:cs="Times New Roman"/>
          <w:sz w:val="24"/>
          <w:szCs w:val="24"/>
        </w:rPr>
        <w:t>uvoľnen</w:t>
      </w:r>
      <w:r w:rsidR="00041BFB" w:rsidRPr="00041BFB">
        <w:rPr>
          <w:rFonts w:ascii="Times New Roman" w:hAnsi="Times New Roman" w:cs="Times New Roman"/>
          <w:sz w:val="24"/>
          <w:szCs w:val="24"/>
        </w:rPr>
        <w:t>í</w:t>
      </w:r>
      <w:r w:rsidRPr="00041BFB">
        <w:rPr>
          <w:rFonts w:ascii="Times New Roman" w:hAnsi="Times New Roman" w:cs="Times New Roman"/>
          <w:sz w:val="24"/>
          <w:szCs w:val="24"/>
        </w:rPr>
        <w:t xml:space="preserve"> opatrení v</w:t>
      </w:r>
      <w:r w:rsidR="00A062A0">
        <w:rPr>
          <w:rFonts w:ascii="Times New Roman" w:hAnsi="Times New Roman" w:cs="Times New Roman"/>
          <w:sz w:val="24"/>
          <w:szCs w:val="24"/>
        </w:rPr>
        <w:t xml:space="preserve">o finančnej </w:t>
      </w:r>
      <w:r w:rsidRPr="00041BFB">
        <w:rPr>
          <w:rFonts w:ascii="Times New Roman" w:hAnsi="Times New Roman" w:cs="Times New Roman"/>
          <w:sz w:val="24"/>
          <w:szCs w:val="24"/>
        </w:rPr>
        <w:t xml:space="preserve">oblasti </w:t>
      </w:r>
      <w:r w:rsidR="00041BFB" w:rsidRPr="00041BFB">
        <w:rPr>
          <w:rFonts w:ascii="Times New Roman" w:hAnsi="Times New Roman" w:cs="Times New Roman"/>
          <w:sz w:val="24"/>
          <w:szCs w:val="24"/>
        </w:rPr>
        <w:t>v dôsledku čoho j</w:t>
      </w:r>
      <w:r w:rsidRPr="00041BFB">
        <w:rPr>
          <w:rFonts w:ascii="Times New Roman" w:hAnsi="Times New Roman" w:cs="Times New Roman"/>
          <w:sz w:val="24"/>
          <w:szCs w:val="24"/>
        </w:rPr>
        <w:t xml:space="preserve">e </w:t>
      </w:r>
      <w:r w:rsidR="00B97757">
        <w:rPr>
          <w:rFonts w:ascii="Times New Roman" w:hAnsi="Times New Roman" w:cs="Times New Roman"/>
          <w:sz w:val="24"/>
          <w:szCs w:val="24"/>
        </w:rPr>
        <w:t xml:space="preserve">aj za trvania mimoriadnej situácie </w:t>
      </w:r>
      <w:r w:rsidRPr="00041BFB">
        <w:rPr>
          <w:rFonts w:ascii="Times New Roman" w:hAnsi="Times New Roman" w:cs="Times New Roman"/>
          <w:sz w:val="24"/>
          <w:szCs w:val="24"/>
        </w:rPr>
        <w:t>potrebné zakotviť plnenie daňových povinností zo strany daňových subjekt</w:t>
      </w:r>
      <w:r w:rsidR="00041BFB" w:rsidRPr="00041BFB">
        <w:rPr>
          <w:rFonts w:ascii="Times New Roman" w:hAnsi="Times New Roman" w:cs="Times New Roman"/>
          <w:sz w:val="24"/>
          <w:szCs w:val="24"/>
        </w:rPr>
        <w:t>ov</w:t>
      </w:r>
      <w:r w:rsidRPr="00041BFB">
        <w:rPr>
          <w:rFonts w:ascii="Times New Roman" w:hAnsi="Times New Roman" w:cs="Times New Roman"/>
          <w:sz w:val="24"/>
          <w:szCs w:val="24"/>
        </w:rPr>
        <w:t xml:space="preserve"> z dôvodu zamedzenia značným hospodárskym škodám hroziacim štátu a</w:t>
      </w:r>
      <w:r w:rsidR="00BD0319">
        <w:rPr>
          <w:rFonts w:ascii="Times New Roman" w:hAnsi="Times New Roman" w:cs="Times New Roman"/>
          <w:sz w:val="24"/>
          <w:szCs w:val="24"/>
        </w:rPr>
        <w:t> </w:t>
      </w:r>
      <w:r w:rsidRPr="00041BFB">
        <w:rPr>
          <w:rFonts w:ascii="Times New Roman" w:hAnsi="Times New Roman" w:cs="Times New Roman"/>
          <w:sz w:val="24"/>
          <w:szCs w:val="24"/>
        </w:rPr>
        <w:t>ekonomike</w:t>
      </w:r>
      <w:r w:rsidR="00BD0319">
        <w:rPr>
          <w:rFonts w:ascii="Times New Roman" w:hAnsi="Times New Roman" w:cs="Times New Roman"/>
          <w:sz w:val="24"/>
          <w:szCs w:val="24"/>
        </w:rPr>
        <w:t xml:space="preserve"> pri neprimerane dlhom období uplatňovania opatrení</w:t>
      </w:r>
      <w:r w:rsidR="00607C11">
        <w:rPr>
          <w:rFonts w:ascii="Times New Roman" w:hAnsi="Times New Roman" w:cs="Times New Roman"/>
          <w:sz w:val="24"/>
          <w:szCs w:val="24"/>
        </w:rPr>
        <w:t xml:space="preserve"> zavedených zákonom lex korona v</w:t>
      </w:r>
      <w:r w:rsidR="00A062A0">
        <w:rPr>
          <w:rFonts w:ascii="Times New Roman" w:hAnsi="Times New Roman" w:cs="Times New Roman"/>
          <w:sz w:val="24"/>
          <w:szCs w:val="24"/>
        </w:rPr>
        <w:t xml:space="preserve">o finančnej </w:t>
      </w:r>
      <w:r w:rsidR="00607C11">
        <w:rPr>
          <w:rFonts w:ascii="Times New Roman" w:hAnsi="Times New Roman" w:cs="Times New Roman"/>
          <w:sz w:val="24"/>
          <w:szCs w:val="24"/>
        </w:rPr>
        <w:t>oblasti</w:t>
      </w:r>
      <w:r w:rsidRPr="00041BFB">
        <w:rPr>
          <w:rFonts w:ascii="Times New Roman" w:hAnsi="Times New Roman" w:cs="Times New Roman"/>
          <w:sz w:val="24"/>
          <w:szCs w:val="24"/>
        </w:rPr>
        <w:t>.</w:t>
      </w:r>
      <w:r w:rsidR="006432B5">
        <w:rPr>
          <w:rFonts w:ascii="Times New Roman" w:hAnsi="Times New Roman" w:cs="Times New Roman"/>
          <w:sz w:val="24"/>
          <w:szCs w:val="24"/>
        </w:rPr>
        <w:t xml:space="preserve"> </w:t>
      </w:r>
      <w:r w:rsidR="00193813" w:rsidRPr="00F36871">
        <w:rPr>
          <w:rFonts w:ascii="Times New Roman" w:hAnsi="Times New Roman" w:cs="Times New Roman"/>
          <w:sz w:val="24"/>
          <w:szCs w:val="24"/>
          <w:lang w:eastAsia="sk-SK"/>
        </w:rPr>
        <w:t xml:space="preserve">V čl. II návrhu v rámci novely zákona </w:t>
      </w:r>
      <w:r w:rsidR="00193813" w:rsidRPr="00F36871">
        <w:rPr>
          <w:rFonts w:ascii="Times New Roman" w:hAnsi="Times New Roman" w:cs="Times New Roman"/>
          <w:sz w:val="24"/>
          <w:szCs w:val="24"/>
        </w:rPr>
        <w:t xml:space="preserve">č. 580/2004 Z. z. o zdravotnom poistení a o zmene a doplnení zákona č. 95/2002 Z. z. o poisťovníctve a o zmene a doplnení niektorých zákonov v znení neskorších predpisov sa v nadväznosti na posun termínu na podanie daňového priznania </w:t>
      </w:r>
      <w:r w:rsidR="00193813" w:rsidRPr="00F36871">
        <w:rPr>
          <w:rFonts w:ascii="Times New Roman" w:hAnsi="Times New Roman"/>
          <w:sz w:val="24"/>
          <w:szCs w:val="24"/>
        </w:rPr>
        <w:t xml:space="preserve"> </w:t>
      </w:r>
      <w:r w:rsidR="00193813" w:rsidRPr="00F36871">
        <w:rPr>
          <w:rFonts w:ascii="Times New Roman" w:hAnsi="Times New Roman" w:cs="Times New Roman"/>
          <w:sz w:val="24"/>
          <w:szCs w:val="24"/>
        </w:rPr>
        <w:t>menia aj termíny na vykonanie ročného zúčtovania poistného a ročného prerozdeľovania za rok 2019, nakoľko na vykonanie týchto procesov je nevyhnutné, aby zdravotná poisťovňa mala k dispozícii údaje z daňových priznaní jej poistencov. Zároveň sa zavádza mimoriadny inštitút preddavku na výsledok ročného zúčtovania poistného plateného štátom za rok 2019, ktorý bude štátom vyplatený v pôvodnom termíne úhrady týchto pohľadávok (do 31. decembra 2020) a zúčtovaný v novom termíne úhrady týchto pohľadávok (do 15. februára 2021) tak, aby nedošlo k oneskoreniu finančných tokov a z toho vyplývajúceho oneskorenia realizácie úhrad za zdravotnú starostlivosť.</w:t>
      </w:r>
      <w:r w:rsidR="00193813" w:rsidRPr="00F36871">
        <w:rPr>
          <w:rFonts w:ascii="Times New Roman" w:hAnsi="Times New Roman"/>
          <w:sz w:val="24"/>
          <w:szCs w:val="24"/>
        </w:rPr>
        <w:t xml:space="preserve"> </w:t>
      </w:r>
      <w:r w:rsidR="00193813" w:rsidRPr="00F36871">
        <w:rPr>
          <w:rFonts w:ascii="Times New Roman" w:hAnsi="Times New Roman" w:cs="Times New Roman"/>
          <w:sz w:val="24"/>
          <w:szCs w:val="24"/>
        </w:rPr>
        <w:t xml:space="preserve">V čl. </w:t>
      </w:r>
      <w:r w:rsidR="00193813" w:rsidRPr="00F36871">
        <w:rPr>
          <w:rFonts w:ascii="Times New Roman" w:hAnsi="Times New Roman"/>
          <w:sz w:val="24"/>
          <w:szCs w:val="24"/>
        </w:rPr>
        <w:t>III</w:t>
      </w:r>
      <w:r w:rsidR="00193813" w:rsidRPr="00F36871">
        <w:rPr>
          <w:rFonts w:ascii="Times New Roman" w:hAnsi="Times New Roman" w:cs="Times New Roman"/>
          <w:sz w:val="24"/>
          <w:szCs w:val="24"/>
        </w:rPr>
        <w:t xml:space="preserve"> návrhu v rámci novely zákona č. 581/2004 Z. z. o zdravotných poisťovniach, dohľade nad zdravotnou starostlivosťou a o zmene a doplnení niektorých zákonov v znení neskorších predpisov vzhľadom na posun termínu na vykonanie ročného zúčtovania poistného na verejné zdravotné poistenie a ročného prerozdeľovania za rok 2019 nastala situácia, kedy v čase platenia príspevkov zdravotnými poisťovňami (do 20. decembra 2020) nebude známa základňa pre ich určenie (ročné prerozdelenie poistného má byť vykonané až do 28. februára 2021).</w:t>
      </w:r>
      <w:r w:rsidR="00193813" w:rsidRPr="00F36871">
        <w:rPr>
          <w:rFonts w:ascii="Times New Roman" w:hAnsi="Times New Roman"/>
          <w:sz w:val="24"/>
          <w:szCs w:val="24"/>
        </w:rPr>
        <w:t xml:space="preserve"> </w:t>
      </w:r>
      <w:r w:rsidR="00193813" w:rsidRPr="00F36871">
        <w:rPr>
          <w:rFonts w:ascii="Times New Roman" w:hAnsi="Times New Roman" w:cs="Times New Roman"/>
          <w:sz w:val="24"/>
          <w:szCs w:val="24"/>
        </w:rPr>
        <w:t>Na základe tejto skutočnosti a s cieľom zabezpečiť financovanie prijímateľov príspevkov v tomto medziobdobí sa zavádza povinnosť existujúcich zdravotných poisťovní uhradiť do 20. decembra 2020 tieto príspevky vo výške ich kvalifikovaného odhadu, uvedeného v prílohe č. 3 k zákonu; tieto sum</w:t>
      </w:r>
      <w:r w:rsidR="003336DF">
        <w:rPr>
          <w:rFonts w:ascii="Times New Roman" w:hAnsi="Times New Roman" w:cs="Times New Roman"/>
          <w:sz w:val="24"/>
          <w:szCs w:val="24"/>
        </w:rPr>
        <w:t>y</w:t>
      </w:r>
      <w:r w:rsidR="00193813" w:rsidRPr="00F36871">
        <w:rPr>
          <w:rFonts w:ascii="Times New Roman" w:hAnsi="Times New Roman" w:cs="Times New Roman"/>
          <w:sz w:val="24"/>
          <w:szCs w:val="24"/>
        </w:rPr>
        <w:t xml:space="preserve"> boli aj rozpočtované v štátnom rozpočte na rok 2020. Zároveň sa zavádza povinnosť zúčtovania </w:t>
      </w:r>
      <w:r w:rsidR="00193813" w:rsidRPr="00F36871">
        <w:rPr>
          <w:rFonts w:ascii="Times New Roman" w:hAnsi="Times New Roman" w:cs="Times New Roman"/>
          <w:sz w:val="24"/>
          <w:szCs w:val="24"/>
        </w:rPr>
        <w:lastRenderedPageBreak/>
        <w:t>takto odhadnutých platieb voči skutočnej výške príspevkov do 20. marca 2021 (teda už v čase, kedy bude známa základňa pre výpočet a skutočná výška týchto príspevkov).</w:t>
      </w:r>
    </w:p>
    <w:p w14:paraId="3F55B68D" w14:textId="71A3EF6D" w:rsidR="00D40752" w:rsidRPr="00AB1D6E" w:rsidRDefault="00D40752" w:rsidP="00D407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90D12" w14:textId="77777777" w:rsidR="00D40752" w:rsidRPr="00AB1D6E" w:rsidRDefault="00D40752" w:rsidP="00D407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415DB17" w14:textId="11421E5D" w:rsidR="00BD0319" w:rsidRPr="00BD0319" w:rsidRDefault="00D40752" w:rsidP="00BD0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D0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Cieľom návrhu zákona je </w:t>
      </w:r>
      <w:r w:rsidR="00B9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skončenie </w:t>
      </w:r>
      <w:r w:rsidR="00020768" w:rsidRPr="00BD03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obdobia pandémie pre </w:t>
      </w:r>
      <w:r w:rsidR="00B977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účely </w:t>
      </w:r>
      <w:r w:rsidR="00020768" w:rsidRPr="00BD03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aplikáci</w:t>
      </w:r>
      <w:r w:rsidR="00B977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020768" w:rsidRPr="00BD03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konkrétnych </w:t>
      </w:r>
      <w:r w:rsidR="00B977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fianančných </w:t>
      </w:r>
      <w:r w:rsidR="00020768" w:rsidRPr="00BD03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opatrení</w:t>
      </w:r>
      <w:r w:rsidR="00B977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</w:t>
      </w:r>
      <w:r w:rsidR="00BD03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ovelou zákona sa reaguje </w:t>
      </w:r>
      <w:r w:rsidR="00BD0319" w:rsidRPr="00041BFB">
        <w:rPr>
          <w:rStyle w:val="awspan1"/>
          <w:rFonts w:ascii="Times New Roman" w:hAnsi="Times New Roman" w:cs="Times New Roman"/>
        </w:rPr>
        <w:t>na</w:t>
      </w:r>
      <w:r w:rsidR="00B97757">
        <w:rPr>
          <w:rStyle w:val="awspan1"/>
          <w:rFonts w:ascii="Times New Roman" w:hAnsi="Times New Roman" w:cs="Times New Roman"/>
        </w:rPr>
        <w:t xml:space="preserve"> také nastavenie </w:t>
      </w:r>
      <w:r w:rsidR="00BD0319" w:rsidRPr="00041BFB">
        <w:rPr>
          <w:rStyle w:val="awspan1"/>
          <w:rFonts w:ascii="Times New Roman" w:hAnsi="Times New Roman" w:cs="Times New Roman"/>
        </w:rPr>
        <w:t>opatrení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na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zamedzenie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šírenia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pandémie,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ktoré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umožňujú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správnym</w:t>
      </w:r>
      <w:r w:rsidR="00BD0319" w:rsidRPr="00041BFB">
        <w:rPr>
          <w:rStyle w:val="awspan1"/>
          <w:rFonts w:ascii="Times New Roman" w:hAnsi="Times New Roman" w:cs="Times New Roman"/>
          <w:spacing w:val="23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>orgánom pokračovať</w:t>
      </w:r>
      <w:r w:rsidR="00BD0319" w:rsidRPr="00041BFB">
        <w:rPr>
          <w:rStyle w:val="awspan1"/>
          <w:rFonts w:ascii="Times New Roman" w:hAnsi="Times New Roman" w:cs="Times New Roman"/>
          <w:spacing w:val="10"/>
        </w:rPr>
        <w:t xml:space="preserve"> </w:t>
      </w:r>
      <w:r w:rsidR="00BD0319" w:rsidRPr="00041BFB">
        <w:rPr>
          <w:rStyle w:val="awspan1"/>
          <w:rFonts w:ascii="Times New Roman" w:hAnsi="Times New Roman" w:cs="Times New Roman"/>
        </w:rPr>
        <w:t xml:space="preserve">v konaniach, ktoré boli prerušené z dôvodu zabránenia šíreniu </w:t>
      </w:r>
      <w:r w:rsidR="00EE3F7E">
        <w:rPr>
          <w:rStyle w:val="awspan1"/>
          <w:rFonts w:ascii="Times New Roman" w:hAnsi="Times New Roman" w:cs="Times New Roman"/>
        </w:rPr>
        <w:t xml:space="preserve">pandémie </w:t>
      </w:r>
      <w:r w:rsidR="00BD0319">
        <w:rPr>
          <w:rStyle w:val="awspan1"/>
          <w:rFonts w:ascii="Times New Roman" w:hAnsi="Times New Roman" w:cs="Times New Roman"/>
        </w:rPr>
        <w:t>a v tejto súvislosti je zároveň</w:t>
      </w:r>
      <w:r w:rsidR="00BD0319" w:rsidRPr="00BD03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dôvodné od daňových subjektov vyžadovať aj riadne plnenie ich daňových povinností. </w:t>
      </w:r>
    </w:p>
    <w:p w14:paraId="589FDC79" w14:textId="77777777" w:rsidR="00BD0319" w:rsidRDefault="00BD0319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4FEB5" w14:textId="77777777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nebol predmetom vnútrokomunitárneho pripomienkového konania. </w:t>
      </w:r>
    </w:p>
    <w:p w14:paraId="22D7B4FE" w14:textId="77777777" w:rsid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0F87D" w14:textId="4A39B4BE" w:rsid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43F">
        <w:rPr>
          <w:rFonts w:ascii="Times New Roman" w:hAnsi="Times New Roman" w:cs="Times New Roman"/>
          <w:color w:val="000000" w:themeColor="text1"/>
          <w:sz w:val="24"/>
          <w:szCs w:val="24"/>
        </w:rPr>
        <w:t>Návrh zákona nebol predmetom medzirezortného pripomienkového konania.</w:t>
      </w:r>
    </w:p>
    <w:p w14:paraId="414C43CA" w14:textId="77777777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174A6" w14:textId="2682F61D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je v súlade s Ústavou Slovenskej republiky, ústavnými zákonmi, </w:t>
      </w:r>
      <w:r w:rsidR="007B36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nálezmi Ústavného súdu Slovenskej republiky, inými právnymi predpismi Slovenskej republiky, medzinárodnými zmluvami a inými medzinárodnými dokumentmi, ktorými je Slovenská republika viazaná a s právom Európskej únie. </w:t>
      </w:r>
    </w:p>
    <w:p w14:paraId="6F74DD18" w14:textId="77777777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2C4EC" w14:textId="4E0D1549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</w:t>
      </w:r>
      <w:r w:rsidR="001F7971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 vplyv na rozpočet verejnej správy, </w:t>
      </w:r>
      <w:r w:rsidRPr="007F1366">
        <w:rPr>
          <w:rFonts w:ascii="Times New Roman" w:hAnsi="Times New Roman" w:cs="Times New Roman"/>
          <w:color w:val="000000" w:themeColor="text1"/>
          <w:sz w:val="24"/>
          <w:szCs w:val="24"/>
        </w:rPr>
        <w:t>nemá sociálne</w:t>
      </w: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vplyvy, vplyvy na životné prostredie, vplyvy na manželstvo, rodičovstvo a rodinu a na informatizáciu spoločnosti, ani na služby verejnej správy pre občana, </w:t>
      </w:r>
      <w:r w:rsidR="001F7971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 </w:t>
      </w:r>
      <w:r w:rsidR="00B9775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plyv na podnikateľské prostredie. </w:t>
      </w:r>
    </w:p>
    <w:p w14:paraId="0F597E75" w14:textId="77777777" w:rsidR="00AB1D6E" w:rsidRPr="00AB1D6E" w:rsidRDefault="00AB1D6E" w:rsidP="00AB1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13B07" w14:textId="6BDC690A" w:rsidR="00F27D6A" w:rsidRDefault="00AB1D6E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Účinnosť návrhu zákona sa navrhuje </w:t>
      </w:r>
      <w:r w:rsidR="00B910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62A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910BE">
        <w:rPr>
          <w:rFonts w:ascii="Times New Roman" w:hAnsi="Times New Roman" w:cs="Times New Roman"/>
          <w:color w:val="000000" w:themeColor="text1"/>
          <w:sz w:val="24"/>
          <w:szCs w:val="24"/>
        </w:rPr>
        <w:t>. septembra 2020.</w:t>
      </w:r>
    </w:p>
    <w:p w14:paraId="2ACD8C2D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E84B1" w14:textId="77777777" w:rsidR="008F6016" w:rsidRDefault="008F6016" w:rsidP="008F6016">
      <w:pPr>
        <w:jc w:val="center"/>
        <w:rPr>
          <w:b/>
          <w:bCs/>
        </w:rPr>
      </w:pPr>
    </w:p>
    <w:p w14:paraId="2A553918" w14:textId="77777777" w:rsidR="008F6016" w:rsidRDefault="008F6016" w:rsidP="008F6016">
      <w:pPr>
        <w:jc w:val="center"/>
        <w:rPr>
          <w:b/>
          <w:bCs/>
        </w:rPr>
      </w:pPr>
    </w:p>
    <w:p w14:paraId="227C0970" w14:textId="77777777" w:rsidR="008F6016" w:rsidRDefault="008F6016" w:rsidP="008F6016">
      <w:pPr>
        <w:jc w:val="center"/>
        <w:rPr>
          <w:b/>
          <w:bCs/>
        </w:rPr>
      </w:pPr>
    </w:p>
    <w:p w14:paraId="0B82DE9D" w14:textId="77777777" w:rsidR="008F6016" w:rsidRDefault="008F6016" w:rsidP="008F6016">
      <w:pPr>
        <w:jc w:val="center"/>
        <w:rPr>
          <w:b/>
          <w:bCs/>
        </w:rPr>
      </w:pPr>
    </w:p>
    <w:p w14:paraId="36A2E71B" w14:textId="77777777" w:rsidR="008F6016" w:rsidRDefault="008F6016" w:rsidP="008F6016">
      <w:pPr>
        <w:jc w:val="center"/>
        <w:rPr>
          <w:b/>
          <w:bCs/>
        </w:rPr>
      </w:pPr>
    </w:p>
    <w:p w14:paraId="2288C7E2" w14:textId="77777777" w:rsidR="008F6016" w:rsidRDefault="008F6016" w:rsidP="008F6016">
      <w:pPr>
        <w:jc w:val="center"/>
        <w:rPr>
          <w:b/>
          <w:bCs/>
        </w:rPr>
      </w:pPr>
    </w:p>
    <w:p w14:paraId="7468F11B" w14:textId="77777777" w:rsidR="008F6016" w:rsidRDefault="008F6016" w:rsidP="008F6016">
      <w:pPr>
        <w:jc w:val="center"/>
        <w:rPr>
          <w:b/>
          <w:bCs/>
        </w:rPr>
      </w:pPr>
    </w:p>
    <w:p w14:paraId="78F68800" w14:textId="77777777" w:rsidR="008F6016" w:rsidRDefault="008F6016" w:rsidP="008F6016">
      <w:pPr>
        <w:jc w:val="center"/>
        <w:rPr>
          <w:b/>
          <w:bCs/>
        </w:rPr>
      </w:pPr>
    </w:p>
    <w:p w14:paraId="24CC571F" w14:textId="77777777" w:rsidR="008F6016" w:rsidRDefault="008F6016" w:rsidP="008F6016">
      <w:pPr>
        <w:jc w:val="center"/>
        <w:rPr>
          <w:b/>
          <w:bCs/>
        </w:rPr>
      </w:pPr>
    </w:p>
    <w:p w14:paraId="4E370220" w14:textId="77777777" w:rsidR="008F6016" w:rsidRDefault="008F6016" w:rsidP="008F6016">
      <w:pPr>
        <w:jc w:val="center"/>
        <w:rPr>
          <w:b/>
          <w:bCs/>
        </w:rPr>
      </w:pPr>
    </w:p>
    <w:p w14:paraId="2F595281" w14:textId="77777777" w:rsidR="008F6016" w:rsidRDefault="008F6016" w:rsidP="008F6016">
      <w:pPr>
        <w:jc w:val="center"/>
        <w:rPr>
          <w:b/>
          <w:bCs/>
        </w:rPr>
      </w:pPr>
    </w:p>
    <w:p w14:paraId="10BEE047" w14:textId="77777777" w:rsidR="008F6016" w:rsidRDefault="008F6016" w:rsidP="008F6016">
      <w:pPr>
        <w:jc w:val="center"/>
        <w:rPr>
          <w:b/>
          <w:bCs/>
        </w:rPr>
      </w:pPr>
    </w:p>
    <w:p w14:paraId="05AECD3A" w14:textId="77777777" w:rsidR="008F6016" w:rsidRDefault="008F6016" w:rsidP="008F6016">
      <w:pPr>
        <w:jc w:val="center"/>
        <w:rPr>
          <w:b/>
          <w:bCs/>
        </w:rPr>
      </w:pPr>
    </w:p>
    <w:p w14:paraId="1E03DDD9" w14:textId="77777777" w:rsidR="008F6016" w:rsidRDefault="008F6016" w:rsidP="008F6016">
      <w:pPr>
        <w:jc w:val="center"/>
        <w:rPr>
          <w:b/>
          <w:bCs/>
        </w:rPr>
      </w:pPr>
    </w:p>
    <w:p w14:paraId="4085D1F5" w14:textId="77777777" w:rsidR="008F6016" w:rsidRDefault="008F6016" w:rsidP="008F6016">
      <w:pPr>
        <w:jc w:val="center"/>
        <w:rPr>
          <w:rFonts w:ascii="Times New Roman" w:hAnsi="Times New Roman"/>
          <w:b/>
          <w:bCs/>
          <w:szCs w:val="24"/>
        </w:rPr>
      </w:pPr>
      <w:r>
        <w:rPr>
          <w:b/>
          <w:bCs/>
        </w:rPr>
        <w:lastRenderedPageBreak/>
        <w:t>Doložka vybraných vplyvov</w:t>
      </w:r>
    </w:p>
    <w:p w14:paraId="68D48A81" w14:textId="77777777" w:rsidR="008F6016" w:rsidRDefault="008F6016" w:rsidP="008F6016">
      <w:pPr>
        <w:pStyle w:val="Odsekzoznamu"/>
        <w:keepNext/>
        <w:keepLines/>
        <w:spacing w:before="60" w:after="60" w:line="240" w:lineRule="auto"/>
        <w:ind w:left="426" w:firstLine="709"/>
        <w:jc w:val="both"/>
        <w:rPr>
          <w:rFonts w:ascii="Times New Roman" w:eastAsia="ヒラギノ角ゴ Pro W3" w:hAnsi="Times New Roman"/>
          <w:b/>
          <w:color w:val="000000"/>
          <w:sz w:val="24"/>
          <w:szCs w:val="24"/>
          <w:lang w:eastAsia="sk-SK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8F6016" w14:paraId="6E37BAFD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3CD26349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</w:tr>
      <w:tr w:rsidR="008F6016" w14:paraId="7B9F2179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B0D6316" w14:textId="77777777" w:rsidR="008F6016" w:rsidRDefault="008F6016">
            <w:pPr>
              <w:pStyle w:val="Odsekzoznamu"/>
              <w:keepNext/>
              <w:keepLines/>
              <w:spacing w:before="60" w:after="60" w:line="240" w:lineRule="auto"/>
              <w:ind w:left="0"/>
              <w:jc w:val="both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Názov materiálu</w:t>
            </w:r>
          </w:p>
        </w:tc>
      </w:tr>
      <w:tr w:rsidR="008F6016" w14:paraId="3F06F647" w14:textId="77777777" w:rsidTr="008F6016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211C" w14:textId="77777777" w:rsidR="008F6016" w:rsidRPr="00403318" w:rsidRDefault="008F6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sz w:val="24"/>
                <w:szCs w:val="24"/>
              </w:rPr>
              <w:t xml:space="preserve">Návrh zákona, </w:t>
            </w:r>
            <w:r w:rsidRPr="00403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ktorým sa dopĺňa zákon č. 67/2020 Z. z. o niektorých </w:t>
            </w:r>
            <w:r w:rsidRPr="004033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mimoriadnych opatreniach vo finančnej oblasti v súvislosti so šírením nebezpečnej nákazlivej ľudskej choroby COVID-19 v znení neskorších predpisov </w:t>
            </w:r>
            <w:r w:rsidRPr="00403318">
              <w:rPr>
                <w:rFonts w:ascii="Times New Roman" w:hAnsi="Times New Roman" w:cs="Times New Roman"/>
                <w:bCs/>
                <w:sz w:val="24"/>
                <w:szCs w:val="24"/>
              </w:rPr>
              <w:t>a ktorým sa menia a dopĺňajú niektoré zákony</w:t>
            </w:r>
            <w:r w:rsidRPr="004033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6016" w14:paraId="1B7B6E91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922EA19" w14:textId="77777777" w:rsidR="008F6016" w:rsidRDefault="008F6016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>
              <w:rPr>
                <w:rFonts w:eastAsia="ヒラギノ角ゴ Pro W3"/>
                <w:b/>
                <w:color w:val="000000"/>
              </w:rPr>
              <w:t>Predkladateľ (a spolupredkladateľ)</w:t>
            </w:r>
          </w:p>
        </w:tc>
      </w:tr>
      <w:tr w:rsidR="008F6016" w14:paraId="5A808CE6" w14:textId="77777777" w:rsidTr="008F6016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D6DF7" w14:textId="77777777" w:rsidR="008F6016" w:rsidRDefault="008F6016">
            <w:pPr>
              <w:pStyle w:val="Normlny1"/>
              <w:keepNext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0" w:line="276" w:lineRule="auto"/>
              <w:ind w:left="720" w:hanging="720"/>
              <w:rPr>
                <w:lang w:val="sk-SK" w:eastAsia="en-US"/>
              </w:rPr>
            </w:pPr>
            <w:r>
              <w:rPr>
                <w:lang w:val="sk-SK" w:eastAsia="en-US"/>
              </w:rPr>
              <w:t>Ministerstvo financií Slovenskej republiky</w:t>
            </w:r>
          </w:p>
        </w:tc>
      </w:tr>
      <w:tr w:rsidR="008F6016" w14:paraId="35648E01" w14:textId="77777777" w:rsidTr="008F601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0AA2A2D" w14:textId="77777777" w:rsidR="008F6016" w:rsidRDefault="008F6016">
            <w:pPr>
              <w:pStyle w:val="Odsekzoznamu"/>
              <w:keepNext/>
              <w:keepLines/>
              <w:spacing w:before="60" w:after="60" w:line="240" w:lineRule="auto"/>
              <w:ind w:left="142"/>
              <w:jc w:val="both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20B2EC" w14:textId="77777777" w:rsidR="008F6016" w:rsidRDefault="008F60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CF8E0" w14:textId="77777777" w:rsidR="008F6016" w:rsidRDefault="008F6016">
            <w:r>
              <w:t>Materiál nelegislatívnej povahy</w:t>
            </w:r>
          </w:p>
        </w:tc>
      </w:tr>
      <w:tr w:rsidR="008F6016" w14:paraId="0D0A94AF" w14:textId="77777777" w:rsidTr="008F6016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9407" w14:textId="77777777" w:rsidR="008F6016" w:rsidRDefault="008F6016">
            <w:pPr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43BE4F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8E0F2" w14:textId="77777777" w:rsidR="008F6016" w:rsidRDefault="008F6016">
            <w:pPr>
              <w:ind w:left="175" w:hanging="175"/>
            </w:pPr>
            <w:r>
              <w:t>Materiál legislatívnej povahy</w:t>
            </w:r>
          </w:p>
        </w:tc>
      </w:tr>
      <w:tr w:rsidR="008F6016" w14:paraId="1EAB5F62" w14:textId="77777777" w:rsidTr="008F6016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BF49" w14:textId="77777777" w:rsidR="008F6016" w:rsidRDefault="008F6016">
            <w:pPr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1538D3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1C04E" w14:textId="77777777" w:rsidR="008F6016" w:rsidRDefault="008F6016">
            <w:r>
              <w:t>Transpozícia práva EÚ</w:t>
            </w:r>
          </w:p>
        </w:tc>
      </w:tr>
      <w:tr w:rsidR="008F6016" w14:paraId="25EC7FDD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2F76ED6C" w14:textId="77777777" w:rsidR="008F6016" w:rsidRDefault="008F6016">
            <w:pPr>
              <w:rPr>
                <w:i/>
              </w:rPr>
            </w:pPr>
            <w:r>
              <w:rPr>
                <w:i/>
              </w:rPr>
              <w:t>V prípade transpozície uveďte zoznam transponovaných predpisov:</w:t>
            </w:r>
          </w:p>
          <w:p w14:paraId="007F1245" w14:textId="77777777" w:rsidR="008F6016" w:rsidRDefault="008F6016"/>
        </w:tc>
      </w:tr>
      <w:tr w:rsidR="008F6016" w14:paraId="4DDC7E9D" w14:textId="77777777" w:rsidTr="008F6016"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CF20DDC" w14:textId="77777777" w:rsidR="008F6016" w:rsidRDefault="008F6016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>
              <w:rPr>
                <w:rFonts w:eastAsia="ヒラギノ角ゴ Pro W3"/>
                <w:b/>
                <w:color w:val="000000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EB0" w14:textId="77777777" w:rsidR="008F6016" w:rsidRDefault="008F6016">
            <w:pPr>
              <w:rPr>
                <w:rFonts w:eastAsia="Times New Roman"/>
                <w:i/>
              </w:rPr>
            </w:pPr>
          </w:p>
        </w:tc>
      </w:tr>
      <w:tr w:rsidR="008F6016" w14:paraId="03205488" w14:textId="77777777" w:rsidTr="008F6016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EF21D70" w14:textId="77777777" w:rsidR="008F6016" w:rsidRDefault="008F6016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>
              <w:rPr>
                <w:rFonts w:eastAsia="ヒラギノ角ゴ Pro W3"/>
                <w:b/>
                <w:color w:val="000000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157" w14:textId="77777777" w:rsidR="008F6016" w:rsidRDefault="008F6016">
            <w:pPr>
              <w:rPr>
                <w:rFonts w:eastAsia="Times New Roman"/>
                <w:i/>
              </w:rPr>
            </w:pPr>
          </w:p>
        </w:tc>
      </w:tr>
      <w:tr w:rsidR="008F6016" w14:paraId="02019B2A" w14:textId="77777777" w:rsidTr="008F6016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A57846E" w14:textId="77777777" w:rsidR="008F6016" w:rsidRDefault="008F6016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>
              <w:rPr>
                <w:rFonts w:eastAsia="ヒラギノ角ゴ Pro W3"/>
                <w:b/>
                <w:color w:val="000000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2B15" w14:textId="77777777" w:rsidR="008F6016" w:rsidRPr="00403318" w:rsidRDefault="008F6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sz w:val="24"/>
                <w:szCs w:val="24"/>
              </w:rPr>
              <w:t>september 2020</w:t>
            </w:r>
          </w:p>
        </w:tc>
      </w:tr>
      <w:tr w:rsidR="008F6016" w14:paraId="2CBC7CB8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AA5CF2" w14:textId="77777777" w:rsidR="008F6016" w:rsidRDefault="008F6016"/>
        </w:tc>
      </w:tr>
      <w:tr w:rsidR="008F6016" w14:paraId="4325B1BB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609704A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Definícia problému</w:t>
            </w:r>
          </w:p>
        </w:tc>
      </w:tr>
      <w:tr w:rsidR="008F6016" w14:paraId="1CA0053E" w14:textId="77777777" w:rsidTr="008F6016">
        <w:trPr>
          <w:trHeight w:val="841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02D86" w14:textId="77777777" w:rsidR="008F6016" w:rsidRPr="00403318" w:rsidRDefault="008F601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sz w:val="24"/>
                <w:szCs w:val="24"/>
              </w:rPr>
              <w:t>Naliehavosť prijatia návrhu zákona vyplýva z dôvodu zamedzenia značným hospodárskym škodám hroziacim štátu a ekonomike pri neprimerane dlhom období uplatňovania opatrení zavedených zákonom lex korona. Návrh sa vypracováva formou uvoľnení niektorých opatrení vo finančnej oblasti, v dôsledku čoho je potrebné aktivovať a z</w:t>
            </w:r>
            <w:r w:rsidRPr="00403318">
              <w:rPr>
                <w:rStyle w:val="awspan1"/>
                <w:rFonts w:ascii="Times New Roman" w:hAnsi="Times New Roman" w:cs="Times New Roman"/>
              </w:rPr>
              <w:t>ároveň</w:t>
            </w:r>
            <w:r w:rsidRPr="004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dôvodné vyžadovať od daňových subjektov riadne plnenie niektorých ich povinností.</w:t>
            </w:r>
          </w:p>
          <w:p w14:paraId="257F384F" w14:textId="77777777" w:rsidR="008F6016" w:rsidRDefault="008F6016">
            <w:pPr>
              <w:jc w:val="both"/>
            </w:pPr>
          </w:p>
        </w:tc>
      </w:tr>
      <w:tr w:rsidR="008F6016" w14:paraId="12A4F00A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1F5ED7F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Ciele a výsledný stav</w:t>
            </w:r>
          </w:p>
        </w:tc>
      </w:tr>
      <w:tr w:rsidR="008F6016" w14:paraId="3E84F6ED" w14:textId="77777777" w:rsidTr="008F6016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E431" w14:textId="77777777" w:rsidR="00403318" w:rsidRDefault="008F6016" w:rsidP="004033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i/>
                <w:sz w:val="24"/>
                <w:szCs w:val="24"/>
              </w:rPr>
              <w:t>Uveďte hlavné ciele navrhovaného predpisu (aký výsledný stav chcete reguláciou dosiahnuť).</w:t>
            </w:r>
          </w:p>
          <w:p w14:paraId="0505C921" w14:textId="4D862748" w:rsidR="008F6016" w:rsidRPr="00403318" w:rsidRDefault="008F6016" w:rsidP="004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Cieľom návrhu zákona je aj počas trvania mimoriadnej situácie vytvoriť fikciu o jej ukončení a umožniť daňovým a iným orgánom pokračovať v konaniach prerušených počas obdobia pandémie. Fikcia skončenia obdobia pandémie pre konkrétne opatrenia podľa zákona lex korona je 30. september 2020 preto, že opatrenia sú nastavené v zákone tak, aby </w:t>
            </w:r>
            <w:r w:rsidRPr="004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plnenia z nich vyplývajúce boli ukončené a realizované najneskôr tri mesiace po skončení obdobia pandémie, teda najneskôr do 31. decembra 2020.   </w:t>
            </w:r>
          </w:p>
          <w:p w14:paraId="4A01B4E1" w14:textId="77777777" w:rsidR="008F6016" w:rsidRDefault="008F6016">
            <w:pPr>
              <w:autoSpaceDN w:val="0"/>
              <w:spacing w:after="160" w:line="252" w:lineRule="auto"/>
              <w:jc w:val="both"/>
              <w:textAlignment w:val="baseline"/>
            </w:pPr>
          </w:p>
        </w:tc>
      </w:tr>
      <w:tr w:rsidR="008F6016" w14:paraId="73E7141B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E01BE1D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Dotknuté subjekty</w:t>
            </w:r>
          </w:p>
        </w:tc>
      </w:tr>
      <w:tr w:rsidR="008F6016" w14:paraId="789A7314" w14:textId="77777777" w:rsidTr="008F6016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B4B25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Uveďte subjekty, ktorých sa zmeny návrhu dotknú priamo aj nepriamo:</w:t>
            </w:r>
          </w:p>
          <w:p w14:paraId="7D7E7D50" w14:textId="77777777" w:rsidR="008F6016" w:rsidRPr="00403318" w:rsidRDefault="008F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sz w:val="24"/>
                <w:szCs w:val="24"/>
              </w:rPr>
              <w:t>Finančná správa, daňové subjekty.</w:t>
            </w:r>
          </w:p>
        </w:tc>
      </w:tr>
      <w:tr w:rsidR="008F6016" w14:paraId="51C91FCF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583DB156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Alternatívne riešenia</w:t>
            </w:r>
          </w:p>
        </w:tc>
      </w:tr>
      <w:tr w:rsidR="008F6016" w14:paraId="0FD7F5DB" w14:textId="77777777" w:rsidTr="008F6016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633CC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Aké alternatívne riešenia boli posudzované? Uveďte, aké alternatívne spôsoby na odstránenie definovaného problému boli identifikované a posudzované. </w:t>
            </w:r>
          </w:p>
          <w:p w14:paraId="538DECA7" w14:textId="77777777" w:rsidR="008F6016" w:rsidRPr="00403318" w:rsidRDefault="008F6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318">
              <w:rPr>
                <w:rFonts w:ascii="Times New Roman" w:hAnsi="Times New Roman" w:cs="Times New Roman"/>
                <w:sz w:val="24"/>
                <w:szCs w:val="24"/>
              </w:rPr>
              <w:t>Pri vypracovaní návrhu zákona neboli zvažované žiadne alternatívne riešenia.</w:t>
            </w:r>
          </w:p>
          <w:p w14:paraId="06BCB0D1" w14:textId="77777777" w:rsidR="008F6016" w:rsidRDefault="008F6016">
            <w:pPr>
              <w:rPr>
                <w:i/>
              </w:rPr>
            </w:pPr>
          </w:p>
        </w:tc>
      </w:tr>
      <w:tr w:rsidR="008F6016" w14:paraId="6710C116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AFF8150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Vykonávacie predpisy</w:t>
            </w:r>
          </w:p>
        </w:tc>
      </w:tr>
      <w:tr w:rsidR="008F6016" w14:paraId="2799806F" w14:textId="77777777" w:rsidTr="008F6016"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CC5FE8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8804E0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2FC4B1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</w:rPr>
              <w:t>☒</w:t>
            </w:r>
            <w:r>
              <w:t xml:space="preserve"> Nie</w:t>
            </w:r>
          </w:p>
        </w:tc>
      </w:tr>
      <w:tr w:rsidR="008F6016" w14:paraId="7E2EDAF9" w14:textId="77777777" w:rsidTr="008F6016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FCC3" w14:textId="77777777" w:rsidR="008F6016" w:rsidRDefault="008F6016">
            <w:pPr>
              <w:rPr>
                <w:i/>
              </w:rPr>
            </w:pPr>
            <w:r>
              <w:rPr>
                <w:i/>
              </w:rPr>
              <w:t>Ak áno, uveďte ktoré oblasti budú nimi upravené, resp. ktorých vykonávacích predpisov sa zmena dotkne:</w:t>
            </w:r>
          </w:p>
          <w:p w14:paraId="404DA7E5" w14:textId="77777777" w:rsidR="008F6016" w:rsidRDefault="008F6016">
            <w:pPr>
              <w:jc w:val="both"/>
            </w:pPr>
          </w:p>
        </w:tc>
      </w:tr>
      <w:tr w:rsidR="008F6016" w14:paraId="42BDCDF0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6937A0A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 xml:space="preserve">Transpozícia práva EÚ </w:t>
            </w:r>
          </w:p>
        </w:tc>
      </w:tr>
      <w:tr w:rsidR="008F6016" w14:paraId="3FB33A3C" w14:textId="77777777" w:rsidTr="008F6016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6925725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Uveďte, v ktorých ustanoveniach ide národná právna úprava nad rámec minimálnych požiadaviek EÚ spolu s odôvodnením.</w:t>
            </w:r>
          </w:p>
          <w:p w14:paraId="3725C995" w14:textId="77777777" w:rsidR="008F6016" w:rsidRDefault="008F6016">
            <w:pPr>
              <w:jc w:val="both"/>
            </w:pPr>
          </w:p>
        </w:tc>
      </w:tr>
      <w:tr w:rsidR="008F6016" w14:paraId="4DDEC8FD" w14:textId="77777777" w:rsidTr="008F6016"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F938" w14:textId="77777777" w:rsidR="008F6016" w:rsidRDefault="008F6016">
            <w:pPr>
              <w:jc w:val="both"/>
            </w:pPr>
          </w:p>
        </w:tc>
      </w:tr>
      <w:tr w:rsidR="008F6016" w14:paraId="59144DF5" w14:textId="77777777" w:rsidTr="008F6016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6D15E1C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Preskúmanie účelnosti**</w:t>
            </w:r>
          </w:p>
        </w:tc>
      </w:tr>
      <w:tr w:rsidR="008F6016" w14:paraId="2C2FE486" w14:textId="77777777" w:rsidTr="008F6016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F9E85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Uveďte termín, kedy by malo dôjsť k preskúmaniu účinnosti a účelnosti navrhovaného predpisu.</w:t>
            </w:r>
          </w:p>
          <w:p w14:paraId="3B715173" w14:textId="77777777" w:rsidR="008F6016" w:rsidRDefault="008F6016">
            <w:pPr>
              <w:rPr>
                <w:i/>
              </w:rPr>
            </w:pPr>
            <w:r>
              <w:rPr>
                <w:i/>
              </w:rPr>
              <w:t>Uveďte kritériá, na základe ktorých bude preskúmanie vykonané</w:t>
            </w:r>
          </w:p>
          <w:p w14:paraId="054E6972" w14:textId="77777777" w:rsidR="008F6016" w:rsidRDefault="008F6016">
            <w:r>
              <w:t>-</w:t>
            </w:r>
          </w:p>
        </w:tc>
      </w:tr>
      <w:tr w:rsidR="008F6016" w14:paraId="4B9FD7B5" w14:textId="77777777" w:rsidTr="008F6016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5EC5AA" w14:textId="77777777" w:rsidR="008F6016" w:rsidRDefault="008F6016">
            <w:r>
              <w:t xml:space="preserve">* vyplniť iba v prípade, ak materiál nie je zahrnutý do Plánu práce vlády Slovenskej republiky alebo Plánu legislatívnych úloh vlády Slovenskej republiky. </w:t>
            </w:r>
          </w:p>
          <w:p w14:paraId="02D1F490" w14:textId="77777777" w:rsidR="008F6016" w:rsidRDefault="008F6016">
            <w:r>
              <w:t>** nepovinné</w:t>
            </w:r>
          </w:p>
        </w:tc>
      </w:tr>
      <w:tr w:rsidR="008F6016" w14:paraId="33780CC8" w14:textId="77777777" w:rsidTr="008F6016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2318B7" w14:textId="77777777" w:rsidR="008F6016" w:rsidRDefault="008F6016">
            <w:pPr>
              <w:rPr>
                <w:b/>
              </w:rPr>
            </w:pPr>
          </w:p>
        </w:tc>
      </w:tr>
      <w:tr w:rsidR="008F6016" w14:paraId="52119A27" w14:textId="77777777" w:rsidTr="008F6016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F8F2881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Vplyvy navrhovaného materiálu</w:t>
            </w:r>
          </w:p>
        </w:tc>
      </w:tr>
      <w:tr w:rsidR="008F6016" w14:paraId="79F1D46A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853BA57" w14:textId="77777777" w:rsidR="008F6016" w:rsidRDefault="008F60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04BDD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0B0FDC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6C5C10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4B64A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A2250D" w14:textId="77777777" w:rsidR="008F6016" w:rsidRDefault="008F6016">
            <w:pPr>
              <w:ind w:left="-107" w:right="-108"/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43A6B" w14:textId="77777777" w:rsidR="008F6016" w:rsidRDefault="008F6016">
            <w:pPr>
              <w:ind w:left="3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5CEF6860" w14:textId="77777777" w:rsidTr="008F601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hideMark/>
          </w:tcPr>
          <w:p w14:paraId="4D6ED387" w14:textId="77777777" w:rsidR="008F6016" w:rsidRDefault="008F6016">
            <w: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5C6F9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F0BA1" w14:textId="77777777" w:rsidR="008F6016" w:rsidRDefault="008F6016">
            <w: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8E2323" w14:textId="77777777" w:rsidR="008F6016" w:rsidRDefault="008F6016">
            <w:pPr>
              <w:jc w:val="center"/>
              <w:rPr>
                <w:highlight w:val="yellow"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6D51A" w14:textId="77777777" w:rsidR="008F6016" w:rsidRDefault="008F6016">
            <w:pPr>
              <w:rPr>
                <w:highlight w:val="yellow"/>
              </w:rPr>
            </w:pPr>
            <w: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A02B1" w14:textId="77777777" w:rsidR="008F6016" w:rsidRDefault="008F6016">
            <w:pPr>
              <w:ind w:left="-107" w:right="-108"/>
              <w:jc w:val="center"/>
            </w:pPr>
            <w:r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5F546" w14:textId="77777777" w:rsidR="008F6016" w:rsidRDefault="008F6016">
            <w:pPr>
              <w:ind w:left="34"/>
            </w:pPr>
            <w:r>
              <w:t>Čiastočne</w:t>
            </w:r>
          </w:p>
        </w:tc>
      </w:tr>
      <w:tr w:rsidR="008F6016" w14:paraId="55C82A82" w14:textId="77777777" w:rsidTr="008F60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678424EE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lastRenderedPageBreak/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89BA8B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C6388A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74025E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8B89C4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311831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9FC13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3E646F7C" w14:textId="77777777" w:rsidTr="008F6016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7B13B39C" w14:textId="77777777" w:rsidR="008F6016" w:rsidRDefault="008F6016">
            <w: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DE6793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84EA4" w14:textId="77777777" w:rsidR="008F6016" w:rsidRDefault="008F6016">
            <w:pPr>
              <w:ind w:right="-108"/>
            </w:pPr>
            <w: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2DB40F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16C0E" w14:textId="77777777" w:rsidR="008F6016" w:rsidRDefault="008F6016">
            <w: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B2F4C" w14:textId="77777777" w:rsidR="008F6016" w:rsidRDefault="008F6016">
            <w:pPr>
              <w:jc w:val="center"/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26B1F" w14:textId="77777777" w:rsidR="008F6016" w:rsidRDefault="008F6016">
            <w:pPr>
              <w:ind w:left="54"/>
            </w:pPr>
            <w:r>
              <w:t>Negatívne</w:t>
            </w:r>
          </w:p>
        </w:tc>
      </w:tr>
      <w:tr w:rsidR="008F6016" w14:paraId="4BCA3AF3" w14:textId="77777777" w:rsidTr="008F60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2E15BF1D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197ED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E1126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4C588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BACD60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7C9E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AA1B4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4E6D12F2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28445DD6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0A13F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6EB2B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389F12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3B5632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66A225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72115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1032F71E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497CB278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7764A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1E6C7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5F175D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103807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425E4D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89041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7883D01F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0E3EE3C9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55E1A" w14:textId="77777777" w:rsidR="008F6016" w:rsidRDefault="008F601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7DB3E" w14:textId="77777777" w:rsidR="008F6016" w:rsidRDefault="008F6016">
            <w:pPr>
              <w:ind w:right="-108"/>
              <w:rPr>
                <w:rFonts w:eastAsia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2C485" w14:textId="77777777" w:rsidR="008F6016" w:rsidRDefault="008F601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A0AD8" w14:textId="77777777" w:rsidR="008F6016" w:rsidRDefault="008F6016">
            <w:pPr>
              <w:rPr>
                <w:rFonts w:eastAsia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EC2DB" w14:textId="77777777" w:rsidR="008F6016" w:rsidRDefault="008F601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622D9" w14:textId="77777777" w:rsidR="008F6016" w:rsidRDefault="008F6016">
            <w:pPr>
              <w:ind w:left="54"/>
              <w:rPr>
                <w:rFonts w:eastAsia="Times New Roman"/>
                <w:b/>
              </w:rPr>
            </w:pPr>
          </w:p>
        </w:tc>
      </w:tr>
      <w:tr w:rsidR="008F6016" w14:paraId="718F0273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3D427AD" w14:textId="77777777" w:rsidR="008F6016" w:rsidRDefault="008F6016">
            <w:pPr>
              <w:ind w:left="196" w:hanging="196"/>
              <w:rPr>
                <w:b/>
              </w:rPr>
            </w:pPr>
            <w:r>
              <w:rPr>
                <w:b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02FFC6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1B265E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9BE361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6EC40C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63E8F5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CEEB9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38081739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165DEE6A" w14:textId="77777777" w:rsidR="008F6016" w:rsidRDefault="008F6016">
            <w:pPr>
              <w:ind w:left="168" w:hanging="168"/>
              <w:rPr>
                <w:b/>
              </w:rPr>
            </w:pPr>
            <w:r>
              <w:rPr>
                <w:b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901D12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7F6BC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8150CE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05C5C0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04B8F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FB3F9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8F6016" w14:paraId="4DED8394" w14:textId="77777777" w:rsidTr="008F60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296FAF4A" w14:textId="77777777" w:rsidR="008F6016" w:rsidRDefault="008F6016">
            <w:pPr>
              <w:ind w:left="168" w:hanging="168"/>
              <w:rPr>
                <w:b/>
              </w:rPr>
            </w:pPr>
            <w:r>
              <w:rPr>
                <w:b/>
              </w:rPr>
              <w:t>Vplyvy na manželstvo, rodičovstvo a rodinu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A46B98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08B86" w14:textId="77777777" w:rsidR="008F6016" w:rsidRDefault="008F6016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55D56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CA74ED" w14:textId="77777777" w:rsidR="008F6016" w:rsidRDefault="008F6016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F462EB" w14:textId="77777777" w:rsidR="008F6016" w:rsidRDefault="008F6016">
            <w:pPr>
              <w:jc w:val="center"/>
              <w:rPr>
                <w:b/>
              </w:rPr>
            </w:pPr>
            <w:r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39B67" w14:textId="77777777" w:rsidR="008F6016" w:rsidRDefault="008F6016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</w:tbl>
    <w:p w14:paraId="2BDD9158" w14:textId="77777777" w:rsidR="008F6016" w:rsidRDefault="008F6016" w:rsidP="008F6016">
      <w:pPr>
        <w:ind w:right="141"/>
        <w:rPr>
          <w:b/>
          <w:lang w:eastAsia="sk-SK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8F6016" w14:paraId="02E44CEE" w14:textId="77777777" w:rsidTr="008F60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6E1DA8DE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Poznámky</w:t>
            </w:r>
          </w:p>
        </w:tc>
      </w:tr>
      <w:tr w:rsidR="008F6016" w14:paraId="2EBE3FEF" w14:textId="77777777" w:rsidTr="008F6016">
        <w:trPr>
          <w:trHeight w:val="21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B67F8BE" w14:textId="77777777" w:rsidR="008F6016" w:rsidRDefault="008F601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F6016" w14:paraId="59F5B65D" w14:textId="77777777" w:rsidTr="008F60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3A7730E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Kontakt na spracovateľa</w:t>
            </w:r>
          </w:p>
        </w:tc>
      </w:tr>
      <w:tr w:rsidR="008F6016" w14:paraId="1576F79A" w14:textId="77777777" w:rsidTr="008F601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00E0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Uveďte údaje na kontaktnú osobu, ktorú je možné kontaktovať v súvislosti s posúdením vybraných vplyvov</w:t>
            </w:r>
          </w:p>
          <w:p w14:paraId="342F4BAD" w14:textId="77777777" w:rsidR="008F6016" w:rsidRDefault="008F6016"/>
        </w:tc>
      </w:tr>
      <w:tr w:rsidR="008F6016" w14:paraId="4215309E" w14:textId="77777777" w:rsidTr="008F60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0059AED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Zdroje</w:t>
            </w:r>
          </w:p>
        </w:tc>
      </w:tr>
      <w:tr w:rsidR="008F6016" w14:paraId="07405689" w14:textId="77777777" w:rsidTr="008F601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6F1EB" w14:textId="77777777" w:rsidR="008F6016" w:rsidRDefault="008F601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Uveďte zdroje (štatistiky, prieskumy, spoluprácu s odborníkmi a iné), z ktorých ste pri vypracovávaní doložky, príp. analýz vplyvov vychádzali.</w:t>
            </w:r>
          </w:p>
          <w:p w14:paraId="39AB9A04" w14:textId="77777777" w:rsidR="008F6016" w:rsidRDefault="008F6016">
            <w:pPr>
              <w:rPr>
                <w:i/>
              </w:rPr>
            </w:pPr>
            <w:r>
              <w:t xml:space="preserve">MF SR a  Finančné riaditeľstvo SR  aplikačná prax. </w:t>
            </w:r>
          </w:p>
        </w:tc>
      </w:tr>
      <w:tr w:rsidR="008F6016" w14:paraId="3FF1F74D" w14:textId="77777777" w:rsidTr="008F60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A447965" w14:textId="77777777" w:rsidR="008F6016" w:rsidRDefault="008F6016" w:rsidP="008F601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Stanovisko Komisie pre posudzovanie vybraných vplyvov z PPK</w:t>
            </w:r>
          </w:p>
        </w:tc>
      </w:tr>
      <w:tr w:rsidR="008F6016" w14:paraId="6208F8A4" w14:textId="77777777" w:rsidTr="008F6016"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161F" w14:textId="77777777" w:rsidR="008F6016" w:rsidRDefault="008F60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C2723D" w14:textId="77777777" w:rsidR="008F6016" w:rsidRDefault="008F6016">
            <w:pPr>
              <w:jc w:val="both"/>
            </w:pPr>
          </w:p>
          <w:p w14:paraId="0BA552DF" w14:textId="77777777" w:rsidR="008F6016" w:rsidRDefault="008F60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 doložke vybraných vplyvov</w:t>
            </w:r>
          </w:p>
          <w:p w14:paraId="6068FE24" w14:textId="77777777" w:rsidR="008F6016" w:rsidRDefault="008F6016">
            <w:pPr>
              <w:jc w:val="both"/>
            </w:pPr>
          </w:p>
          <w:p w14:paraId="36EA8FB5" w14:textId="77777777" w:rsidR="008F6016" w:rsidRDefault="008F60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 analýze vplyvov na podnikateľské prostredie</w:t>
            </w:r>
          </w:p>
          <w:p w14:paraId="5F97EA6B" w14:textId="77777777" w:rsidR="008F6016" w:rsidRDefault="008F6016">
            <w:pPr>
              <w:jc w:val="both"/>
              <w:rPr>
                <w:b/>
                <w:i/>
              </w:rPr>
            </w:pPr>
          </w:p>
        </w:tc>
      </w:tr>
    </w:tbl>
    <w:p w14:paraId="0D378964" w14:textId="77777777" w:rsidR="008F6016" w:rsidRDefault="008F6016" w:rsidP="008F6016">
      <w:pPr>
        <w:rPr>
          <w:lang w:eastAsia="sk-SK"/>
        </w:rPr>
      </w:pPr>
    </w:p>
    <w:p w14:paraId="316E790A" w14:textId="77777777" w:rsidR="008F6016" w:rsidRPr="00403318" w:rsidRDefault="008F6016" w:rsidP="008F6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31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DOLOŽKA ZLUČITEĽNOSTI</w:t>
      </w:r>
    </w:p>
    <w:p w14:paraId="762632F8" w14:textId="77777777" w:rsidR="008F6016" w:rsidRPr="00403318" w:rsidRDefault="008F6016" w:rsidP="008F601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318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14:paraId="327E5918" w14:textId="77777777" w:rsidR="008F6016" w:rsidRPr="00403318" w:rsidRDefault="008F6016" w:rsidP="008F60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CB115" w14:textId="77777777" w:rsidR="008F6016" w:rsidRPr="00403318" w:rsidRDefault="008F6016" w:rsidP="008F6016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b/>
          <w:bCs/>
          <w:sz w:val="24"/>
          <w:szCs w:val="24"/>
        </w:rPr>
        <w:t>Navrhovateľ zákona:</w:t>
      </w:r>
    </w:p>
    <w:p w14:paraId="3192316C" w14:textId="77777777" w:rsidR="008F6016" w:rsidRPr="00403318" w:rsidRDefault="008F6016" w:rsidP="008F6016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Vláda Slovenskej republiky. </w:t>
      </w:r>
    </w:p>
    <w:p w14:paraId="507EB7F4" w14:textId="77777777" w:rsidR="008F6016" w:rsidRPr="00403318" w:rsidRDefault="008F6016" w:rsidP="008F60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3DC91" w14:textId="77777777" w:rsidR="008F6016" w:rsidRPr="00403318" w:rsidRDefault="008F6016" w:rsidP="008F6016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318">
        <w:rPr>
          <w:rFonts w:ascii="Times New Roman" w:hAnsi="Times New Roman" w:cs="Times New Roman"/>
          <w:b/>
          <w:bCs/>
          <w:sz w:val="24"/>
          <w:szCs w:val="24"/>
        </w:rPr>
        <w:t>Názov návrhu zákona:</w:t>
      </w:r>
    </w:p>
    <w:p w14:paraId="1A1160BF" w14:textId="77777777" w:rsidR="008F6016" w:rsidRPr="00403318" w:rsidRDefault="008F6016" w:rsidP="008F6016">
      <w:pPr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318">
        <w:rPr>
          <w:rFonts w:ascii="Times New Roman" w:hAnsi="Times New Roman" w:cs="Times New Roman"/>
          <w:bCs/>
          <w:sz w:val="24"/>
          <w:szCs w:val="24"/>
        </w:rPr>
        <w:t>Návrh zákona, ktorým sa dopĺňa zákon č. 67/2020 Z. z. o niektorých mimoriadnych opatreniach vo finančnej oblasti v súvislosti so šírením nebezpečnej nákazlivej ľudskej choroby COVID-19 v znení neskorších predpisov a ktorým sa menia a dopĺňajú niektoré zákony.</w:t>
      </w:r>
    </w:p>
    <w:p w14:paraId="27B95076" w14:textId="77777777" w:rsidR="008F6016" w:rsidRPr="00403318" w:rsidRDefault="008F6016" w:rsidP="008F6016">
      <w:pPr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086E0" w14:textId="77777777" w:rsidR="008F6016" w:rsidRPr="00403318" w:rsidRDefault="008F6016" w:rsidP="008F6016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318">
        <w:rPr>
          <w:rFonts w:ascii="Times New Roman" w:hAnsi="Times New Roman" w:cs="Times New Roman"/>
          <w:b/>
          <w:bCs/>
          <w:sz w:val="24"/>
          <w:szCs w:val="24"/>
        </w:rPr>
        <w:t xml:space="preserve">Predmet návrhu zákona nie je upravený </w:t>
      </w:r>
      <w:r w:rsidRPr="00403318">
        <w:rPr>
          <w:rFonts w:ascii="Times New Roman" w:hAnsi="Times New Roman" w:cs="Times New Roman"/>
          <w:b/>
          <w:sz w:val="24"/>
          <w:szCs w:val="24"/>
          <w:lang w:eastAsia="cs-CZ"/>
        </w:rPr>
        <w:t>v práve Európskej únie.</w:t>
      </w:r>
    </w:p>
    <w:p w14:paraId="2B530835" w14:textId="77777777" w:rsidR="008F6016" w:rsidRPr="00403318" w:rsidRDefault="008F6016" w:rsidP="008F6016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6EA203" w14:textId="77777777" w:rsidR="008F6016" w:rsidRPr="00403318" w:rsidRDefault="008F6016" w:rsidP="008F601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318">
        <w:rPr>
          <w:rFonts w:ascii="Times New Roman" w:hAnsi="Times New Roman" w:cs="Times New Roman"/>
          <w:b/>
          <w:bCs/>
          <w:sz w:val="24"/>
          <w:szCs w:val="24"/>
        </w:rPr>
        <w:t>Vzhľadom k tomu, že predmet návrhu zákona nie je upravený v práve Európskej únie, body 4 a 5 sa nevypĺňajú.</w:t>
      </w:r>
    </w:p>
    <w:p w14:paraId="2A87655A" w14:textId="77777777" w:rsidR="008F6016" w:rsidRPr="00403318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9B6B8" w14:textId="77777777" w:rsidR="008F6016" w:rsidRPr="00403318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39BB1" w14:textId="77777777" w:rsidR="008F6016" w:rsidRPr="00403318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8AFE4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08874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FC70D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3E954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B30C8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B2678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FC42D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5D27C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8943F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C0D60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A0992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DFCE2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B3195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A05E8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17AE2" w14:textId="77777777" w:rsidR="008F6016" w:rsidRDefault="008F6016" w:rsidP="00F27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2CEE8" w14:textId="77777777" w:rsidR="008F6016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3EB864AF" w14:textId="77777777" w:rsidR="008F6016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42FB7593" w14:textId="77777777" w:rsidR="008F6016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43DA66BD" w14:textId="77777777" w:rsidR="008F6016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0DBEA00D" w14:textId="77777777" w:rsidR="008F6016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837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Osobitná časť</w:t>
      </w:r>
    </w:p>
    <w:p w14:paraId="042994F1" w14:textId="77777777" w:rsidR="008F6016" w:rsidRPr="00747B25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47B2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</w:t>
      </w:r>
    </w:p>
    <w:p w14:paraId="1F84EA86" w14:textId="77777777" w:rsidR="008F6016" w:rsidRDefault="008F6016" w:rsidP="008F60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47B2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bodu 1</w:t>
      </w:r>
    </w:p>
    <w:p w14:paraId="4E63BD2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4033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ohľadom na negatívny vývoj pandémie korona vírusu nemožno očakávať v dohľadnej dobe odvolanie mimoriadnej situácie, ktorú vláda SR vyhlásila od 12. marca 2020. Novelizovaným zákonom sa postupne prijali opatrenia umožňujúce odložiť plnenie daňových a stým súvisiacich povinností počas obdobia pandémie, ktoré „kopíruje“ obdobie trvania mimoriadnej situácie. Tzv. „vypnutie“ plnenia daňových a iných povinností, ktoré by siahalo za horizont roku 2020, by spôsobilo značné škody nielen slovenskej ekonomike, ale by nepriaznivo ovplyvnilo aj situáciu daňovníkov v ďalších zdaňovacích obdobiach. Ustanovenia zákona v bode 2 návrhu neuvedené ostanú naďalej v platnosti a budú sa uplatňovať do termínu uvedenom v dotknutých ustanoveniach alebo sa budú uplatňovať po celú dobu trvania mimoriadnej situácie, prípadne aj po 31. decembri 2020.</w:t>
      </w:r>
    </w:p>
    <w:p w14:paraId="635D6573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Z uvedených dôvodov je teda potrebné zrušiť niektoré opatrenia aj napriek tomu, že nedošlo k odvolaniu mimoriadnej situácie. Toto je možné zabezpečiť len vytvorením tzv. fikcie skončenia obdobia pandémie. </w:t>
      </w:r>
    </w:p>
    <w:p w14:paraId="1109E185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Na základe uvedeného odsek 3 v § 2 podľa návrhu zákona navrhuje, že za obdobie pandémie sa považuje </w:t>
      </w:r>
      <w:r w:rsidRPr="00403318">
        <w:rPr>
          <w:rStyle w:val="awspan1"/>
          <w:rFonts w:ascii="Times New Roman" w:hAnsi="Times New Roman" w:cs="Times New Roman"/>
        </w:rPr>
        <w:t>obdobie od 12. marca 2020 do 30. septembra 2020 a na aktualizácie zoznamov daňových dlžníkov a s tým súvisiacich opatrení teda na účely § 7, 24i a 31 sa za obdobie pandémie považuje obdobie od 12. marca 2020 do 31. decembra 2020.</w:t>
      </w:r>
      <w:r w:rsidRPr="00403318">
        <w:rPr>
          <w:rFonts w:ascii="Times New Roman" w:hAnsi="Times New Roman" w:cs="Times New Roman"/>
          <w:sz w:val="24"/>
          <w:szCs w:val="24"/>
        </w:rPr>
        <w:t xml:space="preserve"> S ohľadom na potrebu vytvorenia dostatočných časových kapacít pre riadne zverejnenie daňových zoznamov so spoločensky difamujúcou funkciou je nevyhnutné posunúť moment ich zverejnenia. Nekorektným zverejnením neadekvátnych informácii by mohlo dôjsť k ujme na strane daňových subjektov.</w:t>
      </w:r>
    </w:p>
    <w:p w14:paraId="431D5EA4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4A3AD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bodu 2</w:t>
      </w:r>
    </w:p>
    <w:p w14:paraId="36870D29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4033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odseku 3 sa ustanovuje z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rušenie obdobia pandémie pre aplikáciu týchto konkrétnych opatrení vo finančnej oblasti: </w:t>
      </w:r>
    </w:p>
    <w:p w14:paraId="7610B0B0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v oblasti správy daní, ktorých aplikácia sa zrušuje k 30. septembru 2020 sú podľa:  </w:t>
      </w:r>
    </w:p>
    <w:p w14:paraId="2403B9C3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>§ 3 - písomnosti môžu byť počas obdobia pandémie doručované aj emailom bez nutnosti dodatočného doručenia v listinnej forme</w:t>
      </w:r>
    </w:p>
    <w:p w14:paraId="445ABE5E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>§ 4 - odpustenie zmeškania lehoty, ak daňový subjekt úkon vykoná do konca kalendárneho mesiaca nasledujúceho po skončení obdobia pandémie</w:t>
      </w:r>
    </w:p>
    <w:p w14:paraId="6845F6BC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77B4A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lastRenderedPageBreak/>
        <w:t>§ 6 - počas obdobia pandémie je daňová kontrola prerušená, ak o jej prerušenie požiadal daňový subjekt</w:t>
      </w:r>
    </w:p>
    <w:p w14:paraId="443AD392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§ 8 - počas obdobia pandémie sa prerušuje daňové konanie, ak o jeho prerušenie požiadal daňový subjekt </w:t>
      </w:r>
    </w:p>
    <w:p w14:paraId="09BB194C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§ 9 - počas obdobia pandémie sa prerušuje plynutie lehôt na zánik práva vyrubiť daň, premlčanie a zánik práva vymáhať daňový nedoplatok </w:t>
      </w:r>
    </w:p>
    <w:p w14:paraId="70B32F63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§ 10 - daňový nedoplatok sa nepovažuje za daňový nedoplatok, ak ho daňový subjekt uhradí do konca kalendárneho mesiaca nasledujúceho po skončení obdobia pandémie </w:t>
      </w:r>
    </w:p>
    <w:p w14:paraId="6D8AA60A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§ 10a - daňové subjekty dostávajú počas obdobia pandémie daňový preplatok na dani z príjmov v lehote 40 dní od jeho uplatnenia v daňovom priznaní </w:t>
      </w:r>
    </w:p>
    <w:p w14:paraId="4A516EFB" w14:textId="5049A5CB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 § 11 - počas obdobia pandémie sú zo zákona odložené všetky začaté daňové exekúcie  </w:t>
      </w:r>
    </w:p>
    <w:p w14:paraId="0426D15F" w14:textId="77777777" w:rsidR="008F6016" w:rsidRPr="00403318" w:rsidRDefault="008F6016" w:rsidP="0040331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 xml:space="preserve">§ 12 - správne delikty a sankcie - </w:t>
      </w:r>
    </w:p>
    <w:p w14:paraId="603AED05" w14:textId="77777777" w:rsidR="008F6016" w:rsidRPr="00403318" w:rsidRDefault="008F6016" w:rsidP="00403318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daňové subjekty nie sú sankcionované za porušenie povinnosti podať dodatočné daňové priznanie na dani z príjmov v ustanovenej lehote, ak táto lehota uplynula počas obdobia pandémie, a ak DDP podajú do konca kalendárneho mesiaca po skončení obdobia pandémie </w:t>
      </w:r>
    </w:p>
    <w:p w14:paraId="4FA3CBE8" w14:textId="77777777" w:rsidR="008F6016" w:rsidRPr="00403318" w:rsidRDefault="008F6016" w:rsidP="00403318">
      <w:pPr>
        <w:spacing w:after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  pokuta za uvedenie zvýšenej dane v DDP na dani z príjmov podanom počas obdobia pandémie sa počíta len do dňa začatia obdobia pandémie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3. nevyrubenie úroku, ak daňový subjekt daň z príjmov, splatnú počas obdobia pandémie, zaplatí do konca kalendárneho mesiaca po skončení obdobia pandémie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4. pokuta 100 % za uvedenie vyššieho daňového preplatku v daňovom priznaní, než ako mal daňový subjekt nárok, ak bol preplatok už vrátený</w:t>
      </w:r>
    </w:p>
    <w:p w14:paraId="59D25D1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v oblasti štátnej služby príslušníkov finančnej správy, ktorých aplikácia sa zrušuje k 30. septembru 2020 sú podľa:  </w:t>
      </w:r>
    </w:p>
    <w:p w14:paraId="3FE08D37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16 - osobitná úprava k povinnosti vykonať služobné hodnotenie a povinnosti podať majetkové priznanie, pričom nadriadený bude povinný vykonať služobné hodnotenie a príslušník finančnej správy  povinnosť podať majetkové priznanie najneskôr do 60 dní po skončení obdobia pandémie</w:t>
      </w:r>
    </w:p>
    <w:p w14:paraId="33ECADE1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17 - doručovanie, ak pošta počas obdobia pandémie mení svoje podmienky doručovania, doručuje sa podľa týchto podmienok</w:t>
      </w:r>
    </w:p>
    <w:p w14:paraId="756EA079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v oblasti dane z motorových vozidiel, ktorých aplikácia sa zrušuje k 30. septembru 2020 sú podľa:  </w:t>
      </w:r>
    </w:p>
    <w:p w14:paraId="300F3952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16BFE7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§ 18 - odklad lehoty na podanie daňového priznania a zaplatenia dane, daňové priznanie sa podá a daň sa zaplatí do konca kalendárneho mesiaca nasledujúceho po skončení obdobia pandémie  </w:t>
      </w:r>
    </w:p>
    <w:p w14:paraId="0F0E005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18a - odklad platenia preddavkov na dani, počnúc mesiacom apríl 2020 počas obdobia pandémie nie je daňovník povinný platiť preddavky na daň, ktoré vyrovná až pri podaní daňového priznania v januári 2021</w:t>
      </w:r>
    </w:p>
    <w:p w14:paraId="186E5160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v oblasti účtovníctva, ktorých aplikácia sa zrušuje k 30. septembru 2020 sú podľa:  </w:t>
      </w:r>
    </w:p>
    <w:p w14:paraId="07F64D00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20 - </w:t>
      </w:r>
    </w:p>
    <w:p w14:paraId="0EF4B8FE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3318">
        <w:rPr>
          <w:rFonts w:ascii="Times New Roman" w:hAnsi="Times New Roman" w:cs="Times New Roman"/>
          <w:sz w:val="24"/>
          <w:szCs w:val="24"/>
        </w:rPr>
        <w:t>1. o</w:t>
      </w:r>
      <w:r w:rsidRPr="004033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dklad ukladania účtovných závierok, výročných správ a správ audítora do registra účtovných závierok, pričom </w:t>
      </w:r>
      <w:r w:rsidRPr="00403318">
        <w:rPr>
          <w:rFonts w:ascii="Times New Roman" w:hAnsi="Times New Roman" w:cs="Times New Roman"/>
          <w:sz w:val="24"/>
          <w:szCs w:val="24"/>
        </w:rPr>
        <w:t>ú</w:t>
      </w:r>
      <w:r w:rsidRPr="00403318">
        <w:rPr>
          <w:rFonts w:ascii="Times New Roman" w:eastAsia="Times New Roman" w:hAnsi="Times New Roman" w:cs="Times New Roman"/>
          <w:sz w:val="24"/>
          <w:szCs w:val="24"/>
          <w:lang w:eastAsia="sk-SK"/>
        </w:rPr>
        <w:t>čtovná jednotka je povinná uložiť účtovné dokumenty do konca tretieho kalendárneho mesiaca po skončení obdobia pandémie alebo do jedného kalendárneho mesiaca, ak má povinnosť podať daňové priznanie,</w:t>
      </w:r>
    </w:p>
    <w:p w14:paraId="5D69A065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oslobodenie od povinností súvisiacich s vedením účtovníctva počas roka 2020 (napr. priebežné vedenie účtovníctva, bezodkladné vystavovanie účtovných dokladov, zostavovanie priebežnej účtovnej závierky, inventarizácia), účtovná jednotka je povinná všetky povinnosti súvisiace zo zákonom o účtovníctve splniť do konca tretieho kalendárneho mesiaca po skončení obdobia pandémie, </w:t>
      </w:r>
    </w:p>
    <w:p w14:paraId="383B1E68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predĺženie lehoty na uloženie pokuty za nesplnenie povinností podľa zákona o účtovníctve, daňový subjekt bude môcť byť sankcionovaný za porušenie povinností podľa zákona o účtovníctve v predĺženej lehote o obdobie pandémie</w:t>
      </w:r>
    </w:p>
    <w:p w14:paraId="56A6B2EC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v oblasti dane z príjmov, ktorých aplikácia sa zrušuje k 30. septembru 2020 sú podľa:  </w:t>
      </w:r>
    </w:p>
    <w:p w14:paraId="0BC659F5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21 </w:t>
      </w:r>
      <w:r w:rsidRPr="00403318">
        <w:rPr>
          <w:rFonts w:ascii="Times New Roman" w:hAnsi="Times New Roman" w:cs="Times New Roman"/>
          <w:sz w:val="24"/>
          <w:szCs w:val="24"/>
        </w:rPr>
        <w:t>- d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aňové priznanie k dani z príjmov - posun lehoty na podanie daňového priznania pre fyzické osoby a právnické osoby, daňové priznanie sa podá a daň sa zaplatí do konca kalendárneho mesiaca nasledujúceho po skončení obdobia pandémie</w:t>
      </w:r>
    </w:p>
    <w:p w14:paraId="68761563" w14:textId="346A4DF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§ 22 - o</w:t>
      </w:r>
      <w:r w:rsidRPr="00403318">
        <w:rPr>
          <w:rFonts w:ascii="Times New Roman" w:hAnsi="Times New Roman" w:cs="Times New Roman"/>
          <w:sz w:val="24"/>
          <w:szCs w:val="24"/>
        </w:rPr>
        <w:t>patrenie v oblasti dane z príjmov -</w:t>
      </w:r>
    </w:p>
    <w:p w14:paraId="151F5FA5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hAnsi="Times New Roman" w:cs="Times New Roman"/>
          <w:sz w:val="24"/>
          <w:szCs w:val="24"/>
        </w:rPr>
        <w:t>1. p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oukázanie a použitie podielu zaplatenej dane z príjmov odklad, vyhlásenie o poukázaní podielu zaplatenej dane u daňovníka, ktorému zamestnávateľ vykonal ročné zúčtovanie (pričom lehota na podanie uplynie počas obdobia pandémie), môže daňovník podať do konca druhého kalendárneho mesiaca nasledujúceho po skončení mimoriadnej situácie </w:t>
      </w:r>
    </w:p>
    <w:p w14:paraId="6FA4E6E6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 poukázanie a použitie podielu zaplatenej dane z príjmov, potvrdenie o zaplatení dane - zamestnávateľ je povinný na žiadosť zamestnanca vystaviť potvrdenie o zaplatení dane na účely asignácie dane najneskôr do 15. dňa druhého kalendárneho mesiaca nasledujúceho  po skončení obdobia pandémie</w:t>
      </w:r>
    </w:p>
    <w:p w14:paraId="243AFAF8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3. poukázanie a použitie podielu zaplatenej dane z príjmov, zverejnenie špecifikácie podielu zaplatenej dane - podmienka zverejnenia špecifikácie použitia podielu zaplatenej dane 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prijímateľom sa považuje za splnenú, ak takúto špecifikáciu prijímateľ zverejní do konca kalendárneho mesiaca nasledujúceho po skončení obdobia pandémie</w:t>
      </w:r>
    </w:p>
    <w:p w14:paraId="05BAC7DA" w14:textId="77777777" w:rsidR="008F6016" w:rsidRPr="00403318" w:rsidRDefault="008F6016" w:rsidP="004033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4. poukázanie a použitie podielu zaplatenej dane z príjmov, poukázanie podielu zaplatenej dane správcom dane prijímateľovi - správca dane poukáže prijímateľovi podiel zaplatenej dane do troch mesiacov po lehote na podanie daňového priznania podľa lex korona -  ktorou je koniec kalendárneho mesiaca  nasledujúceho po skončení obdobia pandémie</w:t>
      </w:r>
    </w:p>
    <w:p w14:paraId="12133516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23 </w:t>
      </w:r>
      <w:r w:rsidRPr="00403318">
        <w:rPr>
          <w:rFonts w:ascii="Times New Roman" w:hAnsi="Times New Roman" w:cs="Times New Roman"/>
          <w:sz w:val="24"/>
          <w:szCs w:val="24"/>
        </w:rPr>
        <w:t>- d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aňovník je povinný podať oznámenie o zrazení a odvedení dane z príjmov poskytovateľa zdravotnej starostlivosti do konca kalendárneho mesiaca nasledujúceho po skončení obdobia pandémie a v rovnakej lehote je povinný  daň z príjmov aj odviesť</w:t>
      </w:r>
    </w:p>
    <w:p w14:paraId="3931F673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 </w:t>
      </w:r>
      <w:r w:rsidRPr="00403318">
        <w:rPr>
          <w:rFonts w:ascii="Times New Roman" w:hAnsi="Times New Roman" w:cs="Times New Roman"/>
          <w:sz w:val="24"/>
          <w:szCs w:val="24"/>
        </w:rPr>
        <w:t>- h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lásenie a ročné zúčtovanie, posun lehoty na podanie hlásenia, posun lehoty na vykonanie ročného zúčtovania a doručenia dokladu o vykonanom ročnom zúčtovaní</w:t>
      </w:r>
    </w:p>
    <w:p w14:paraId="3ED1FF8C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24a </w:t>
      </w:r>
      <w:r w:rsidRPr="00403318">
        <w:rPr>
          <w:rFonts w:ascii="Times New Roman" w:hAnsi="Times New Roman" w:cs="Times New Roman"/>
          <w:sz w:val="24"/>
          <w:szCs w:val="24"/>
        </w:rPr>
        <w:t>- p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reddavky na daň z príjmov, neplatenie preddavkov pri poklese tržieb o 40 % a viac, vrátenie rozdielu na preddavkoch platených vo vyššej sume ako vyplývajú z daňového priznania </w:t>
      </w:r>
    </w:p>
    <w:p w14:paraId="19EB35B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</w:t>
      </w:r>
      <w:r w:rsidRPr="00403318">
        <w:rPr>
          <w:rFonts w:ascii="Times New Roman" w:hAnsi="Times New Roman" w:cs="Times New Roman"/>
          <w:b/>
          <w:sz w:val="24"/>
          <w:szCs w:val="24"/>
        </w:rPr>
        <w:t>v oblasti používania registračných pokladníc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, ktorých aplikácia sa zrušuje k 30. septembru 2020 sú podľa:  </w:t>
      </w:r>
    </w:p>
    <w:p w14:paraId="248989B6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24c - </w:t>
      </w:r>
      <w:r w:rsidRPr="00403318">
        <w:rPr>
          <w:rFonts w:ascii="Times New Roman" w:hAnsi="Times New Roman" w:cs="Times New Roman"/>
          <w:sz w:val="24"/>
          <w:szCs w:val="24"/>
        </w:rPr>
        <w:t>p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lnenie oznamovacích povinností, odpustenie zmeškania lehoty, ak podnikateľ oznámi zmenu údajov do konca kalendárneho mesiaca nasledujúceho po skončení obdobia pandémie</w:t>
      </w:r>
    </w:p>
    <w:p w14:paraId="5C023962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24d </w:t>
      </w:r>
      <w:r w:rsidRPr="00403318">
        <w:rPr>
          <w:rFonts w:ascii="Times New Roman" w:hAnsi="Times New Roman" w:cs="Times New Roman"/>
          <w:sz w:val="24"/>
          <w:szCs w:val="24"/>
        </w:rPr>
        <w:t>- p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okuta uložená na mieste, podnikateľ môže pokutu uloženú na mieste zaplatiť až do konca kalendárneho mesiaca nasledujúceho po skončení obdobia pandémie</w:t>
      </w:r>
    </w:p>
    <w:p w14:paraId="6D3DC1D0" w14:textId="77777777" w:rsidR="00581147" w:rsidRDefault="00581147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148709C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</w:t>
      </w:r>
      <w:r w:rsidRPr="00403318">
        <w:rPr>
          <w:rFonts w:ascii="Times New Roman" w:hAnsi="Times New Roman" w:cs="Times New Roman"/>
          <w:b/>
          <w:sz w:val="24"/>
          <w:szCs w:val="24"/>
        </w:rPr>
        <w:t>v colnej oblasti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, ktorých aplikácia sa zrušuje k 30. septembru 2020 sú podľa:  </w:t>
      </w:r>
    </w:p>
    <w:p w14:paraId="7791B1C0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24e </w:t>
      </w:r>
      <w:r w:rsidRPr="00403318">
        <w:rPr>
          <w:rFonts w:ascii="Times New Roman" w:hAnsi="Times New Roman" w:cs="Times New Roman"/>
          <w:sz w:val="24"/>
          <w:szCs w:val="24"/>
        </w:rPr>
        <w:t>- d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oručovanie, ak pošta počas obdobia pandémie mení svoje podmienky doručovania, doručuje sa podľa týchto podmienok</w:t>
      </w:r>
    </w:p>
    <w:p w14:paraId="2AA783AB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24f - </w:t>
      </w:r>
      <w:r w:rsidRPr="00403318">
        <w:rPr>
          <w:rFonts w:ascii="Times New Roman" w:hAnsi="Times New Roman" w:cs="Times New Roman"/>
          <w:sz w:val="24"/>
          <w:szCs w:val="24"/>
        </w:rPr>
        <w:t>o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dloženie vymáhania nedoplatkov, po skončení obdobia pandémie nebude možné odložiť vymáhanie nedoplatkov v colnom exekučnom konaní</w:t>
      </w:r>
    </w:p>
    <w:p w14:paraId="11873FC3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24g - </w:t>
      </w:r>
      <w:r w:rsidRPr="00403318">
        <w:rPr>
          <w:rFonts w:ascii="Times New Roman" w:hAnsi="Times New Roman" w:cs="Times New Roman"/>
          <w:sz w:val="24"/>
          <w:szCs w:val="24"/>
        </w:rPr>
        <w:t>z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ánik zodpovednosti za porušenie colných predpisov v dôsledku opatrení súvisiacich s pandémiou</w:t>
      </w:r>
    </w:p>
    <w:p w14:paraId="51065CFA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24h - </w:t>
      </w:r>
      <w:r w:rsidRPr="00403318">
        <w:rPr>
          <w:rFonts w:ascii="Times New Roman" w:hAnsi="Times New Roman" w:cs="Times New Roman"/>
          <w:sz w:val="24"/>
          <w:szCs w:val="24"/>
        </w:rPr>
        <w:t>z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meškanie lehoty pre splatnosť nákladov v súvislosti s presadzovaním práv duševného vlastníctva colnými orgánmi, zruší sa tolerancia pri nedodržaní určenej lehoty splatnosti nákladov, pričom právnické osoby a fyzické osoby budú mať povinnosť uhradiť náklady do konca kalendárneho mesiaca nasledujúceho po skončení obdobia pandémie</w:t>
      </w:r>
    </w:p>
    <w:p w14:paraId="7C29B311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6C7819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 xml:space="preserve">- opatreniami </w:t>
      </w:r>
      <w:r w:rsidRPr="00403318">
        <w:rPr>
          <w:rFonts w:ascii="Times New Roman" w:hAnsi="Times New Roman" w:cs="Times New Roman"/>
          <w:b/>
          <w:sz w:val="24"/>
          <w:szCs w:val="24"/>
        </w:rPr>
        <w:t xml:space="preserve">v oblasti dane z pridanej hodnoty a spotrebných daní, 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ktorých aplikácia sa zrušuje k 30. septembru 2020 sú podľa: </w:t>
      </w:r>
    </w:p>
    <w:p w14:paraId="238A98B1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hAnsi="Times New Roman" w:cs="Times New Roman"/>
          <w:sz w:val="24"/>
          <w:szCs w:val="24"/>
        </w:rPr>
        <w:t>§ 24j - v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rátenie nadmerného odpočtu v skoršej lehote, nadmerný odpočet sa vráti do 30 dní aj pri existencii  colných nedoplatkov, prípadne nedoplatkov na povinných odvodoch poistného splatných počas obdobia pandémie, ak dôjde k úhrade uvedených nedoplatkov po skončení obdobia pandémie</w:t>
      </w:r>
    </w:p>
    <w:p w14:paraId="6DE0E5D7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24n - o</w:t>
      </w:r>
      <w:r w:rsidRPr="00403318">
        <w:rPr>
          <w:rFonts w:ascii="Times New Roman" w:hAnsi="Times New Roman" w:cs="Times New Roman"/>
          <w:sz w:val="24"/>
          <w:szCs w:val="24"/>
        </w:rPr>
        <w:t>patrenia v oblasti miestneho poplatku za rozvoj - o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dklad povinnosti oznámiť správcovi poplatku údaje o podlahovej ploche stavby a o zániku poplatkovej povinnosti, obciam sa poskytla možnosť financovať bežné výdavky z výnosov z poplatku za rozvoj až do 31.12.2020</w:t>
      </w:r>
    </w:p>
    <w:p w14:paraId="590ADE00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24o - o</w:t>
      </w:r>
      <w:r w:rsidRPr="00403318">
        <w:rPr>
          <w:rFonts w:ascii="Times New Roman" w:hAnsi="Times New Roman" w:cs="Times New Roman"/>
          <w:sz w:val="24"/>
          <w:szCs w:val="24"/>
        </w:rPr>
        <w:t xml:space="preserve">patrenia v oblasti miestnych daní a miestneho poplatku - 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odklad lehoty na podanie priznania k dani pre tých daňovníkov, ktorí majú iné ako ročné zdaňovacie obdobie (dražba, dedičstvo nehnuteľnosti, vznik a zánik daňovej povinnosti pri dani za psa, dani z nevýherných hracích prístrojov a dani za predajné automaty) a odklad plnenia všetkých oznamovacích povinností v oblasti miestnych daní a poplatku</w:t>
      </w:r>
    </w:p>
    <w:p w14:paraId="10F37CC5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8065214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ďalšími súvisiacimi opatreniami sú opatrenia </w:t>
      </w:r>
      <w:r w:rsidRPr="00403318">
        <w:rPr>
          <w:rFonts w:ascii="Times New Roman" w:hAnsi="Times New Roman" w:cs="Times New Roman"/>
          <w:b/>
          <w:sz w:val="24"/>
          <w:szCs w:val="24"/>
        </w:rPr>
        <w:t>v 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oblasti rozpočtových pravidiel</w:t>
      </w:r>
      <w:r w:rsidRPr="00403318">
        <w:rPr>
          <w:rFonts w:ascii="Times New Roman" w:hAnsi="Times New Roman" w:cs="Times New Roman"/>
          <w:b/>
          <w:sz w:val="24"/>
          <w:szCs w:val="24"/>
        </w:rPr>
        <w:t xml:space="preserve">, opatrenia 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 oblasti vnútorného auditu, vládneho auditu a finančnej kontroly</w:t>
      </w:r>
      <w:r w:rsidRPr="0040331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opatrenia v oblasti majetku verejnej správy a správy bytov a nebytových priestorov, ktorých aplikácia sa zrušuje k 30. septembru 2020 sú podľa: </w:t>
      </w:r>
    </w:p>
    <w:p w14:paraId="51CADA7C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33 - opatrenia v oblasti rozpočtových pravidiel - lehota na použitie bežných výdavkov, ktoré nebolo možné použiť z dôvodu negatívnych následkov pandémie, sa považuje za dodržanú, ak sa tieto výdavky použijú najneskôr do dvoch kalendárnych mesiacov nasledujúcich po skončení obdobia pandémie</w:t>
      </w:r>
    </w:p>
    <w:p w14:paraId="436C7BE2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34 - opatrenia v oblasti rozpočtových pravidiel - preddavky pri dodávke výkonov a tovarov za účelom zamedzenia šírenia pandémie možno poskytovať počas obdobia pandémie bez obmedzení ustanovených osobitným predpisom, takáto úhrada preddavkov z verejných prostriedkov sa nepovažuje za porušenie finančnej disciplíny </w:t>
      </w:r>
    </w:p>
    <w:p w14:paraId="375D3111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36 ods. 1 a 3 - opatrenia pre územnú samosprávu - ak počas obdobia pandémie obec alebo vyšší územný celok hospodári v rozpočtovom provizóriu, uhrádzajú výdavky bez zákonom stanovených mesačných limitov, ak obec alebo vyšší územný celok hospodári v ozdravnom režime alebo v nútenej správe, môže počas obdobia pandémie použiť finančné prostriedky nad rámec  na úhradu výdavkov vyvolaných negatívnymi následkami pandémie </w:t>
      </w:r>
    </w:p>
    <w:p w14:paraId="0C80F95F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36a - opatrenia v oblasti vnútorného auditu, vládneho auditu a finančnej kontroly - opatrenia súvisiace so zjednodušením procesu výkonu finančnej kontroly a s uvoľnením povinnosti vymenovaných audítorov odborne sa vzdelávať</w:t>
      </w:r>
    </w:p>
    <w:p w14:paraId="4AEB6523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393CF53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§ 36c ods. 1 a 2 - opatrenia v oblasti majetku verejnej správy a správy bytov a nebytových priestorov - umožňuje sa uzavrieť dohodu o splátkach pohľadávok štátu, ktorú zákon č. 374/2014 Z. z. o pohľadávkach štátu štandardne nedovoľuje a pri jej neplnení možnosť uzavrieť novú dohodu počas obdobia pandémie, pričom sa ustanovuje, že počas obdobia pandémie ak má dlžník novú dohodu, nie je v omeškaní po dobu začatia obdobia pandémie až do splatnosti prvej splátky dohodnutej v novej dohode o splátkach</w:t>
      </w:r>
    </w:p>
    <w:p w14:paraId="1885744D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CB7CF2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opatreniami v oblasti správy daní, </w:t>
      </w:r>
      <w:r w:rsidRPr="00403318">
        <w:rPr>
          <w:rFonts w:ascii="Times New Roman" w:hAnsi="Times New Roman" w:cs="Times New Roman"/>
          <w:b/>
          <w:sz w:val="24"/>
          <w:szCs w:val="24"/>
        </w:rPr>
        <w:t xml:space="preserve">v oblasti dane z pridanej hodnoty a spotrebných daní a 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ďalšími súvisiacimi opatreniami </w:t>
      </w:r>
      <w:r w:rsidRPr="00403318">
        <w:rPr>
          <w:rFonts w:ascii="Times New Roman" w:hAnsi="Times New Roman" w:cs="Times New Roman"/>
          <w:b/>
          <w:sz w:val="24"/>
          <w:szCs w:val="24"/>
        </w:rPr>
        <w:t>v 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oblasti rozpočtových pravidiel</w:t>
      </w:r>
      <w:r w:rsidRPr="004033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ktorých aplikácia sa zrušuje k 31. decembru 2020 sú podľa:  </w:t>
      </w:r>
    </w:p>
    <w:p w14:paraId="0934C50B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>§ 7 - počas obdobia pandémie finančná správa neaktualizuje zoznam daňových dlžníkov, zoznam platiteľov DPH, u ktorých nastali dôvody na zrušenie registrácie a zoznam vymazaných platiteľov DPH</w:t>
      </w:r>
    </w:p>
    <w:p w14:paraId="3D08E302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24i - </w:t>
      </w:r>
      <w:r w:rsidRPr="00403318">
        <w:rPr>
          <w:rFonts w:ascii="Times New Roman" w:hAnsi="Times New Roman" w:cs="Times New Roman"/>
          <w:sz w:val="24"/>
          <w:szCs w:val="24"/>
        </w:rPr>
        <w:t>n</w:t>
      </w: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ezverejňovanie platiteľov dane  v zoznamoch, ak si opakovane nesplnia povinnosti (podanie daňového priznania, kontrolného výkazu alebo opakované nezaplatenie vlastnej daňovej povinnosti) za podmienky, že sú tieto povinnosti dodatočne splnené po skončení obdobia pandémie</w:t>
      </w:r>
    </w:p>
    <w:p w14:paraId="385B752A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31 - opatrenia v oblasti rozpočtových pravidiel - na účely poskytovania dotácií počas obdobia pandémie sa splnenie podmienky, že žiadateľ o dotáciu má vysporiadané finančné vzťahy voči daňovému úradu a colnému úradu, overuje v informačnom systéme finančnej správy,  počas obdobia pandémie sa neaktualizuje zoznam daňových dlžníkov, pričom po skončení obdobia pandémie sa podmienka vysporiadania finančných vzťahov voči daňovému úradu a colnému úradu bude overovať už v aktualizovaných zoznamoch finančnej správy. </w:t>
      </w:r>
    </w:p>
    <w:p w14:paraId="5554858D" w14:textId="77777777" w:rsidR="008F6016" w:rsidRPr="00403318" w:rsidRDefault="008F6016" w:rsidP="004033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4544E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II</w:t>
      </w:r>
    </w:p>
    <w:p w14:paraId="0E9D956A" w14:textId="77777777" w:rsidR="008F6016" w:rsidRPr="00403318" w:rsidRDefault="008F6016" w:rsidP="00403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  <w:lang w:eastAsia="sk-SK"/>
        </w:rPr>
        <w:t xml:space="preserve">V čl. II návrhu v rámci novely zákona </w:t>
      </w:r>
      <w:r w:rsidRPr="00403318">
        <w:rPr>
          <w:rFonts w:ascii="Times New Roman" w:hAnsi="Times New Roman" w:cs="Times New Roman"/>
          <w:sz w:val="24"/>
          <w:szCs w:val="24"/>
        </w:rPr>
        <w:t xml:space="preserve">č. 580/2004 Z. z. o zdravotnom poistení a o zmene a doplnení zákona č. 95/2002 Z. z. o poisťovníctve a o zmene a doplnení niektorých zákonov v znení neskorších predpisov sa v nadväznosti na posun termínu na podanie daňového priznania  menia aj termíny na vykonanie ročného zúčtovania poistného a ročného prerozdeľovania za rok 2019, nakoľko na vykonanie týchto procesov je nevyhnutné, aby zdravotná poisťovňa mala k dispozícii údaje z daňových priznaní jej poistencov. Zároveň sa zavádza mimoriadny inštitút preddavku na výsledok ročného zúčtovania poistného plateného štátom za rok 2019, ktorý bude štátom vyplatený v pôvodnom termíne úhrady týchto pohľadávok (do 31. decembra 2020) a zúčtovaný v novom termíne úhrady týchto pohľadávok (do 15. februára 2021) tak, aby nedošlo k oneskoreniu finančných tokov a z toho vyplývajúceho oneskorenia realizácie úhrad za zdravotnú starostlivosť. </w:t>
      </w:r>
    </w:p>
    <w:p w14:paraId="4E79AE37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1D625A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K Čl. III</w:t>
      </w:r>
    </w:p>
    <w:p w14:paraId="155606CD" w14:textId="77777777" w:rsidR="008F6016" w:rsidRPr="00403318" w:rsidRDefault="008F6016" w:rsidP="00403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18">
        <w:rPr>
          <w:rFonts w:ascii="Times New Roman" w:hAnsi="Times New Roman" w:cs="Times New Roman"/>
          <w:sz w:val="24"/>
          <w:szCs w:val="24"/>
        </w:rPr>
        <w:t>V čl. III návrhu v rámci novely zákona č. 581/2004 Z. z. o zdravotných poisťovniach, dohľade nad zdravotnou starostlivosťou a o zmene a doplnení niektorých zákonov v znení neskorších predpisov vzhľadom na posun termínu na vykonanie ročného zúčtovania poistného na verejné zdravotné poistenie a ročného prerozdeľovania za rok 2019 nastala situácia, kedy v čase platenia príspevkov zdravotnými poisťovňami (do 20. decembra 2020) nebude známa základňa pre ich určenie (ročné prerozdelenie poistného má byť vykonané až do 28. februára 2021). Na základe tejto skutočnosti a s cieľom zabezpečiť financovanie prijímateľov príspevkov v tomto medziobdobí sa zavádza povinnosť existujúcich zdravotných poisťovní uhradiť do 20. decembra 2020 tieto príspevky vo výške ich kvalifikovaného odhadu, uvedeného v prílohe č. 3 k zákonu; tieto sumy boli aj rozpočtované v štátnom rozpočte na rok 2020. Zároveň sa zavádza povinnosť zúčtovania takto odhadnutých platieb voči skutočnej výške príspevkov do 20. marca 2021 (teda už v čase, kedy bude známa základňa pre výpočet a skutočná výška týchto príspevkov).</w:t>
      </w:r>
    </w:p>
    <w:p w14:paraId="75413488" w14:textId="77777777" w:rsidR="00581147" w:rsidRDefault="00581147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39EC13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33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 Čl. IV </w:t>
      </w:r>
    </w:p>
    <w:p w14:paraId="1691DA1A" w14:textId="61893BDE" w:rsidR="008F6016" w:rsidRPr="00403318" w:rsidRDefault="008F6016" w:rsidP="005811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3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403318">
        <w:rPr>
          <w:rFonts w:ascii="Times New Roman" w:eastAsia="Times New Roman" w:hAnsi="Times New Roman" w:cs="Times New Roman"/>
          <w:bCs/>
          <w:sz w:val="24"/>
          <w:szCs w:val="24"/>
        </w:rPr>
        <w:t>Účinnosť tohto zákona sa navrhuje 29. septembra 2020.</w:t>
      </w:r>
    </w:p>
    <w:p w14:paraId="7468DE8D" w14:textId="77777777" w:rsidR="008F6016" w:rsidRPr="00403318" w:rsidRDefault="008F6016" w:rsidP="0040331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2AC05" w14:textId="77777777" w:rsidR="008F6016" w:rsidRDefault="008F6016" w:rsidP="008F601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E3B6C" w14:textId="77777777" w:rsidR="008F6016" w:rsidRDefault="008F6016" w:rsidP="008F601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Schválené vládou Slovenskej republiky dňa 16. septembra 2020.</w:t>
      </w:r>
    </w:p>
    <w:p w14:paraId="2C5A5E99" w14:textId="77777777" w:rsidR="008F6016" w:rsidRDefault="008F6016" w:rsidP="008F601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EBEE8C" w14:textId="77777777" w:rsidR="008F6016" w:rsidRDefault="008F6016" w:rsidP="008F6016">
      <w:pPr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2B37F7" w14:textId="77777777" w:rsidR="008F6016" w:rsidRDefault="008F6016" w:rsidP="008F6016">
      <w:pPr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0EE707" w14:textId="224D56CE" w:rsidR="008F6016" w:rsidRDefault="008F6016" w:rsidP="008F6016">
      <w:pPr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Igor Matovič</w:t>
      </w:r>
      <w:r w:rsidR="009C4D9B">
        <w:rPr>
          <w:rFonts w:ascii="Times New Roman" w:eastAsia="Times New Roman" w:hAnsi="Times New Roman" w:cs="Times New Roman"/>
          <w:bCs/>
          <w:sz w:val="24"/>
          <w:szCs w:val="24"/>
        </w:rPr>
        <w:t>, v.</w:t>
      </w:r>
      <w:r w:rsidR="00B67A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4D9B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42C1F1C0" w14:textId="77777777" w:rsidR="008F6016" w:rsidRDefault="008F6016" w:rsidP="008F6016">
      <w:pPr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predseda vlády Slovenskej republiky</w:t>
      </w:r>
    </w:p>
    <w:p w14:paraId="25643668" w14:textId="77777777" w:rsidR="008F6016" w:rsidRDefault="008F6016" w:rsidP="008F601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87FD97" w14:textId="0C07DC27" w:rsidR="008F6016" w:rsidRDefault="008F6016" w:rsidP="008F6016">
      <w:pPr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Eduard Heger</w:t>
      </w:r>
      <w:r w:rsidR="009C4D9B">
        <w:rPr>
          <w:rFonts w:ascii="Times New Roman" w:eastAsia="Times New Roman" w:hAnsi="Times New Roman" w:cs="Times New Roman"/>
          <w:bCs/>
          <w:sz w:val="24"/>
          <w:szCs w:val="24"/>
        </w:rPr>
        <w:t>, v.</w:t>
      </w:r>
      <w:r w:rsidR="00B67A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9C4D9B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0415A1" w14:textId="386FEBB8" w:rsidR="008F6016" w:rsidRDefault="008F6016" w:rsidP="008F6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podpredseda vlády a minister financií Slovenskej republiky </w:t>
      </w:r>
    </w:p>
    <w:sectPr w:rsidR="008F6016" w:rsidSect="007458A0">
      <w:footerReference w:type="default" r:id="rId8"/>
      <w:pgSz w:w="11905" w:h="16837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C8F0A" w14:textId="77777777" w:rsidR="000F2235" w:rsidRDefault="000F2235">
      <w:pPr>
        <w:spacing w:after="0" w:line="240" w:lineRule="auto"/>
      </w:pPr>
      <w:r>
        <w:separator/>
      </w:r>
    </w:p>
  </w:endnote>
  <w:endnote w:type="continuationSeparator" w:id="0">
    <w:p w14:paraId="7C0F24F3" w14:textId="77777777" w:rsidR="000F2235" w:rsidRDefault="000F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916973"/>
      <w:docPartObj>
        <w:docPartGallery w:val="Page Numbers (Bottom of Page)"/>
        <w:docPartUnique/>
      </w:docPartObj>
    </w:sdtPr>
    <w:sdtEndPr/>
    <w:sdtContent>
      <w:p w14:paraId="2FF80753" w14:textId="318603F3" w:rsidR="00027016" w:rsidRDefault="0002701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53">
          <w:rPr>
            <w:noProof/>
          </w:rPr>
          <w:t>12</w:t>
        </w:r>
        <w:r>
          <w:fldChar w:fldCharType="end"/>
        </w:r>
      </w:p>
    </w:sdtContent>
  </w:sdt>
  <w:p w14:paraId="09470223" w14:textId="77777777" w:rsidR="00560CF0" w:rsidRDefault="000F22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9ADD2" w14:textId="77777777" w:rsidR="000F2235" w:rsidRDefault="000F2235">
      <w:pPr>
        <w:spacing w:after="0" w:line="240" w:lineRule="auto"/>
      </w:pPr>
      <w:r>
        <w:separator/>
      </w:r>
    </w:p>
  </w:footnote>
  <w:footnote w:type="continuationSeparator" w:id="0">
    <w:p w14:paraId="52B6BEDA" w14:textId="77777777" w:rsidR="000F2235" w:rsidRDefault="000F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B1ADD"/>
    <w:multiLevelType w:val="hybridMultilevel"/>
    <w:tmpl w:val="7BB43DF2"/>
    <w:lvl w:ilvl="0" w:tplc="2CE0F08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3C392B"/>
    <w:multiLevelType w:val="hybridMultilevel"/>
    <w:tmpl w:val="EC4A6A78"/>
    <w:lvl w:ilvl="0" w:tplc="CF94DE5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9B77D4"/>
    <w:multiLevelType w:val="multilevel"/>
    <w:tmpl w:val="B9268C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Arial Narrow" w:eastAsia="Times New Roman" w:hAnsi="Arial Narrow" w:cs="Times New Roman" w:hint="default"/>
        <w:b w:val="0"/>
        <w:sz w:val="24"/>
        <w:szCs w:val="24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2"/>
    <w:rsid w:val="00020768"/>
    <w:rsid w:val="000223D8"/>
    <w:rsid w:val="00027016"/>
    <w:rsid w:val="00037ADB"/>
    <w:rsid w:val="00041BFB"/>
    <w:rsid w:val="00045B29"/>
    <w:rsid w:val="00053F89"/>
    <w:rsid w:val="0008188C"/>
    <w:rsid w:val="000A316F"/>
    <w:rsid w:val="000C2072"/>
    <w:rsid w:val="000D4D02"/>
    <w:rsid w:val="000E5574"/>
    <w:rsid w:val="000E621D"/>
    <w:rsid w:val="000F2235"/>
    <w:rsid w:val="001665DC"/>
    <w:rsid w:val="00166625"/>
    <w:rsid w:val="00167CF2"/>
    <w:rsid w:val="00183C01"/>
    <w:rsid w:val="00193813"/>
    <w:rsid w:val="001B67CF"/>
    <w:rsid w:val="001C01E7"/>
    <w:rsid w:val="001C21C0"/>
    <w:rsid w:val="001E689D"/>
    <w:rsid w:val="001F7971"/>
    <w:rsid w:val="00277B78"/>
    <w:rsid w:val="003247E9"/>
    <w:rsid w:val="003336DF"/>
    <w:rsid w:val="00360A40"/>
    <w:rsid w:val="00370222"/>
    <w:rsid w:val="00403318"/>
    <w:rsid w:val="004148E5"/>
    <w:rsid w:val="004159E4"/>
    <w:rsid w:val="00416010"/>
    <w:rsid w:val="004A7A20"/>
    <w:rsid w:val="004B1457"/>
    <w:rsid w:val="004E3E8C"/>
    <w:rsid w:val="00514163"/>
    <w:rsid w:val="00581147"/>
    <w:rsid w:val="005F1CA6"/>
    <w:rsid w:val="00607C11"/>
    <w:rsid w:val="006432B5"/>
    <w:rsid w:val="00652DE5"/>
    <w:rsid w:val="00680DEA"/>
    <w:rsid w:val="00697374"/>
    <w:rsid w:val="006B61EA"/>
    <w:rsid w:val="006E5D70"/>
    <w:rsid w:val="00703AC6"/>
    <w:rsid w:val="0071645B"/>
    <w:rsid w:val="0074303E"/>
    <w:rsid w:val="00744449"/>
    <w:rsid w:val="00783D1F"/>
    <w:rsid w:val="007A580F"/>
    <w:rsid w:val="007B3687"/>
    <w:rsid w:val="007B7E67"/>
    <w:rsid w:val="007C49B8"/>
    <w:rsid w:val="007E26CA"/>
    <w:rsid w:val="007F1366"/>
    <w:rsid w:val="00822B0B"/>
    <w:rsid w:val="00832FE1"/>
    <w:rsid w:val="00860D6B"/>
    <w:rsid w:val="00872540"/>
    <w:rsid w:val="00874954"/>
    <w:rsid w:val="00883531"/>
    <w:rsid w:val="008940E1"/>
    <w:rsid w:val="008C6A09"/>
    <w:rsid w:val="008D2556"/>
    <w:rsid w:val="008D2675"/>
    <w:rsid w:val="008F6016"/>
    <w:rsid w:val="008F643F"/>
    <w:rsid w:val="00903330"/>
    <w:rsid w:val="00927F56"/>
    <w:rsid w:val="00931FBC"/>
    <w:rsid w:val="009A4879"/>
    <w:rsid w:val="009C4D9B"/>
    <w:rsid w:val="009F2977"/>
    <w:rsid w:val="00A062A0"/>
    <w:rsid w:val="00A2742C"/>
    <w:rsid w:val="00A86EF0"/>
    <w:rsid w:val="00AB1D6E"/>
    <w:rsid w:val="00AB7E72"/>
    <w:rsid w:val="00AD07A2"/>
    <w:rsid w:val="00AF2779"/>
    <w:rsid w:val="00B105DD"/>
    <w:rsid w:val="00B1381C"/>
    <w:rsid w:val="00B43C78"/>
    <w:rsid w:val="00B56ACB"/>
    <w:rsid w:val="00B66FF3"/>
    <w:rsid w:val="00B67A53"/>
    <w:rsid w:val="00B910BE"/>
    <w:rsid w:val="00B91DAE"/>
    <w:rsid w:val="00B97757"/>
    <w:rsid w:val="00BD0319"/>
    <w:rsid w:val="00BE30C6"/>
    <w:rsid w:val="00BE6902"/>
    <w:rsid w:val="00BF13FE"/>
    <w:rsid w:val="00C06B3F"/>
    <w:rsid w:val="00C17FC6"/>
    <w:rsid w:val="00C22449"/>
    <w:rsid w:val="00C25359"/>
    <w:rsid w:val="00C43522"/>
    <w:rsid w:val="00C81DDF"/>
    <w:rsid w:val="00C8431A"/>
    <w:rsid w:val="00CA0E92"/>
    <w:rsid w:val="00CC6E83"/>
    <w:rsid w:val="00CD2615"/>
    <w:rsid w:val="00CD4E65"/>
    <w:rsid w:val="00D20FD1"/>
    <w:rsid w:val="00D40752"/>
    <w:rsid w:val="00D432E1"/>
    <w:rsid w:val="00D70E94"/>
    <w:rsid w:val="00DD5C80"/>
    <w:rsid w:val="00DF5FF7"/>
    <w:rsid w:val="00E01ED5"/>
    <w:rsid w:val="00E112D3"/>
    <w:rsid w:val="00E457EB"/>
    <w:rsid w:val="00E46944"/>
    <w:rsid w:val="00E80CD9"/>
    <w:rsid w:val="00E8325D"/>
    <w:rsid w:val="00E91381"/>
    <w:rsid w:val="00EE3F7E"/>
    <w:rsid w:val="00F254F3"/>
    <w:rsid w:val="00F27D6A"/>
    <w:rsid w:val="00F42830"/>
    <w:rsid w:val="00F73787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BCF1"/>
  <w15:chartTrackingRefBased/>
  <w15:docId w15:val="{079176E4-AA54-4991-8519-E0B2430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902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E6902"/>
    <w:pPr>
      <w:tabs>
        <w:tab w:val="center" w:pos="4536"/>
        <w:tab w:val="right" w:pos="9072"/>
      </w:tabs>
    </w:pPr>
    <w:rPr>
      <w:rFonts w:ascii="Calibri" w:eastAsia="Times New Roman" w:hAnsi="Calibri" w:cs="Times New Roman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E6902"/>
    <w:rPr>
      <w:rFonts w:ascii="Calibri" w:eastAsia="Times New Roman" w:hAnsi="Calibri" w:cs="Times New Roman"/>
    </w:rPr>
  </w:style>
  <w:style w:type="paragraph" w:customStyle="1" w:styleId="Zkladntext">
    <w:name w:val="Základní text"/>
    <w:rsid w:val="00BE690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BE6902"/>
    <w:pPr>
      <w:ind w:left="720"/>
      <w:contextualSpacing/>
    </w:pPr>
    <w:rPr>
      <w:rFonts w:ascii="Calibri" w:eastAsia="Times New Roman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167CF2"/>
    <w:rPr>
      <w:rFonts w:ascii="Times New Roman" w:hAnsi="Times New Roman"/>
      <w:color w:val="808080"/>
    </w:rPr>
  </w:style>
  <w:style w:type="paragraph" w:styleId="Zkladntext3">
    <w:name w:val="Body Text 3"/>
    <w:basedOn w:val="Normlny"/>
    <w:link w:val="Zkladntext3Char"/>
    <w:uiPriority w:val="99"/>
    <w:unhideWhenUsed/>
    <w:rsid w:val="00167C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67CF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7C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7C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366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D40752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2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7016"/>
    <w:rPr>
      <w:rFonts w:ascii="Arial Narrow" w:hAnsi="Arial Narrow"/>
      <w:szCs w:val="36"/>
    </w:rPr>
  </w:style>
  <w:style w:type="character" w:customStyle="1" w:styleId="OdsekzoznamuChar">
    <w:name w:val="Odsek zoznamu Char"/>
    <w:aliases w:val="Odsek zoznamu1 Char,Odsek Char"/>
    <w:basedOn w:val="Predvolenpsmoodseku"/>
    <w:link w:val="Odsekzoznamu"/>
    <w:uiPriority w:val="34"/>
    <w:locked/>
    <w:rsid w:val="008F6016"/>
    <w:rPr>
      <w:rFonts w:ascii="Calibri" w:eastAsia="Times New Roman" w:hAnsi="Calibri" w:cs="Times New Roman"/>
    </w:rPr>
  </w:style>
  <w:style w:type="paragraph" w:customStyle="1" w:styleId="Normlny1">
    <w:name w:val="Normálny1"/>
    <w:rsid w:val="008F6016"/>
    <w:pPr>
      <w:keepNext/>
      <w:spacing w:before="60" w:after="6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42AF-1CC0-4240-93FB-8D901928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Ivanicova Eva</cp:lastModifiedBy>
  <cp:revision>5</cp:revision>
  <cp:lastPrinted>2020-09-17T08:31:00Z</cp:lastPrinted>
  <dcterms:created xsi:type="dcterms:W3CDTF">2020-09-17T08:31:00Z</dcterms:created>
  <dcterms:modified xsi:type="dcterms:W3CDTF">2020-09-17T11:05:00Z</dcterms:modified>
</cp:coreProperties>
</file>